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1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1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13 or 15(d) of</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Securities Exchange Act of 1934</w:t>
      </w:r>
    </w:p>
    <w:p>
      <w:pPr>
        <w:spacing w:after="0" w:line="1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Date of Report (Date of earliest event reported): May 8, 2024</w:t>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CARTESIAN THERAPEUTICS, INC.</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161" w:lineRule="exact"/>
        <w:rPr>
          <w:sz w:val="24"/>
          <w:szCs w:val="24"/>
          <w:color w:val="auto"/>
        </w:rPr>
      </w:pPr>
    </w:p>
    <w:tbl>
      <w:tblPr>
        <w:tblLayout w:type="fixed"/>
        <w:tblInd w:w="1100" w:type="dxa"/>
        <w:tblCellMar>
          <w:top w:w="0" w:type="dxa"/>
          <w:left w:w="0" w:type="dxa"/>
          <w:bottom w:w="0" w:type="dxa"/>
          <w:right w:w="0" w:type="dxa"/>
        </w:tblCellMar>
      </w:tblPr>
      <w:tr>
        <w:trPr>
          <w:trHeight w:val="157"/>
        </w:trPr>
        <w:tc>
          <w:tcPr>
            <w:tcW w:w="2220" w:type="dxa"/>
            <w:vAlign w:val="bottom"/>
          </w:tcPr>
          <w:p>
            <w:pPr>
              <w:jc w:val="center"/>
              <w:ind w:right="880"/>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4720" w:type="dxa"/>
            <w:vAlign w:val="bottom"/>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w w:val="99"/>
              </w:rPr>
              <w:t>001-37798</w:t>
            </w:r>
          </w:p>
        </w:tc>
        <w:tc>
          <w:tcPr>
            <w:tcW w:w="1940" w:type="dxa"/>
            <w:vAlign w:val="bottom"/>
          </w:tcPr>
          <w:p>
            <w:pPr>
              <w:jc w:val="center"/>
              <w:ind w:left="1000"/>
              <w:spacing w:after="0"/>
              <w:rPr>
                <w:sz w:val="20"/>
                <w:szCs w:val="20"/>
                <w:color w:val="auto"/>
              </w:rPr>
            </w:pPr>
            <w:r>
              <w:rPr>
                <w:rFonts w:ascii="Times New Roman" w:cs="Times New Roman" w:eastAsia="Times New Roman" w:hAnsi="Times New Roman"/>
                <w:sz w:val="12"/>
                <w:szCs w:val="12"/>
                <w:b w:val="1"/>
                <w:bCs w:val="1"/>
                <w:color w:val="auto"/>
                <w:w w:val="96"/>
              </w:rPr>
              <w:t>26-1622110</w:t>
            </w:r>
          </w:p>
        </w:tc>
      </w:tr>
      <w:tr>
        <w:trPr>
          <w:trHeight w:val="119"/>
        </w:trPr>
        <w:tc>
          <w:tcPr>
            <w:tcW w:w="2220" w:type="dxa"/>
            <w:vAlign w:val="bottom"/>
          </w:tcPr>
          <w:p>
            <w:pPr>
              <w:jc w:val="center"/>
              <w:ind w:right="900"/>
              <w:spacing w:after="0" w:line="119" w:lineRule="exact"/>
              <w:rPr>
                <w:sz w:val="20"/>
                <w:szCs w:val="20"/>
                <w:color w:val="auto"/>
              </w:rPr>
            </w:pPr>
            <w:r>
              <w:rPr>
                <w:rFonts w:ascii="Times New Roman" w:cs="Times New Roman" w:eastAsia="Times New Roman" w:hAnsi="Times New Roman"/>
                <w:sz w:val="12"/>
                <w:szCs w:val="12"/>
                <w:color w:val="auto"/>
                <w:w w:val="99"/>
              </w:rPr>
              <w:t>(State or other jurisdiction</w:t>
            </w:r>
          </w:p>
        </w:tc>
        <w:tc>
          <w:tcPr>
            <w:tcW w:w="4720" w:type="dxa"/>
            <w:vAlign w:val="bottom"/>
          </w:tcPr>
          <w:p>
            <w:pPr>
              <w:jc w:val="center"/>
              <w:ind w:right="20"/>
              <w:spacing w:after="0" w:line="119" w:lineRule="exact"/>
              <w:rPr>
                <w:sz w:val="20"/>
                <w:szCs w:val="20"/>
                <w:color w:val="auto"/>
              </w:rPr>
            </w:pPr>
            <w:r>
              <w:rPr>
                <w:rFonts w:ascii="Times New Roman" w:cs="Times New Roman" w:eastAsia="Times New Roman" w:hAnsi="Times New Roman"/>
                <w:sz w:val="12"/>
                <w:szCs w:val="12"/>
                <w:color w:val="auto"/>
                <w:w w:val="98"/>
              </w:rPr>
              <w:t>(Commission</w:t>
            </w:r>
          </w:p>
        </w:tc>
        <w:tc>
          <w:tcPr>
            <w:tcW w:w="1940" w:type="dxa"/>
            <w:vAlign w:val="bottom"/>
          </w:tcPr>
          <w:p>
            <w:pPr>
              <w:jc w:val="center"/>
              <w:ind w:left="1000"/>
              <w:spacing w:after="0" w:line="119" w:lineRule="exact"/>
              <w:rPr>
                <w:sz w:val="20"/>
                <w:szCs w:val="20"/>
                <w:color w:val="auto"/>
              </w:rPr>
            </w:pPr>
            <w:r>
              <w:rPr>
                <w:rFonts w:ascii="Times New Roman" w:cs="Times New Roman" w:eastAsia="Times New Roman" w:hAnsi="Times New Roman"/>
                <w:sz w:val="12"/>
                <w:szCs w:val="12"/>
                <w:color w:val="auto"/>
                <w:w w:val="98"/>
              </w:rPr>
              <w:t>(IRS Employer</w:t>
            </w:r>
          </w:p>
        </w:tc>
      </w:tr>
      <w:tr>
        <w:trPr>
          <w:trHeight w:val="155"/>
        </w:trPr>
        <w:tc>
          <w:tcPr>
            <w:tcW w:w="2220" w:type="dxa"/>
            <w:vAlign w:val="bottom"/>
          </w:tcPr>
          <w:p>
            <w:pPr>
              <w:jc w:val="center"/>
              <w:ind w:right="860"/>
              <w:spacing w:after="0"/>
              <w:rPr>
                <w:sz w:val="20"/>
                <w:szCs w:val="20"/>
                <w:color w:val="auto"/>
              </w:rPr>
            </w:pPr>
            <w:r>
              <w:rPr>
                <w:rFonts w:ascii="Times New Roman" w:cs="Times New Roman" w:eastAsia="Times New Roman" w:hAnsi="Times New Roman"/>
                <w:sz w:val="12"/>
                <w:szCs w:val="12"/>
                <w:color w:val="auto"/>
              </w:rPr>
              <w:t>of incorporation)</w:t>
            </w:r>
          </w:p>
        </w:tc>
        <w:tc>
          <w:tcPr>
            <w:tcW w:w="4720" w:type="dxa"/>
            <w:vAlign w:val="bottom"/>
          </w:tcPr>
          <w:p>
            <w:pPr>
              <w:jc w:val="center"/>
              <w:ind w:right="20"/>
              <w:spacing w:after="0"/>
              <w:rPr>
                <w:sz w:val="20"/>
                <w:szCs w:val="20"/>
                <w:color w:val="auto"/>
              </w:rPr>
            </w:pPr>
            <w:r>
              <w:rPr>
                <w:rFonts w:ascii="Times New Roman" w:cs="Times New Roman" w:eastAsia="Times New Roman" w:hAnsi="Times New Roman"/>
                <w:sz w:val="12"/>
                <w:szCs w:val="12"/>
                <w:color w:val="auto"/>
                <w:w w:val="98"/>
              </w:rPr>
              <w:t>File Number)</w:t>
            </w:r>
          </w:p>
        </w:tc>
        <w:tc>
          <w:tcPr>
            <w:tcW w:w="1940" w:type="dxa"/>
            <w:vAlign w:val="bottom"/>
          </w:tcPr>
          <w:p>
            <w:pPr>
              <w:jc w:val="center"/>
              <w:ind w:left="1000"/>
              <w:spacing w:after="0"/>
              <w:rPr>
                <w:sz w:val="20"/>
                <w:szCs w:val="20"/>
                <w:color w:val="auto"/>
              </w:rPr>
            </w:pPr>
            <w:r>
              <w:rPr>
                <w:rFonts w:ascii="Times New Roman" w:cs="Times New Roman" w:eastAsia="Times New Roman" w:hAnsi="Times New Roman"/>
                <w:sz w:val="12"/>
                <w:szCs w:val="12"/>
                <w:color w:val="auto"/>
                <w:w w:val="98"/>
              </w:rPr>
              <w:t>Identification No.)</w:t>
            </w:r>
          </w:p>
        </w:tc>
      </w:tr>
      <w:tr>
        <w:trPr>
          <w:trHeight w:val="284"/>
        </w:trPr>
        <w:tc>
          <w:tcPr>
            <w:tcW w:w="2220" w:type="dxa"/>
            <w:vAlign w:val="bottom"/>
          </w:tcPr>
          <w:p>
            <w:pPr>
              <w:spacing w:after="0"/>
              <w:rPr>
                <w:sz w:val="24"/>
                <w:szCs w:val="24"/>
                <w:color w:val="auto"/>
              </w:rPr>
            </w:pPr>
          </w:p>
        </w:tc>
        <w:tc>
          <w:tcPr>
            <w:tcW w:w="47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704 Quince Orchard Road, Gaithersburg, MD 20878</w:t>
            </w:r>
          </w:p>
        </w:tc>
        <w:tc>
          <w:tcPr>
            <w:tcW w:w="1940" w:type="dxa"/>
            <w:vAlign w:val="bottom"/>
          </w:tcPr>
          <w:p>
            <w:pPr>
              <w:spacing w:after="0"/>
              <w:rPr>
                <w:sz w:val="24"/>
                <w:szCs w:val="24"/>
                <w:color w:val="auto"/>
              </w:rPr>
            </w:pPr>
          </w:p>
        </w:tc>
      </w:tr>
      <w:tr>
        <w:trPr>
          <w:trHeight w:val="155"/>
        </w:trPr>
        <w:tc>
          <w:tcPr>
            <w:tcW w:w="2220" w:type="dxa"/>
            <w:vAlign w:val="bottom"/>
          </w:tcPr>
          <w:p>
            <w:pPr>
              <w:spacing w:after="0"/>
              <w:rPr>
                <w:sz w:val="13"/>
                <w:szCs w:val="13"/>
                <w:color w:val="auto"/>
              </w:rPr>
            </w:pPr>
          </w:p>
        </w:tc>
        <w:tc>
          <w:tcPr>
            <w:tcW w:w="4720" w:type="dxa"/>
            <w:vAlign w:val="bottom"/>
          </w:tcPr>
          <w:p>
            <w:pPr>
              <w:ind w:left="1200"/>
              <w:spacing w:after="0"/>
              <w:rPr>
                <w:sz w:val="20"/>
                <w:szCs w:val="20"/>
                <w:color w:val="auto"/>
              </w:rPr>
            </w:pPr>
            <w:r>
              <w:rPr>
                <w:rFonts w:ascii="Times New Roman" w:cs="Times New Roman" w:eastAsia="Times New Roman" w:hAnsi="Times New Roman"/>
                <w:sz w:val="12"/>
                <w:szCs w:val="12"/>
                <w:color w:val="auto"/>
              </w:rPr>
              <w:t>(Address of principal executive offices)(Zip Code)</w:t>
            </w:r>
          </w:p>
        </w:tc>
        <w:tc>
          <w:tcPr>
            <w:tcW w:w="1940" w:type="dxa"/>
            <w:vAlign w:val="bottom"/>
          </w:tcPr>
          <w:p>
            <w:pPr>
              <w:spacing w:after="0"/>
              <w:rPr>
                <w:sz w:val="13"/>
                <w:szCs w:val="13"/>
                <w:color w:val="auto"/>
              </w:rPr>
            </w:pPr>
          </w:p>
        </w:tc>
      </w:tr>
      <w:tr>
        <w:trPr>
          <w:trHeight w:val="277"/>
        </w:trPr>
        <w:tc>
          <w:tcPr>
            <w:tcW w:w="2220" w:type="dxa"/>
            <w:vAlign w:val="bottom"/>
          </w:tcPr>
          <w:p>
            <w:pPr>
              <w:spacing w:after="0"/>
              <w:rPr>
                <w:sz w:val="24"/>
                <w:szCs w:val="24"/>
                <w:color w:val="auto"/>
              </w:rPr>
            </w:pPr>
          </w:p>
        </w:tc>
        <w:tc>
          <w:tcPr>
            <w:tcW w:w="4720" w:type="dxa"/>
            <w:vAlign w:val="bottom"/>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(617) 923-1400</w:t>
            </w:r>
          </w:p>
        </w:tc>
        <w:tc>
          <w:tcPr>
            <w:tcW w:w="1940" w:type="dxa"/>
            <w:vAlign w:val="bottom"/>
          </w:tcPr>
          <w:p>
            <w:pPr>
              <w:spacing w:after="0"/>
              <w:rPr>
                <w:sz w:val="24"/>
                <w:szCs w:val="24"/>
                <w:color w:val="auto"/>
              </w:rPr>
            </w:pPr>
          </w:p>
        </w:tc>
      </w:tr>
      <w:tr>
        <w:trPr>
          <w:trHeight w:val="155"/>
        </w:trPr>
        <w:tc>
          <w:tcPr>
            <w:tcW w:w="2220" w:type="dxa"/>
            <w:vAlign w:val="bottom"/>
          </w:tcPr>
          <w:p>
            <w:pPr>
              <w:spacing w:after="0"/>
              <w:rPr>
                <w:sz w:val="13"/>
                <w:szCs w:val="13"/>
                <w:color w:val="auto"/>
              </w:rPr>
            </w:pPr>
          </w:p>
        </w:tc>
        <w:tc>
          <w:tcPr>
            <w:tcW w:w="4720" w:type="dxa"/>
            <w:vAlign w:val="bottom"/>
          </w:tcPr>
          <w:p>
            <w:pPr>
              <w:ind w:left="1100"/>
              <w:spacing w:after="0"/>
              <w:rPr>
                <w:sz w:val="20"/>
                <w:szCs w:val="20"/>
                <w:color w:val="auto"/>
              </w:rPr>
            </w:pPr>
            <w:r>
              <w:rPr>
                <w:rFonts w:ascii="Times New Roman" w:cs="Times New Roman" w:eastAsia="Times New Roman" w:hAnsi="Times New Roman"/>
                <w:sz w:val="12"/>
                <w:szCs w:val="12"/>
                <w:color w:val="auto"/>
              </w:rPr>
              <w:t>Registrant’s telephone number, including area code</w:t>
            </w:r>
          </w:p>
        </w:tc>
        <w:tc>
          <w:tcPr>
            <w:tcW w:w="1940" w:type="dxa"/>
            <w:vAlign w:val="bottom"/>
          </w:tcPr>
          <w:p>
            <w:pPr>
              <w:spacing w:after="0"/>
              <w:rPr>
                <w:sz w:val="13"/>
                <w:szCs w:val="13"/>
                <w:color w:val="auto"/>
              </w:rPr>
            </w:pPr>
          </w:p>
        </w:tc>
      </w:tr>
    </w:tbl>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N/A</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p>
      <w:pPr>
        <w:spacing w:after="0" w:line="139"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98" w:lineRule="exact"/>
        <w:rPr>
          <w:sz w:val="24"/>
          <w:szCs w:val="24"/>
          <w:color w:val="auto"/>
        </w:rPr>
      </w:pPr>
    </w:p>
    <w:p>
      <w:pPr>
        <w:ind w:left="1300" w:hanging="705"/>
        <w:spacing w:after="0"/>
        <w:tabs>
          <w:tab w:leader="none" w:pos="130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Written communications pursuant to Rule 425 under the Securities Act (17 CFR 230.425)</w:t>
      </w:r>
    </w:p>
    <w:p>
      <w:pPr>
        <w:spacing w:after="0" w:line="53" w:lineRule="exact"/>
        <w:rPr>
          <w:rFonts w:ascii="MS PGothic" w:cs="MS PGothic" w:eastAsia="MS PGothic" w:hAnsi="MS PGothic"/>
          <w:sz w:val="11"/>
          <w:szCs w:val="11"/>
          <w:color w:val="auto"/>
        </w:rPr>
      </w:pPr>
    </w:p>
    <w:p>
      <w:pPr>
        <w:ind w:left="1300" w:hanging="705"/>
        <w:spacing w:after="0"/>
        <w:tabs>
          <w:tab w:leader="none" w:pos="130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Soliciting material pursuant to Rule 14a-12 under the Exchange Act (17 CFR 240.14a-12)</w:t>
      </w:r>
    </w:p>
    <w:p>
      <w:pPr>
        <w:spacing w:after="0" w:line="53" w:lineRule="exact"/>
        <w:rPr>
          <w:rFonts w:ascii="MS PGothic" w:cs="MS PGothic" w:eastAsia="MS PGothic" w:hAnsi="MS PGothic"/>
          <w:sz w:val="11"/>
          <w:szCs w:val="11"/>
          <w:color w:val="auto"/>
        </w:rPr>
      </w:pPr>
    </w:p>
    <w:p>
      <w:pPr>
        <w:ind w:left="1300" w:hanging="705"/>
        <w:spacing w:after="0"/>
        <w:tabs>
          <w:tab w:leader="none" w:pos="130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Pre-commencement communications pursuant to Rule 14d-2(b) under the Exchange Act (17 CFR 240.14d-2(b))</w:t>
      </w:r>
    </w:p>
    <w:p>
      <w:pPr>
        <w:spacing w:after="0" w:line="53" w:lineRule="exact"/>
        <w:rPr>
          <w:rFonts w:ascii="MS PGothic" w:cs="MS PGothic" w:eastAsia="MS PGothic" w:hAnsi="MS PGothic"/>
          <w:sz w:val="11"/>
          <w:szCs w:val="11"/>
          <w:color w:val="auto"/>
        </w:rPr>
      </w:pPr>
    </w:p>
    <w:p>
      <w:pPr>
        <w:ind w:left="1300" w:hanging="705"/>
        <w:spacing w:after="0"/>
        <w:tabs>
          <w:tab w:leader="none" w:pos="130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Pre-commencement communications pursuant to Rule 13e-4(c) under the Exchange Act (17 CFR 240.13e-4(c))</w:t>
      </w:r>
    </w:p>
    <w:p>
      <w:pPr>
        <w:spacing w:after="0" w:line="18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Securities registered pursuant to Section 12(b) of the Act:</w:t>
      </w:r>
    </w:p>
    <w:p>
      <w:pPr>
        <w:spacing w:after="0" w:line="37" w:lineRule="exact"/>
        <w:rPr>
          <w:sz w:val="24"/>
          <w:szCs w:val="24"/>
          <w:color w:val="auto"/>
        </w:rPr>
      </w:pPr>
    </w:p>
    <w:tbl>
      <w:tblPr>
        <w:tblLayout w:type="fixed"/>
        <w:tblInd w:w="10" w:type="dxa"/>
        <w:tblCellMar>
          <w:top w:w="0" w:type="dxa"/>
          <w:left w:w="0" w:type="dxa"/>
          <w:bottom w:w="0" w:type="dxa"/>
          <w:right w:w="0" w:type="dxa"/>
        </w:tblCellMar>
      </w:tblPr>
      <w:tr>
        <w:trPr>
          <w:trHeight w:val="162"/>
        </w:trPr>
        <w:tc>
          <w:tcPr>
            <w:tcW w:w="46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Title of each class</w:t>
            </w:r>
          </w:p>
        </w:tc>
        <w:tc>
          <w:tcPr>
            <w:tcW w:w="21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Trading Symbol(s)</w:t>
            </w:r>
          </w:p>
        </w:tc>
        <w:tc>
          <w:tcPr>
            <w:tcW w:w="45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Name of each exchange on which registered</w:t>
            </w:r>
          </w:p>
        </w:tc>
      </w:tr>
      <w:tr>
        <w:trPr>
          <w:trHeight w:val="142"/>
        </w:trPr>
        <w:tc>
          <w:tcPr>
            <w:tcW w:w="46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Common Stock (Par Value $0.0001)</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RNAC</w:t>
            </w:r>
          </w:p>
        </w:tc>
        <w:tc>
          <w:tcPr>
            <w:tcW w:w="4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The Nasdaq Stock Market LLC</w:t>
            </w:r>
          </w:p>
        </w:tc>
      </w:tr>
    </w:tbl>
    <w:p>
      <w:pPr>
        <w:spacing w:after="0" w:line="223" w:lineRule="exact"/>
        <w:rPr>
          <w:sz w:val="24"/>
          <w:szCs w:val="24"/>
          <w:color w:val="auto"/>
        </w:rPr>
      </w:pPr>
    </w:p>
    <w:p>
      <w:pPr>
        <w:ind w:right="16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9"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 xml:space="preserve">Emerging growth company </w:t>
      </w:r>
      <w:r>
        <w:rPr>
          <w:rFonts w:ascii="Wingdings" w:cs="Wingdings" w:eastAsia="Wingdings" w:hAnsi="Wingdings"/>
          <w:sz w:val="12"/>
          <w:szCs w:val="12"/>
          <w:b w:val="1"/>
          <w:bCs w:val="1"/>
          <w:color w:val="auto"/>
        </w:rPr>
        <w:t>o</w:t>
      </w:r>
    </w:p>
    <w:p>
      <w:pPr>
        <w:spacing w:after="0" w:line="168" w:lineRule="exact"/>
        <w:rPr>
          <w:sz w:val="24"/>
          <w:szCs w:val="24"/>
          <w:color w:val="auto"/>
        </w:rPr>
      </w:pPr>
    </w:p>
    <w:p>
      <w:pPr>
        <w:ind w:right="80"/>
        <w:spacing w:after="0" w:line="279" w:lineRule="auto"/>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2"/>
          <w:szCs w:val="12"/>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510540</wp:posOffset>
            </wp:positionV>
            <wp:extent cx="720344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54610</wp:posOffset>
            </wp:positionV>
            <wp:extent cx="714375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375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31750</wp:posOffset>
            </wp:positionV>
            <wp:extent cx="71437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3750" cy="5715"/>
                    </a:xfrm>
                    <a:prstGeom prst="rect">
                      <a:avLst/>
                    </a:prstGeom>
                    <a:noFill/>
                  </pic:spPr>
                </pic:pic>
              </a:graphicData>
            </a:graphic>
          </wp:anchor>
        </w:drawing>
      </w:r>
    </w:p>
    <w:p>
      <w:pPr>
        <w:sectPr>
          <w:pgSz w:w="11900" w:h="16838" w:orient="portrait"/>
          <w:cols w:equalWidth="0" w:num="1">
            <w:col w:w="11280"/>
          </w:cols>
          <w:pgMar w:left="300" w:top="702"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2"/>
          <w:szCs w:val="12"/>
          <w:b w:val="1"/>
          <w:bCs w:val="1"/>
          <w:color w:val="auto"/>
        </w:rPr>
        <w:t>Item 2.02 Results of Operations and Financial Condition.</w:t>
      </w:r>
    </w:p>
    <w:p>
      <w:pPr>
        <w:spacing w:after="0" w:line="82" w:lineRule="exact"/>
        <w:rPr>
          <w:sz w:val="20"/>
          <w:szCs w:val="20"/>
          <w:color w:val="auto"/>
        </w:rPr>
      </w:pPr>
    </w:p>
    <w:p>
      <w:pPr>
        <w:ind w:right="240" w:firstLine="216"/>
        <w:spacing w:after="0" w:line="279" w:lineRule="auto"/>
        <w:rPr>
          <w:sz w:val="20"/>
          <w:szCs w:val="20"/>
          <w:color w:val="auto"/>
        </w:rPr>
      </w:pPr>
      <w:r>
        <w:rPr>
          <w:rFonts w:ascii="Times New Roman" w:cs="Times New Roman" w:eastAsia="Times New Roman" w:hAnsi="Times New Roman"/>
          <w:sz w:val="12"/>
          <w:szCs w:val="12"/>
          <w:color w:val="auto"/>
        </w:rPr>
        <w:t>On May 8, 2024, Cartesian Therapeutics, Inc. (the “Company”) announced its financial results for the quarter ended March 31, 2024. The full text of the press release issued in connection with the announcement is furnished as Exhibit 99.1 to this Current Report on Form 8-K.</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7.01. Regulation FD Disclosure.</w:t>
      </w:r>
    </w:p>
    <w:p>
      <w:pPr>
        <w:spacing w:after="0" w:line="82" w:lineRule="exact"/>
        <w:rPr>
          <w:sz w:val="20"/>
          <w:szCs w:val="20"/>
          <w:color w:val="auto"/>
        </w:rPr>
      </w:pPr>
    </w:p>
    <w:p>
      <w:pPr>
        <w:ind w:right="460" w:firstLine="216"/>
        <w:spacing w:after="0" w:line="279" w:lineRule="auto"/>
        <w:rPr>
          <w:sz w:val="20"/>
          <w:szCs w:val="20"/>
          <w:color w:val="auto"/>
        </w:rPr>
      </w:pPr>
      <w:r>
        <w:rPr>
          <w:rFonts w:ascii="Times New Roman" w:cs="Times New Roman" w:eastAsia="Times New Roman" w:hAnsi="Times New Roman"/>
          <w:sz w:val="12"/>
          <w:szCs w:val="12"/>
          <w:color w:val="auto"/>
        </w:rPr>
        <w:t>The Company from time to time presents and/or distributes to the investment community at various industry and other conferences slide presentations to provide updates and summaries of its business. A copy of its current corporate slide presentation is attached to this Current Report on Form 8-K as Exhibit 99.2.</w:t>
      </w:r>
    </w:p>
    <w:p>
      <w:pPr>
        <w:spacing w:after="0" w:line="39" w:lineRule="exact"/>
        <w:rPr>
          <w:sz w:val="20"/>
          <w:szCs w:val="20"/>
          <w:color w:val="auto"/>
        </w:rPr>
      </w:pPr>
    </w:p>
    <w:p>
      <w:pPr>
        <w:ind w:right="160" w:firstLine="216"/>
        <w:spacing w:after="0" w:line="265" w:lineRule="auto"/>
        <w:rPr>
          <w:sz w:val="20"/>
          <w:szCs w:val="20"/>
          <w:color w:val="auto"/>
        </w:rPr>
      </w:pPr>
      <w:r>
        <w:rPr>
          <w:rFonts w:ascii="Times New Roman" w:cs="Times New Roman" w:eastAsia="Times New Roman" w:hAnsi="Times New Roman"/>
          <w:sz w:val="12"/>
          <w:szCs w:val="12"/>
          <w:color w:val="auto"/>
        </w:rPr>
        <w:t>The information in Items 2.02 and 7.01 of this Form 8-K, including Exhibits 99.1 and 99.2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 The Company undertakes no obligation to update, supplement or amend the materials attached hereto as Exhibit 99.2, except as required by law.</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8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(d) Exhibits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760" w:type="dxa"/>
            <w:vAlign w:val="bottom"/>
            <w:gridSpan w:val="4"/>
          </w:tcPr>
          <w:p>
            <w:pPr>
              <w:jc w:val="center"/>
              <w:ind w:right="540"/>
              <w:spacing w:after="0"/>
              <w:rPr>
                <w:sz w:val="20"/>
                <w:szCs w:val="20"/>
                <w:color w:val="auto"/>
              </w:rPr>
            </w:pPr>
            <w:r>
              <w:rPr>
                <w:rFonts w:ascii="Times New Roman" w:cs="Times New Roman" w:eastAsia="Times New Roman" w:hAnsi="Times New Roman"/>
                <w:sz w:val="10"/>
                <w:szCs w:val="10"/>
                <w:b w:val="1"/>
                <w:bCs w:val="1"/>
                <w:color w:val="auto"/>
                <w:w w:val="94"/>
              </w:rPr>
              <w:t>Exhibit</w:t>
            </w:r>
          </w:p>
        </w:tc>
        <w:tc>
          <w:tcPr>
            <w:tcW w:w="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840" w:type="dxa"/>
            <w:vAlign w:val="bottom"/>
            <w:vMerge w:val="restart"/>
          </w:tcPr>
          <w:p>
            <w:pPr>
              <w:ind w:left="680"/>
              <w:spacing w:after="0"/>
              <w:rPr>
                <w:sz w:val="20"/>
                <w:szCs w:val="20"/>
                <w:color w:val="auto"/>
              </w:rPr>
            </w:pPr>
            <w:r>
              <w:rPr>
                <w:rFonts w:ascii="Times New Roman" w:cs="Times New Roman" w:eastAsia="Times New Roman" w:hAnsi="Times New Roman"/>
                <w:sz w:val="10"/>
                <w:szCs w:val="10"/>
                <w:b w:val="1"/>
                <w:bCs w:val="1"/>
                <w:color w:val="auto"/>
              </w:rPr>
              <w:t>Exhibit Description</w:t>
            </w: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5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10"/>
                <w:szCs w:val="10"/>
                <w:b w:val="1"/>
                <w:bCs w:val="1"/>
                <w:color w:val="auto"/>
                <w:w w:val="94"/>
              </w:rPr>
              <w:t>No.</w:t>
            </w:r>
          </w:p>
        </w:tc>
        <w:tc>
          <w:tcPr>
            <w:tcW w:w="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840" w:type="dxa"/>
            <w:vAlign w:val="bottom"/>
            <w:tcBorders>
              <w:bottom w:val="single" w:sz="8" w:color="auto"/>
            </w:tcBorders>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3"/>
        </w:trPr>
        <w:tc>
          <w:tcPr>
            <w:tcW w:w="720" w:type="dxa"/>
            <w:vAlign w:val="bottom"/>
            <w:gridSpan w:val="2"/>
          </w:tcPr>
          <w:p>
            <w:pPr>
              <w:jc w:val="center"/>
              <w:ind w:left="464"/>
              <w:spacing w:after="0"/>
              <w:rPr>
                <w:sz w:val="20"/>
                <w:szCs w:val="20"/>
                <w:color w:val="auto"/>
              </w:rPr>
            </w:pPr>
            <w:r>
              <w:rPr>
                <w:rFonts w:ascii="Times New Roman" w:cs="Times New Roman" w:eastAsia="Times New Roman" w:hAnsi="Times New Roman"/>
                <w:sz w:val="12"/>
                <w:szCs w:val="12"/>
                <w:color w:val="0000FF"/>
                <w:w w:val="94"/>
              </w:rPr>
              <w:t>99.</w:t>
            </w:r>
            <w:r>
              <w:rPr>
                <w:rFonts w:ascii="Times New Roman" w:cs="Times New Roman" w:eastAsia="Times New Roman" w:hAnsi="Times New Roman"/>
                <w:sz w:val="12"/>
                <w:szCs w:val="12"/>
                <w:u w:val="single" w:color="auto"/>
                <w:color w:val="0000FF"/>
                <w:w w:val="94"/>
              </w:rPr>
              <w:t>1</w:t>
            </w:r>
          </w:p>
        </w:tc>
        <w:tc>
          <w:tcPr>
            <w:tcW w:w="5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520" w:type="dxa"/>
            <w:vAlign w:val="bottom"/>
            <w:gridSpan w:val="4"/>
          </w:tcPr>
          <w:p>
            <w:pPr>
              <w:spacing w:after="0"/>
              <w:rPr>
                <w:sz w:val="20"/>
                <w:szCs w:val="20"/>
                <w:color w:val="auto"/>
              </w:rPr>
            </w:pPr>
            <w:r>
              <w:rPr>
                <w:rFonts w:ascii="Times New Roman" w:cs="Times New Roman" w:eastAsia="Times New Roman" w:hAnsi="Times New Roman"/>
                <w:sz w:val="12"/>
                <w:szCs w:val="12"/>
                <w:color w:val="0000FF"/>
              </w:rPr>
              <w:t>Press Release of Cartesian Therapeutics, Inc. dated May 8, 2024</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8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720" w:type="dxa"/>
            <w:vAlign w:val="bottom"/>
            <w:gridSpan w:val="2"/>
          </w:tcPr>
          <w:p>
            <w:pPr>
              <w:jc w:val="center"/>
              <w:ind w:left="464"/>
              <w:spacing w:after="0" w:line="133" w:lineRule="exact"/>
              <w:rPr>
                <w:sz w:val="20"/>
                <w:szCs w:val="20"/>
                <w:color w:val="auto"/>
              </w:rPr>
            </w:pPr>
            <w:r>
              <w:rPr>
                <w:rFonts w:ascii="Times New Roman" w:cs="Times New Roman" w:eastAsia="Times New Roman" w:hAnsi="Times New Roman"/>
                <w:sz w:val="12"/>
                <w:szCs w:val="12"/>
                <w:color w:val="0000FF"/>
                <w:w w:val="94"/>
              </w:rPr>
              <w:t>99.</w:t>
            </w:r>
            <w:r>
              <w:rPr>
                <w:rFonts w:ascii="Times New Roman" w:cs="Times New Roman" w:eastAsia="Times New Roman" w:hAnsi="Times New Roman"/>
                <w:sz w:val="12"/>
                <w:szCs w:val="12"/>
                <w:u w:val="single" w:color="auto"/>
                <w:color w:val="0000FF"/>
                <w:w w:val="94"/>
              </w:rPr>
              <w:t>2</w:t>
            </w: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520" w:type="dxa"/>
            <w:vAlign w:val="bottom"/>
            <w:gridSpan w:val="4"/>
          </w:tcPr>
          <w:p>
            <w:pPr>
              <w:spacing w:after="0" w:line="133" w:lineRule="exact"/>
              <w:rPr>
                <w:sz w:val="20"/>
                <w:szCs w:val="20"/>
                <w:color w:val="auto"/>
              </w:rPr>
            </w:pPr>
            <w:r>
              <w:rPr>
                <w:rFonts w:ascii="Times New Roman" w:cs="Times New Roman" w:eastAsia="Times New Roman" w:hAnsi="Times New Roman"/>
                <w:sz w:val="12"/>
                <w:szCs w:val="12"/>
                <w:color w:val="0000FF"/>
              </w:rPr>
              <w:t>Corporate slide presentation of Cartesian Therapeutics, Inc. dated May 2024</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20" w:type="dxa"/>
            <w:vAlign w:val="bottom"/>
          </w:tcPr>
          <w:p>
            <w:pPr>
              <w:spacing w:after="0"/>
              <w:rPr>
                <w:sz w:val="13"/>
                <w:szCs w:val="13"/>
                <w:color w:val="auto"/>
              </w:rPr>
            </w:pPr>
          </w:p>
        </w:tc>
        <w:tc>
          <w:tcPr>
            <w:tcW w:w="2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104</w:t>
            </w: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2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c>
          <w:tcPr>
            <w:tcW w:w="0" w:type="dxa"/>
            <w:vAlign w:val="bottom"/>
          </w:tcPr>
          <w:p>
            <w:pPr>
              <w:spacing w:after="0"/>
              <w:rPr>
                <w:sz w:val="1"/>
                <w:szCs w:val="1"/>
                <w:color w:val="auto"/>
              </w:rPr>
            </w:pPr>
          </w:p>
        </w:tc>
      </w:tr>
      <w:tr>
        <w:trPr>
          <w:trHeight w:val="630"/>
        </w:trPr>
        <w:tc>
          <w:tcPr>
            <w:tcW w:w="5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58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557" w:right="29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200" w:type="dxa"/>
            <w:vAlign w:val="bottom"/>
          </w:tcPr>
          <w:p>
            <w:pPr>
              <w:spacing w:after="0"/>
              <w:rPr>
                <w:sz w:val="13"/>
                <w:szCs w:val="13"/>
                <w:color w:val="auto"/>
              </w:rPr>
            </w:pPr>
          </w:p>
        </w:tc>
        <w:tc>
          <w:tcPr>
            <w:tcW w:w="8060" w:type="dxa"/>
            <w:vAlign w:val="bottom"/>
            <w:gridSpan w:val="2"/>
          </w:tcPr>
          <w:p>
            <w:pPr>
              <w:ind w:left="2320"/>
              <w:spacing w:after="0"/>
              <w:rPr>
                <w:sz w:val="20"/>
                <w:szCs w:val="20"/>
                <w:color w:val="auto"/>
              </w:rPr>
            </w:pPr>
            <w:r>
              <w:rPr>
                <w:rFonts w:ascii="Times New Roman" w:cs="Times New Roman" w:eastAsia="Times New Roman" w:hAnsi="Times New Roman"/>
                <w:sz w:val="12"/>
                <w:szCs w:val="12"/>
                <w:color w:val="auto"/>
              </w:rPr>
              <w:t>CARTESIAN THERAPEUTICS, INC.</w:t>
            </w:r>
          </w:p>
        </w:tc>
      </w:tr>
      <w:tr>
        <w:trPr>
          <w:trHeight w:val="459"/>
        </w:trPr>
        <w:tc>
          <w:tcPr>
            <w:tcW w:w="3200" w:type="dxa"/>
            <w:vAlign w:val="bottom"/>
          </w:tcPr>
          <w:p>
            <w:pPr>
              <w:spacing w:after="0"/>
              <w:rPr>
                <w:sz w:val="20"/>
                <w:szCs w:val="20"/>
                <w:color w:val="auto"/>
              </w:rPr>
            </w:pPr>
            <w:r>
              <w:rPr>
                <w:rFonts w:ascii="Times New Roman" w:cs="Times New Roman" w:eastAsia="Times New Roman" w:hAnsi="Times New Roman"/>
                <w:sz w:val="12"/>
                <w:szCs w:val="12"/>
                <w:color w:val="auto"/>
              </w:rPr>
              <w:t>Date: May 8, 2024</w:t>
            </w:r>
          </w:p>
        </w:tc>
        <w:tc>
          <w:tcPr>
            <w:tcW w:w="2900" w:type="dxa"/>
            <w:vAlign w:val="bottom"/>
          </w:tcPr>
          <w:p>
            <w:pPr>
              <w:ind w:left="2320"/>
              <w:spacing w:after="0"/>
              <w:rPr>
                <w:sz w:val="20"/>
                <w:szCs w:val="20"/>
                <w:color w:val="auto"/>
              </w:rPr>
            </w:pPr>
            <w:r>
              <w:rPr>
                <w:rFonts w:ascii="Times New Roman" w:cs="Times New Roman" w:eastAsia="Times New Roman" w:hAnsi="Times New Roman"/>
                <w:sz w:val="12"/>
                <w:szCs w:val="12"/>
                <w:color w:val="auto"/>
              </w:rPr>
              <w:t>By:</w:t>
            </w:r>
          </w:p>
        </w:tc>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Carsten Brunn, Ph.D.</w:t>
            </w:r>
          </w:p>
        </w:tc>
      </w:tr>
      <w:tr>
        <w:trPr>
          <w:trHeight w:val="140"/>
        </w:trPr>
        <w:tc>
          <w:tcPr>
            <w:tcW w:w="320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2"/>
                <w:szCs w:val="12"/>
                <w:color w:val="auto"/>
              </w:rPr>
              <w:t>Carsten Brunn, Ph.D.</w:t>
            </w:r>
          </w:p>
        </w:tc>
      </w:tr>
      <w:tr>
        <w:trPr>
          <w:trHeight w:val="155"/>
        </w:trPr>
        <w:tc>
          <w:tcPr>
            <w:tcW w:w="320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2"/>
                <w:szCs w:val="12"/>
                <w:color w:val="auto"/>
              </w:rPr>
              <w:t>President and Chief Executive Officer</w:t>
            </w:r>
          </w:p>
        </w:tc>
      </w:tr>
    </w:tbl>
    <w:p>
      <w:pPr>
        <w:sectPr>
          <w:pgSz w:w="11900" w:h="16838" w:orient="portrait"/>
          <w:cols w:equalWidth="0" w:num="1">
            <w:col w:w="11260"/>
          </w:cols>
          <w:pgMar w:left="300" w:top="55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6138545</wp:posOffset>
            </wp:positionH>
            <wp:positionV relativeFrom="paragraph">
              <wp:posOffset>13335</wp:posOffset>
            </wp:positionV>
            <wp:extent cx="1034415" cy="3143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4415" cy="314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Calibri" w:cs="Calibri" w:eastAsia="Calibri" w:hAnsi="Calibri"/>
          <w:sz w:val="14"/>
          <w:szCs w:val="14"/>
          <w:b w:val="1"/>
          <w:bCs w:val="1"/>
          <w:color w:val="auto"/>
        </w:rPr>
        <w:t>Cartesian Therapeutcs Reports First Quarter 2024 Financial Results and Provides Business Update</w:t>
      </w:r>
    </w:p>
    <w:p>
      <w:pPr>
        <w:spacing w:after="0" w:line="145" w:lineRule="exact"/>
        <w:rPr>
          <w:sz w:val="20"/>
          <w:szCs w:val="20"/>
          <w:color w:val="auto"/>
        </w:rPr>
      </w:pPr>
    </w:p>
    <w:p>
      <w:pPr>
        <w:jc w:val="center"/>
        <w:spacing w:after="0"/>
        <w:rPr>
          <w:sz w:val="20"/>
          <w:szCs w:val="20"/>
          <w:color w:val="auto"/>
        </w:rPr>
      </w:pPr>
      <w:r>
        <w:rPr>
          <w:rFonts w:ascii="Calibri" w:cs="Calibri" w:eastAsia="Calibri" w:hAnsi="Calibri"/>
          <w:sz w:val="13"/>
          <w:szCs w:val="13"/>
          <w:i w:val="1"/>
          <w:iCs w:val="1"/>
          <w:color w:val="auto"/>
        </w:rPr>
        <w:t>Topline data from Phase 2b trial of Descartes-08, the Company’s potental frst-in-class mRNA CAR-T cell therapy, in myasthenia gravis on track for mid-2024</w:t>
      </w:r>
    </w:p>
    <w:p>
      <w:pPr>
        <w:spacing w:after="0" w:line="147" w:lineRule="exact"/>
        <w:rPr>
          <w:sz w:val="20"/>
          <w:szCs w:val="20"/>
          <w:color w:val="auto"/>
        </w:rPr>
      </w:pPr>
    </w:p>
    <w:p>
      <w:pPr>
        <w:jc w:val="center"/>
        <w:spacing w:after="0"/>
        <w:rPr>
          <w:sz w:val="20"/>
          <w:szCs w:val="20"/>
          <w:color w:val="auto"/>
        </w:rPr>
      </w:pPr>
      <w:r>
        <w:rPr>
          <w:rFonts w:ascii="Calibri" w:cs="Calibri" w:eastAsia="Calibri" w:hAnsi="Calibri"/>
          <w:sz w:val="13"/>
          <w:szCs w:val="13"/>
          <w:i w:val="1"/>
          <w:iCs w:val="1"/>
          <w:color w:val="auto"/>
        </w:rPr>
        <w:t>On track to dose frst patent in Phase 2 trial of Descartes-08 in SLE in 2Q24, as well as Phase 2 basket studies in additonal autoimmune indicatons in 2H24</w:t>
      </w:r>
    </w:p>
    <w:p>
      <w:pPr>
        <w:spacing w:after="0" w:line="138" w:lineRule="exact"/>
        <w:rPr>
          <w:sz w:val="20"/>
          <w:szCs w:val="20"/>
          <w:color w:val="auto"/>
        </w:rPr>
      </w:pPr>
    </w:p>
    <w:p>
      <w:pPr>
        <w:jc w:val="center"/>
        <w:spacing w:after="0"/>
        <w:rPr>
          <w:sz w:val="20"/>
          <w:szCs w:val="20"/>
          <w:color w:val="auto"/>
        </w:rPr>
      </w:pPr>
      <w:r>
        <w:rPr>
          <w:rFonts w:ascii="Calibri" w:cs="Calibri" w:eastAsia="Calibri" w:hAnsi="Calibri"/>
          <w:sz w:val="13"/>
          <w:szCs w:val="13"/>
          <w:i w:val="1"/>
          <w:iCs w:val="1"/>
          <w:color w:val="auto"/>
        </w:rPr>
        <w:t>New headquarters expected to support scale of wholly owned, in-house cGMP manufacturing capabilites for clinical and commercial supply of Company’s pipeline of mRNA cell therapy product candidates</w:t>
      </w:r>
    </w:p>
    <w:p>
      <w:pPr>
        <w:spacing w:after="0" w:line="147" w:lineRule="exact"/>
        <w:rPr>
          <w:sz w:val="20"/>
          <w:szCs w:val="20"/>
          <w:color w:val="auto"/>
        </w:rPr>
      </w:pPr>
    </w:p>
    <w:p>
      <w:pPr>
        <w:jc w:val="center"/>
        <w:spacing w:after="0"/>
        <w:rPr>
          <w:sz w:val="20"/>
          <w:szCs w:val="20"/>
          <w:color w:val="auto"/>
        </w:rPr>
      </w:pPr>
      <w:r>
        <w:rPr>
          <w:rFonts w:ascii="Calibri" w:cs="Calibri" w:eastAsia="Calibri" w:hAnsi="Calibri"/>
          <w:sz w:val="13"/>
          <w:szCs w:val="13"/>
          <w:i w:val="1"/>
          <w:iCs w:val="1"/>
          <w:color w:val="auto"/>
        </w:rPr>
        <w:t>Approximately $104.8M of cash, cash equivalents, and restricted cash as of March 31, 2024, expected to support planned operatons into 2H 2026</w:t>
      </w:r>
    </w:p>
    <w:p>
      <w:pPr>
        <w:spacing w:after="0" w:line="311" w:lineRule="exact"/>
        <w:rPr>
          <w:sz w:val="20"/>
          <w:szCs w:val="20"/>
          <w:color w:val="auto"/>
        </w:rPr>
      </w:pPr>
    </w:p>
    <w:p>
      <w:pPr>
        <w:jc w:val="both"/>
        <w:spacing w:after="0" w:line="227" w:lineRule="auto"/>
        <w:rPr>
          <w:sz w:val="20"/>
          <w:szCs w:val="20"/>
          <w:color w:val="auto"/>
        </w:rPr>
      </w:pPr>
      <w:r>
        <w:rPr>
          <w:rFonts w:ascii="Calibri" w:cs="Calibri" w:eastAsia="Calibri" w:hAnsi="Calibri"/>
          <w:sz w:val="13"/>
          <w:szCs w:val="13"/>
          <w:color w:val="auto"/>
        </w:rPr>
        <w:t>GAITHERSBURG, MD, May 8, 2024 (GLOBE NEWSWIRE) – Cartesian Therapeutcs, Inc. (NASDAQ: RNAC) (the “Company”), a clinical-stage biotechnology company pioneering mRNA cell therapy for autoimmune diseases, today reported fnancial results for the frst quarter ended March 31, 2024, and recent corporate updates.</w:t>
      </w:r>
    </w:p>
    <w:p>
      <w:pPr>
        <w:spacing w:after="0" w:line="150" w:lineRule="exact"/>
        <w:rPr>
          <w:sz w:val="20"/>
          <w:szCs w:val="20"/>
          <w:color w:val="auto"/>
        </w:rPr>
      </w:pPr>
    </w:p>
    <w:p>
      <w:pPr>
        <w:jc w:val="both"/>
        <w:spacing w:after="0" w:line="218" w:lineRule="auto"/>
        <w:rPr>
          <w:sz w:val="20"/>
          <w:szCs w:val="20"/>
          <w:color w:val="auto"/>
        </w:rPr>
      </w:pPr>
      <w:r>
        <w:rPr>
          <w:rFonts w:ascii="Calibri" w:cs="Calibri" w:eastAsia="Calibri" w:hAnsi="Calibri"/>
          <w:sz w:val="13"/>
          <w:szCs w:val="13"/>
          <w:color w:val="auto"/>
        </w:rPr>
        <w:t>“We contnue to make meaningful progress advancing our innovatve pipeline of product candidates and remain on track to report topline results from the Phase 2b trial of our lead product candidate, Descartes-08 for MG, in mid-2024,” said Carsten Brunn, Ph.D., President and Chief Executve Ofcer of Cartesian. “Looking ahead, we also expect to commence dosing in our Phase 2 trial of Descartes-08 in patents with SLE by the end of the second quarter. Descartes-08 is designed with our novel mRNA-engineered CAR-T technology, is not expected to require preconditoning chemotherapy, and is intended to be administered in an outpatent setng. We remain confdent Descartes-08 has the potental to expand the reach of cell therapy to patents with autoimmune diseases and serve as the frst CAR-T cell therapy for the treatment of autoimmunity.”</w:t>
      </w:r>
    </w:p>
    <w:p>
      <w:pPr>
        <w:spacing w:after="0" w:line="152" w:lineRule="exact"/>
        <w:rPr>
          <w:sz w:val="20"/>
          <w:szCs w:val="20"/>
          <w:color w:val="auto"/>
        </w:rPr>
      </w:pPr>
    </w:p>
    <w:p>
      <w:pPr>
        <w:jc w:val="both"/>
        <w:spacing w:after="0" w:line="219" w:lineRule="auto"/>
        <w:rPr>
          <w:sz w:val="20"/>
          <w:szCs w:val="20"/>
          <w:color w:val="auto"/>
        </w:rPr>
      </w:pPr>
      <w:r>
        <w:rPr>
          <w:rFonts w:ascii="Calibri" w:cs="Calibri" w:eastAsia="Calibri" w:hAnsi="Calibri"/>
          <w:sz w:val="13"/>
          <w:szCs w:val="13"/>
          <w:color w:val="auto"/>
        </w:rPr>
        <w:t>Dr. Brunn contnued, “Additonally, we were excited to announce plans to transiton to new corporate headquarters in Frederick, Maryland, that will provide us with the infrastructure to support our next phase of growth. We expect this new facility will allow us to scale our wholly owned, in-house cGMP manufacturing capabilites for late-stage clinical and commercial supply of our mRNA cell therapy product candidates, while contnuing to maintain control over product quality and producton.”</w:t>
      </w:r>
    </w:p>
    <w:p>
      <w:pPr>
        <w:spacing w:after="0" w:line="149"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Recent Pipeline Progress and Antcipated Milestones</w:t>
      </w:r>
    </w:p>
    <w:p>
      <w:pPr>
        <w:spacing w:after="0" w:line="144" w:lineRule="exact"/>
        <w:rPr>
          <w:sz w:val="20"/>
          <w:szCs w:val="20"/>
          <w:color w:val="auto"/>
        </w:rPr>
      </w:pPr>
    </w:p>
    <w:p>
      <w:pPr>
        <w:ind w:left="200"/>
        <w:spacing w:after="0"/>
        <w:rPr>
          <w:sz w:val="20"/>
          <w:szCs w:val="20"/>
          <w:color w:val="auto"/>
        </w:rPr>
      </w:pPr>
      <w:r>
        <w:rPr>
          <w:rFonts w:ascii="Calibri" w:cs="Calibri" w:eastAsia="Calibri" w:hAnsi="Calibri"/>
          <w:sz w:val="14"/>
          <w:szCs w:val="14"/>
          <w:b w:val="1"/>
          <w:bCs w:val="1"/>
          <w:color w:val="auto"/>
        </w:rPr>
        <w:t>Descartes-08 for Myasthenia Gravis (MG)</w:t>
      </w:r>
    </w:p>
    <w:p>
      <w:pPr>
        <w:ind w:left="420" w:hanging="212"/>
        <w:spacing w:after="0" w:line="227" w:lineRule="auto"/>
        <w:tabs>
          <w:tab w:leader="none" w:pos="420" w:val="left"/>
        </w:tabs>
        <w:numPr>
          <w:ilvl w:val="0"/>
          <w:numId w:val="2"/>
        </w:numPr>
        <w:rPr>
          <w:rFonts w:ascii="Calibri" w:cs="Calibri" w:eastAsia="Calibri" w:hAnsi="Calibri"/>
          <w:sz w:val="13"/>
          <w:szCs w:val="13"/>
          <w:color w:val="auto"/>
        </w:rPr>
      </w:pPr>
      <w:r>
        <w:rPr>
          <w:rFonts w:ascii="Calibri" w:cs="Calibri" w:eastAsia="Calibri" w:hAnsi="Calibri"/>
          <w:sz w:val="13"/>
          <w:szCs w:val="13"/>
          <w:color w:val="auto"/>
        </w:rPr>
        <w:t>Topline data from randomized Phase 2b trial in patents with MG on track for mid-2024.</w:t>
      </w:r>
    </w:p>
    <w:p>
      <w:pPr>
        <w:ind w:left="420" w:hanging="212"/>
        <w:spacing w:after="0" w:line="217" w:lineRule="auto"/>
        <w:tabs>
          <w:tab w:leader="none" w:pos="420" w:val="left"/>
        </w:tabs>
        <w:numPr>
          <w:ilvl w:val="0"/>
          <w:numId w:val="2"/>
        </w:numPr>
        <w:rPr>
          <w:rFonts w:ascii="Calibri" w:cs="Calibri" w:eastAsia="Calibri" w:hAnsi="Calibri"/>
          <w:sz w:val="13"/>
          <w:szCs w:val="13"/>
          <w:color w:val="auto"/>
        </w:rPr>
      </w:pPr>
      <w:r>
        <w:rPr>
          <w:rFonts w:ascii="Calibri" w:cs="Calibri" w:eastAsia="Calibri" w:hAnsi="Calibri"/>
          <w:sz w:val="13"/>
          <w:szCs w:val="13"/>
          <w:color w:val="auto"/>
        </w:rPr>
        <w:t>Recently granted Orphan Drug Designaton by the U.S. Food and Drug Administraton (FDA) for the treatment of MG.</w:t>
      </w:r>
    </w:p>
    <w:p>
      <w:pPr>
        <w:ind w:left="420" w:hanging="212"/>
        <w:spacing w:after="0" w:line="191" w:lineRule="auto"/>
        <w:tabs>
          <w:tab w:leader="none" w:pos="415" w:val="left"/>
        </w:tabs>
        <w:numPr>
          <w:ilvl w:val="0"/>
          <w:numId w:val="2"/>
        </w:numPr>
        <w:rPr>
          <w:rFonts w:ascii="Calibri" w:cs="Calibri" w:eastAsia="Calibri" w:hAnsi="Calibri"/>
          <w:sz w:val="13"/>
          <w:szCs w:val="13"/>
          <w:color w:val="auto"/>
        </w:rPr>
      </w:pPr>
      <w:r>
        <w:rPr>
          <w:rFonts w:ascii="Calibri" w:cs="Calibri" w:eastAsia="Calibri" w:hAnsi="Calibri"/>
          <w:sz w:val="13"/>
          <w:szCs w:val="13"/>
          <w:color w:val="auto"/>
        </w:rPr>
        <w:t>Previously disclosed positve, long-term follow-up results from Phase 2a trial. In April 2024, the Company announced that these data will be featured in an oral presentaton at the American Society of Gene and Cell Therapy (ASGCT) 27</w:t>
      </w:r>
      <w:r>
        <w:rPr>
          <w:rFonts w:ascii="Calibri" w:cs="Calibri" w:eastAsia="Calibri" w:hAnsi="Calibri"/>
          <w:sz w:val="17"/>
          <w:szCs w:val="17"/>
          <w:color w:val="auto"/>
          <w:vertAlign w:val="superscript"/>
        </w:rPr>
        <w:t>th</w:t>
      </w:r>
      <w:r>
        <w:rPr>
          <w:rFonts w:ascii="Calibri" w:cs="Calibri" w:eastAsia="Calibri" w:hAnsi="Calibri"/>
          <w:sz w:val="13"/>
          <w:szCs w:val="13"/>
          <w:color w:val="auto"/>
        </w:rPr>
        <w:t xml:space="preserve"> Annual Meetng on May 10, 2024 in Baltmore, Maryland.</w:t>
      </w:r>
    </w:p>
    <w:p>
      <w:pPr>
        <w:ind w:left="420" w:hanging="212"/>
        <w:spacing w:after="0" w:line="198" w:lineRule="auto"/>
        <w:tabs>
          <w:tab w:leader="none" w:pos="420" w:val="left"/>
        </w:tabs>
        <w:numPr>
          <w:ilvl w:val="0"/>
          <w:numId w:val="2"/>
        </w:numPr>
        <w:rPr>
          <w:rFonts w:ascii="Calibri" w:cs="Calibri" w:eastAsia="Calibri" w:hAnsi="Calibri"/>
          <w:sz w:val="13"/>
          <w:szCs w:val="13"/>
          <w:color w:val="auto"/>
        </w:rPr>
      </w:pPr>
      <w:r>
        <w:rPr>
          <w:rFonts w:ascii="Calibri" w:cs="Calibri" w:eastAsia="Calibri" w:hAnsi="Calibri"/>
          <w:sz w:val="13"/>
          <w:szCs w:val="13"/>
          <w:color w:val="auto"/>
        </w:rPr>
        <w:t>Descartes-08, the Company’s lead product candidate, is an autologous ant-B cell maturaton antgen (BCMA) mRNA-engineered chimeric antgen receptor T-cell therapy (mRNA CAR-T).</w:t>
      </w:r>
    </w:p>
    <w:p>
      <w:pPr>
        <w:spacing w:after="0" w:line="146" w:lineRule="exact"/>
        <w:rPr>
          <w:sz w:val="20"/>
          <w:szCs w:val="20"/>
          <w:color w:val="auto"/>
        </w:rPr>
      </w:pPr>
    </w:p>
    <w:p>
      <w:pPr>
        <w:ind w:left="200"/>
        <w:spacing w:after="0"/>
        <w:rPr>
          <w:sz w:val="20"/>
          <w:szCs w:val="20"/>
          <w:color w:val="auto"/>
        </w:rPr>
      </w:pPr>
      <w:r>
        <w:rPr>
          <w:rFonts w:ascii="Calibri" w:cs="Calibri" w:eastAsia="Calibri" w:hAnsi="Calibri"/>
          <w:sz w:val="14"/>
          <w:szCs w:val="14"/>
          <w:b w:val="1"/>
          <w:bCs w:val="1"/>
          <w:color w:val="auto"/>
        </w:rPr>
        <w:t>Descartes-08 for Systemic Lupus Erythematosus (SLE)</w:t>
      </w:r>
    </w:p>
    <w:p>
      <w:pPr>
        <w:ind w:left="420" w:hanging="212"/>
        <w:spacing w:after="0" w:line="214" w:lineRule="auto"/>
        <w:tabs>
          <w:tab w:leader="none" w:pos="420" w:val="left"/>
        </w:tabs>
        <w:numPr>
          <w:ilvl w:val="0"/>
          <w:numId w:val="3"/>
        </w:numPr>
        <w:rPr>
          <w:rFonts w:ascii="Calibri" w:cs="Calibri" w:eastAsia="Calibri" w:hAnsi="Calibri"/>
          <w:sz w:val="13"/>
          <w:szCs w:val="13"/>
          <w:color w:val="auto"/>
        </w:rPr>
      </w:pPr>
      <w:r>
        <w:rPr>
          <w:rFonts w:ascii="Calibri" w:cs="Calibri" w:eastAsia="Calibri" w:hAnsi="Calibri"/>
          <w:sz w:val="13"/>
          <w:szCs w:val="13"/>
          <w:color w:val="auto"/>
        </w:rPr>
        <w:t>Dosing of frst patent in Phase 2 trial of Descartes-08 in patents with SLE expected in second quarter of 2024.</w:t>
      </w:r>
    </w:p>
    <w:p>
      <w:pPr>
        <w:ind w:left="420" w:hanging="212"/>
        <w:spacing w:after="0" w:line="217" w:lineRule="auto"/>
        <w:tabs>
          <w:tab w:leader="none" w:pos="420" w:val="left"/>
        </w:tabs>
        <w:numPr>
          <w:ilvl w:val="0"/>
          <w:numId w:val="3"/>
        </w:numPr>
        <w:rPr>
          <w:rFonts w:ascii="Calibri" w:cs="Calibri" w:eastAsia="Calibri" w:hAnsi="Calibri"/>
          <w:sz w:val="13"/>
          <w:szCs w:val="13"/>
          <w:color w:val="auto"/>
        </w:rPr>
      </w:pPr>
      <w:r>
        <w:rPr>
          <w:rFonts w:ascii="Calibri" w:cs="Calibri" w:eastAsia="Calibri" w:hAnsi="Calibri"/>
          <w:sz w:val="13"/>
          <w:szCs w:val="13"/>
          <w:color w:val="auto"/>
        </w:rPr>
        <w:t>The Phase 2 trial is designed to assess the safety and tolerability of outpatent Descartes-08 administraton without preconditoning chemotherapy.</w:t>
      </w:r>
    </w:p>
    <w:p>
      <w:pPr>
        <w:ind w:left="420" w:hanging="212"/>
        <w:spacing w:after="0" w:line="217" w:lineRule="auto"/>
        <w:tabs>
          <w:tab w:leader="none" w:pos="420" w:val="left"/>
        </w:tabs>
        <w:numPr>
          <w:ilvl w:val="0"/>
          <w:numId w:val="3"/>
        </w:numPr>
        <w:rPr>
          <w:rFonts w:ascii="Calibri" w:cs="Calibri" w:eastAsia="Calibri" w:hAnsi="Calibri"/>
          <w:sz w:val="13"/>
          <w:szCs w:val="13"/>
          <w:color w:val="auto"/>
        </w:rPr>
      </w:pPr>
      <w:r>
        <w:rPr>
          <w:rFonts w:ascii="Calibri" w:cs="Calibri" w:eastAsia="Calibri" w:hAnsi="Calibri"/>
          <w:sz w:val="13"/>
          <w:szCs w:val="13"/>
          <w:color w:val="auto"/>
        </w:rPr>
        <w:t>SLE is an incurable autoimmune disease marked by systemic infammaton that afects multple organ systems and impacts approximately 1.5 million people in the United States.</w:t>
      </w:r>
    </w:p>
    <w:p>
      <w:pPr>
        <w:sectPr>
          <w:pgSz w:w="11900" w:h="16838" w:orient="portrait"/>
          <w:cols w:equalWidth="0" w:num="1">
            <w:col w:w="11300"/>
          </w:cols>
          <w:pgMar w:left="300" w:top="125" w:right="299" w:bottom="1440" w:gutter="0" w:footer="0" w:header="0"/>
        </w:sectPr>
      </w:pPr>
    </w:p>
    <w:bookmarkStart w:id="4" w:name="page5"/>
    <w:bookmarkEnd w:id="4"/>
    <w:p>
      <w:pPr>
        <w:ind w:left="200"/>
        <w:spacing w:after="0"/>
        <w:rPr>
          <w:sz w:val="20"/>
          <w:szCs w:val="20"/>
          <w:color w:val="auto"/>
        </w:rPr>
      </w:pPr>
      <w:r>
        <w:rPr>
          <w:rFonts w:ascii="Calibri" w:cs="Calibri" w:eastAsia="Calibri" w:hAnsi="Calibri"/>
          <w:sz w:val="14"/>
          <w:szCs w:val="14"/>
          <w:b w:val="1"/>
          <w:bCs w:val="1"/>
          <w:color w:val="auto"/>
        </w:rPr>
        <w:drawing>
          <wp:anchor simplePos="0" relativeHeight="251657728" behindDoc="1" locked="0" layoutInCell="0" allowOverlap="1">
            <wp:simplePos x="0" y="0"/>
            <wp:positionH relativeFrom="page">
              <wp:posOffset>6329045</wp:posOffset>
            </wp:positionH>
            <wp:positionV relativeFrom="page">
              <wp:posOffset>88900</wp:posOffset>
            </wp:positionV>
            <wp:extent cx="1034415" cy="3143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034415" cy="314325"/>
                    </a:xfrm>
                    <a:prstGeom prst="rect">
                      <a:avLst/>
                    </a:prstGeom>
                    <a:noFill/>
                  </pic:spPr>
                </pic:pic>
              </a:graphicData>
            </a:graphic>
          </wp:anchor>
        </w:drawing>
        <w:t>Descartes-15 for Multple Myeloma</w:t>
      </w:r>
    </w:p>
    <w:p>
      <w:pPr>
        <w:ind w:left="420" w:hanging="212"/>
        <w:spacing w:after="0" w:line="214" w:lineRule="auto"/>
        <w:tabs>
          <w:tab w:leader="none" w:pos="420" w:val="left"/>
        </w:tabs>
        <w:numPr>
          <w:ilvl w:val="0"/>
          <w:numId w:val="4"/>
        </w:numPr>
        <w:rPr>
          <w:rFonts w:ascii="Calibri" w:cs="Calibri" w:eastAsia="Calibri" w:hAnsi="Calibri"/>
          <w:sz w:val="13"/>
          <w:szCs w:val="13"/>
          <w:color w:val="auto"/>
        </w:rPr>
      </w:pPr>
      <w:r>
        <w:rPr>
          <w:rFonts w:ascii="Calibri" w:cs="Calibri" w:eastAsia="Calibri" w:hAnsi="Calibri"/>
          <w:sz w:val="13"/>
          <w:szCs w:val="13"/>
          <w:color w:val="auto"/>
        </w:rPr>
        <w:t>Planning for the frst-in-human Phase 1 dose escalaton trial is underway to assess the safety and tolerability of outpatent Descartes-15 administraton in patents with multple myeloma.</w:t>
      </w:r>
    </w:p>
    <w:p>
      <w:pPr>
        <w:ind w:left="420" w:right="20" w:hanging="212"/>
        <w:spacing w:after="0" w:line="217" w:lineRule="auto"/>
        <w:tabs>
          <w:tab w:leader="none" w:pos="415" w:val="left"/>
        </w:tabs>
        <w:numPr>
          <w:ilvl w:val="0"/>
          <w:numId w:val="4"/>
        </w:numPr>
        <w:rPr>
          <w:rFonts w:ascii="Calibri" w:cs="Calibri" w:eastAsia="Calibri" w:hAnsi="Calibri"/>
          <w:sz w:val="13"/>
          <w:szCs w:val="13"/>
          <w:color w:val="auto"/>
        </w:rPr>
      </w:pPr>
      <w:r>
        <w:rPr>
          <w:rFonts w:ascii="Calibri" w:cs="Calibri" w:eastAsia="Calibri" w:hAnsi="Calibri"/>
          <w:sz w:val="13"/>
          <w:szCs w:val="13"/>
          <w:color w:val="auto"/>
        </w:rPr>
        <w:t>Descartes-15 is a next-generaton autologous ant-BCMA mRNA CAR-T product candidate designed to have predictable and controllable pharmacokinetcs, potentally circumventng preconditoning chemotherapy, and avoiding the risk of genomic integraton.</w:t>
      </w:r>
    </w:p>
    <w:p>
      <w:pPr>
        <w:spacing w:after="0" w:line="1" w:lineRule="exact"/>
        <w:rPr>
          <w:rFonts w:ascii="Calibri" w:cs="Calibri" w:eastAsia="Calibri" w:hAnsi="Calibri"/>
          <w:sz w:val="13"/>
          <w:szCs w:val="13"/>
          <w:color w:val="auto"/>
        </w:rPr>
      </w:pPr>
    </w:p>
    <w:p>
      <w:pPr>
        <w:ind w:left="420" w:hanging="212"/>
        <w:spacing w:after="0" w:line="217" w:lineRule="auto"/>
        <w:tabs>
          <w:tab w:leader="none" w:pos="420" w:val="left"/>
        </w:tabs>
        <w:numPr>
          <w:ilvl w:val="0"/>
          <w:numId w:val="4"/>
        </w:numPr>
        <w:rPr>
          <w:rFonts w:ascii="Calibri" w:cs="Calibri" w:eastAsia="Calibri" w:hAnsi="Calibri"/>
          <w:sz w:val="13"/>
          <w:szCs w:val="13"/>
          <w:color w:val="auto"/>
        </w:rPr>
      </w:pPr>
      <w:r>
        <w:rPr>
          <w:rFonts w:ascii="Calibri" w:cs="Calibri" w:eastAsia="Calibri" w:hAnsi="Calibri"/>
          <w:sz w:val="13"/>
          <w:szCs w:val="13"/>
          <w:color w:val="auto"/>
        </w:rPr>
        <w:t>The Company expects to subsequently assess Descartes-15 in autoimmune indicatons.</w:t>
      </w:r>
    </w:p>
    <w:p>
      <w:pPr>
        <w:spacing w:after="0" w:line="148" w:lineRule="exact"/>
        <w:rPr>
          <w:sz w:val="20"/>
          <w:szCs w:val="20"/>
          <w:color w:val="auto"/>
        </w:rPr>
      </w:pPr>
    </w:p>
    <w:p>
      <w:pPr>
        <w:spacing w:after="0"/>
        <w:rPr>
          <w:sz w:val="20"/>
          <w:szCs w:val="20"/>
          <w:color w:val="auto"/>
        </w:rPr>
      </w:pPr>
      <w:r>
        <w:rPr>
          <w:rFonts w:ascii="Calibri" w:cs="Calibri" w:eastAsia="Calibri" w:hAnsi="Calibri"/>
          <w:sz w:val="13"/>
          <w:szCs w:val="13"/>
          <w:b w:val="1"/>
          <w:bCs w:val="1"/>
          <w:color w:val="auto"/>
        </w:rPr>
        <w:t>Corporate Updates</w:t>
      </w:r>
    </w:p>
    <w:p>
      <w:pPr>
        <w:spacing w:after="0" w:line="138" w:lineRule="exact"/>
        <w:rPr>
          <w:sz w:val="20"/>
          <w:szCs w:val="20"/>
          <w:color w:val="auto"/>
        </w:rPr>
      </w:pPr>
    </w:p>
    <w:p>
      <w:pPr>
        <w:ind w:left="200"/>
        <w:spacing w:after="0"/>
        <w:rPr>
          <w:sz w:val="20"/>
          <w:szCs w:val="20"/>
          <w:color w:val="auto"/>
        </w:rPr>
      </w:pPr>
      <w:r>
        <w:rPr>
          <w:rFonts w:ascii="Calibri" w:cs="Calibri" w:eastAsia="Calibri" w:hAnsi="Calibri"/>
          <w:sz w:val="13"/>
          <w:szCs w:val="13"/>
          <w:b w:val="1"/>
          <w:bCs w:val="1"/>
          <w:color w:val="auto"/>
        </w:rPr>
        <w:t>Preferred Stock Conversion and Reverse Stock Split Approved at Special Meetng of Stockholders</w:t>
      </w:r>
    </w:p>
    <w:p>
      <w:pPr>
        <w:ind w:left="420" w:hanging="212"/>
        <w:spacing w:after="0" w:line="217" w:lineRule="auto"/>
        <w:tabs>
          <w:tab w:leader="none" w:pos="415" w:val="left"/>
        </w:tabs>
        <w:numPr>
          <w:ilvl w:val="0"/>
          <w:numId w:val="5"/>
        </w:numPr>
        <w:rPr>
          <w:rFonts w:ascii="Calibri" w:cs="Calibri" w:eastAsia="Calibri" w:hAnsi="Calibri"/>
          <w:sz w:val="13"/>
          <w:szCs w:val="13"/>
          <w:color w:val="auto"/>
        </w:rPr>
      </w:pPr>
      <w:r>
        <w:rPr>
          <w:rFonts w:ascii="Calibri" w:cs="Calibri" w:eastAsia="Calibri" w:hAnsi="Calibri"/>
          <w:sz w:val="13"/>
          <w:szCs w:val="13"/>
          <w:color w:val="auto"/>
        </w:rPr>
        <w:t>In March 2024, Cartesian announced the approval for the conversion of the Company’s Series A Non-Votng Convertble Preferred Stock into the Company’s common stock and a 1-for-30 reverse stock split of the Company’s common stock.</w:t>
      </w:r>
    </w:p>
    <w:p>
      <w:pPr>
        <w:spacing w:after="0" w:line="1" w:lineRule="exact"/>
        <w:rPr>
          <w:rFonts w:ascii="Calibri" w:cs="Calibri" w:eastAsia="Calibri" w:hAnsi="Calibri"/>
          <w:sz w:val="13"/>
          <w:szCs w:val="13"/>
          <w:color w:val="auto"/>
        </w:rPr>
      </w:pPr>
    </w:p>
    <w:p>
      <w:pPr>
        <w:ind w:left="420" w:right="20" w:hanging="212"/>
        <w:spacing w:after="0" w:line="217" w:lineRule="auto"/>
        <w:tabs>
          <w:tab w:leader="none" w:pos="415" w:val="left"/>
        </w:tabs>
        <w:numPr>
          <w:ilvl w:val="0"/>
          <w:numId w:val="5"/>
        </w:numPr>
        <w:rPr>
          <w:rFonts w:ascii="Calibri" w:cs="Calibri" w:eastAsia="Calibri" w:hAnsi="Calibri"/>
          <w:sz w:val="13"/>
          <w:szCs w:val="13"/>
          <w:color w:val="auto"/>
        </w:rPr>
      </w:pPr>
      <w:r>
        <w:rPr>
          <w:rFonts w:ascii="Calibri" w:cs="Calibri" w:eastAsia="Calibri" w:hAnsi="Calibri"/>
          <w:sz w:val="13"/>
          <w:szCs w:val="13"/>
          <w:color w:val="auto"/>
        </w:rPr>
        <w:t>Following the reverse stock split and the automatc conversion of the Company’s Series A Non-Votng Convertble Preferred Stock into common stock, the number of issued and outstanding shares of the Company’s common stock is approximately 17.8 million shares.</w:t>
      </w:r>
    </w:p>
    <w:p>
      <w:pPr>
        <w:spacing w:after="0" w:line="310" w:lineRule="exact"/>
        <w:rPr>
          <w:sz w:val="20"/>
          <w:szCs w:val="20"/>
          <w:color w:val="auto"/>
        </w:rPr>
      </w:pPr>
    </w:p>
    <w:p>
      <w:pPr>
        <w:ind w:left="200"/>
        <w:spacing w:after="0"/>
        <w:rPr>
          <w:sz w:val="20"/>
          <w:szCs w:val="20"/>
          <w:color w:val="auto"/>
        </w:rPr>
      </w:pPr>
      <w:r>
        <w:rPr>
          <w:rFonts w:ascii="Calibri" w:cs="Calibri" w:eastAsia="Calibri" w:hAnsi="Calibri"/>
          <w:sz w:val="13"/>
          <w:szCs w:val="13"/>
          <w:b w:val="1"/>
          <w:bCs w:val="1"/>
          <w:color w:val="auto"/>
        </w:rPr>
        <w:t>Transitoning Corporate Headquarters to Frederick, Maryland</w:t>
      </w:r>
    </w:p>
    <w:p>
      <w:pPr>
        <w:ind w:left="420" w:hanging="212"/>
        <w:spacing w:after="0" w:line="210" w:lineRule="auto"/>
        <w:tabs>
          <w:tab w:leader="none" w:pos="415" w:val="left"/>
        </w:tabs>
        <w:numPr>
          <w:ilvl w:val="0"/>
          <w:numId w:val="6"/>
        </w:numPr>
        <w:rPr>
          <w:rFonts w:ascii="Calibri" w:cs="Calibri" w:eastAsia="Calibri" w:hAnsi="Calibri"/>
          <w:sz w:val="13"/>
          <w:szCs w:val="13"/>
          <w:color w:val="auto"/>
        </w:rPr>
      </w:pPr>
      <w:r>
        <w:rPr>
          <w:rFonts w:ascii="Calibri" w:cs="Calibri" w:eastAsia="Calibri" w:hAnsi="Calibri"/>
          <w:sz w:val="13"/>
          <w:szCs w:val="13"/>
          <w:color w:val="auto"/>
        </w:rPr>
        <w:t xml:space="preserve">In March 2024, the Company </w:t>
      </w:r>
      <w:hyperlink r:id="rId15">
        <w:r>
          <w:rPr>
            <w:rFonts w:ascii="Calibri" w:cs="Calibri" w:eastAsia="Calibri" w:hAnsi="Calibri"/>
            <w:sz w:val="13"/>
            <w:szCs w:val="13"/>
            <w:u w:val="single" w:color="auto"/>
            <w:color w:val="0000FF"/>
          </w:rPr>
          <w:t>announced</w:t>
        </w:r>
        <w:r>
          <w:rPr>
            <w:rFonts w:ascii="Calibri" w:cs="Calibri" w:eastAsia="Calibri" w:hAnsi="Calibri"/>
            <w:sz w:val="13"/>
            <w:szCs w:val="13"/>
            <w:u w:val="single" w:color="auto"/>
            <w:color w:val="auto"/>
          </w:rPr>
          <w:t xml:space="preserve"> </w:t>
        </w:r>
      </w:hyperlink>
      <w:r>
        <w:rPr>
          <w:rFonts w:ascii="Calibri" w:cs="Calibri" w:eastAsia="Calibri" w:hAnsi="Calibri"/>
          <w:sz w:val="13"/>
          <w:szCs w:val="13"/>
          <w:color w:val="auto"/>
        </w:rPr>
        <w:t>plans to transiton its corporate headquarters to Frederick, Maryland. Following this announcement, Cartesian further expanded the footprint of this facility by approximately 30% through an amended agreement.</w:t>
      </w:r>
    </w:p>
    <w:p>
      <w:pPr>
        <w:spacing w:after="0" w:line="1" w:lineRule="exact"/>
        <w:rPr>
          <w:rFonts w:ascii="Calibri" w:cs="Calibri" w:eastAsia="Calibri" w:hAnsi="Calibri"/>
          <w:sz w:val="13"/>
          <w:szCs w:val="13"/>
          <w:color w:val="auto"/>
        </w:rPr>
      </w:pPr>
    </w:p>
    <w:p>
      <w:pPr>
        <w:jc w:val="both"/>
        <w:ind w:left="420" w:right="20" w:hanging="212"/>
        <w:spacing w:after="0" w:line="217" w:lineRule="auto"/>
        <w:tabs>
          <w:tab w:leader="none" w:pos="415" w:val="left"/>
        </w:tabs>
        <w:numPr>
          <w:ilvl w:val="0"/>
          <w:numId w:val="6"/>
        </w:numPr>
        <w:rPr>
          <w:rFonts w:ascii="Calibri" w:cs="Calibri" w:eastAsia="Calibri" w:hAnsi="Calibri"/>
          <w:sz w:val="13"/>
          <w:szCs w:val="13"/>
          <w:color w:val="auto"/>
        </w:rPr>
      </w:pPr>
      <w:r>
        <w:rPr>
          <w:rFonts w:ascii="Calibri" w:cs="Calibri" w:eastAsia="Calibri" w:hAnsi="Calibri"/>
          <w:sz w:val="13"/>
          <w:szCs w:val="13"/>
          <w:color w:val="auto"/>
        </w:rPr>
        <w:t>The Company now has approximately 27,000 square feet of state-of-the-art current good manufacturing practce (cGMP) compliant manufacturing and laboratory space, as well as general and administratve ofce space to support the Company’s contnued growth. This facility reinforces the development of Cartesian’s clinical and preclinical programs through clinical and commercial manufacturing scale capabilites and advanced research and development laboratory space.</w:t>
      </w:r>
    </w:p>
    <w:p>
      <w:pPr>
        <w:spacing w:after="0" w:line="1" w:lineRule="exact"/>
        <w:rPr>
          <w:rFonts w:ascii="Calibri" w:cs="Calibri" w:eastAsia="Calibri" w:hAnsi="Calibri"/>
          <w:sz w:val="13"/>
          <w:szCs w:val="13"/>
          <w:color w:val="auto"/>
        </w:rPr>
      </w:pPr>
    </w:p>
    <w:p>
      <w:pPr>
        <w:ind w:left="420" w:hanging="212"/>
        <w:spacing w:after="0" w:line="210" w:lineRule="auto"/>
        <w:tabs>
          <w:tab w:leader="none" w:pos="415" w:val="left"/>
        </w:tabs>
        <w:numPr>
          <w:ilvl w:val="0"/>
          <w:numId w:val="6"/>
        </w:numPr>
        <w:rPr>
          <w:rFonts w:ascii="Calibri" w:cs="Calibri" w:eastAsia="Calibri" w:hAnsi="Calibri"/>
          <w:sz w:val="13"/>
          <w:szCs w:val="13"/>
          <w:color w:val="auto"/>
        </w:rPr>
      </w:pPr>
      <w:r>
        <w:rPr>
          <w:rFonts w:ascii="Calibri" w:cs="Calibri" w:eastAsia="Calibri" w:hAnsi="Calibri"/>
          <w:sz w:val="13"/>
          <w:szCs w:val="13"/>
          <w:color w:val="auto"/>
        </w:rPr>
        <w:t>By conductng all manufacturing in-house, Cartesian expects to optmize processes more rapidly and iteratvely while directly working to ensure adherence to strict quality standards. The Company believes this facility will facilitate producton of potent yet safer, cost-efectve mRNA cell therapy product candidates for late-stage clinical and commercial supply.</w:t>
      </w:r>
    </w:p>
    <w:p>
      <w:pPr>
        <w:spacing w:after="0" w:line="149" w:lineRule="exact"/>
        <w:rPr>
          <w:sz w:val="20"/>
          <w:szCs w:val="20"/>
          <w:color w:val="auto"/>
        </w:rPr>
      </w:pPr>
    </w:p>
    <w:p>
      <w:pPr>
        <w:spacing w:after="0"/>
        <w:rPr>
          <w:sz w:val="20"/>
          <w:szCs w:val="20"/>
          <w:color w:val="auto"/>
        </w:rPr>
      </w:pPr>
      <w:r>
        <w:rPr>
          <w:rFonts w:ascii="Calibri" w:cs="Calibri" w:eastAsia="Calibri" w:hAnsi="Calibri"/>
          <w:sz w:val="13"/>
          <w:szCs w:val="13"/>
          <w:b w:val="1"/>
          <w:bCs w:val="1"/>
          <w:color w:val="auto"/>
        </w:rPr>
        <w:t>First Quarter 2024 Financial Results</w:t>
      </w:r>
    </w:p>
    <w:p>
      <w:pPr>
        <w:spacing w:after="0" w:line="149" w:lineRule="exact"/>
        <w:rPr>
          <w:sz w:val="20"/>
          <w:szCs w:val="20"/>
          <w:color w:val="auto"/>
        </w:rPr>
      </w:pPr>
    </w:p>
    <w:p>
      <w:pPr>
        <w:ind w:left="420" w:hanging="212"/>
        <w:spacing w:after="0" w:line="227" w:lineRule="auto"/>
        <w:tabs>
          <w:tab w:leader="none" w:pos="415" w:val="left"/>
        </w:tabs>
        <w:numPr>
          <w:ilvl w:val="0"/>
          <w:numId w:val="7"/>
        </w:numPr>
        <w:rPr>
          <w:rFonts w:ascii="Calibri" w:cs="Calibri" w:eastAsia="Calibri" w:hAnsi="Calibri"/>
          <w:sz w:val="13"/>
          <w:szCs w:val="13"/>
          <w:color w:val="auto"/>
        </w:rPr>
      </w:pPr>
      <w:r>
        <w:rPr>
          <w:rFonts w:ascii="Calibri" w:cs="Calibri" w:eastAsia="Calibri" w:hAnsi="Calibri"/>
          <w:sz w:val="13"/>
          <w:szCs w:val="13"/>
          <w:color w:val="auto"/>
        </w:rPr>
        <w:t>Cash, cash equivalents, and restricted cash of approximately $104.8 million as of March 31, 2024. The Company’s cash, cash equivalents and restricted cash as of March 31, 2024 is expected to support planned operatons and the development of Cartesian’s pipeline into the second half of 2026, including the planned Phase 3 trial of Descartes-08 in MG.</w:t>
      </w:r>
    </w:p>
    <w:p>
      <w:pPr>
        <w:spacing w:after="0" w:line="149" w:lineRule="exact"/>
        <w:rPr>
          <w:rFonts w:ascii="Calibri" w:cs="Calibri" w:eastAsia="Calibri" w:hAnsi="Calibri"/>
          <w:sz w:val="13"/>
          <w:szCs w:val="13"/>
          <w:color w:val="auto"/>
        </w:rPr>
      </w:pPr>
    </w:p>
    <w:p>
      <w:pPr>
        <w:jc w:val="both"/>
        <w:ind w:left="420" w:right="20" w:hanging="212"/>
        <w:spacing w:after="0" w:line="219" w:lineRule="auto"/>
        <w:tabs>
          <w:tab w:leader="none" w:pos="415" w:val="left"/>
        </w:tabs>
        <w:numPr>
          <w:ilvl w:val="0"/>
          <w:numId w:val="7"/>
        </w:numPr>
        <w:rPr>
          <w:rFonts w:ascii="Calibri" w:cs="Calibri" w:eastAsia="Calibri" w:hAnsi="Calibri"/>
          <w:sz w:val="13"/>
          <w:szCs w:val="13"/>
          <w:color w:val="auto"/>
        </w:rPr>
      </w:pPr>
      <w:r>
        <w:rPr>
          <w:rFonts w:ascii="Calibri" w:cs="Calibri" w:eastAsia="Calibri" w:hAnsi="Calibri"/>
          <w:sz w:val="13"/>
          <w:szCs w:val="13"/>
          <w:color w:val="auto"/>
        </w:rPr>
        <w:t>Research and development expenses were $9.7 million for the quarter ended March 31, 2024, compared to $18.6 million for the quarter ended March 31, 2023. The decrease in research and development expenses of $8.9 million for the quarter ended March 31, 2024 was primarily the result of reductons in expenses incurred for preclinical and clinical programs due to the strategic reprioritzaton in the Company’s clinical pipeline.</w:t>
      </w:r>
    </w:p>
    <w:p>
      <w:pPr>
        <w:spacing w:after="0" w:line="150" w:lineRule="exact"/>
        <w:rPr>
          <w:rFonts w:ascii="Calibri" w:cs="Calibri" w:eastAsia="Calibri" w:hAnsi="Calibri"/>
          <w:sz w:val="13"/>
          <w:szCs w:val="13"/>
          <w:color w:val="auto"/>
        </w:rPr>
      </w:pPr>
    </w:p>
    <w:p>
      <w:pPr>
        <w:ind w:left="420" w:right="20" w:hanging="212"/>
        <w:spacing w:after="0" w:line="227" w:lineRule="auto"/>
        <w:tabs>
          <w:tab w:leader="none" w:pos="415" w:val="left"/>
        </w:tabs>
        <w:numPr>
          <w:ilvl w:val="0"/>
          <w:numId w:val="7"/>
        </w:numPr>
        <w:rPr>
          <w:rFonts w:ascii="Calibri" w:cs="Calibri" w:eastAsia="Calibri" w:hAnsi="Calibri"/>
          <w:sz w:val="13"/>
          <w:szCs w:val="13"/>
          <w:color w:val="auto"/>
        </w:rPr>
      </w:pPr>
      <w:r>
        <w:rPr>
          <w:rFonts w:ascii="Calibri" w:cs="Calibri" w:eastAsia="Calibri" w:hAnsi="Calibri"/>
          <w:sz w:val="13"/>
          <w:szCs w:val="13"/>
          <w:color w:val="auto"/>
        </w:rPr>
        <w:t>General and administratve expenses were $9.5 million for the quarter ended March 31, 2024, compared to $5.7 million for the quarter ended March 31, 2023. The increase in expense of $3.8 million for the quarter ended March 31, 2024 was primarily due to an increase in professional fees incurred in connecton with the Company’s merger in November 2023.</w:t>
      </w:r>
    </w:p>
    <w:p>
      <w:pPr>
        <w:spacing w:after="0" w:line="149" w:lineRule="exact"/>
        <w:rPr>
          <w:rFonts w:ascii="Calibri" w:cs="Calibri" w:eastAsia="Calibri" w:hAnsi="Calibri"/>
          <w:sz w:val="13"/>
          <w:szCs w:val="13"/>
          <w:color w:val="auto"/>
        </w:rPr>
      </w:pPr>
    </w:p>
    <w:p>
      <w:pPr>
        <w:ind w:left="420" w:hanging="212"/>
        <w:spacing w:after="0" w:line="227" w:lineRule="auto"/>
        <w:tabs>
          <w:tab w:leader="none" w:pos="415" w:val="left"/>
        </w:tabs>
        <w:numPr>
          <w:ilvl w:val="0"/>
          <w:numId w:val="7"/>
        </w:numPr>
        <w:rPr>
          <w:rFonts w:ascii="Calibri" w:cs="Calibri" w:eastAsia="Calibri" w:hAnsi="Calibri"/>
          <w:sz w:val="13"/>
          <w:szCs w:val="13"/>
          <w:color w:val="auto"/>
        </w:rPr>
      </w:pPr>
      <w:r>
        <w:rPr>
          <w:rFonts w:ascii="Calibri" w:cs="Calibri" w:eastAsia="Calibri" w:hAnsi="Calibri"/>
          <w:sz w:val="13"/>
          <w:szCs w:val="13"/>
          <w:color w:val="auto"/>
        </w:rPr>
        <w:t>Net loss was $(56.8) million, or $(10.50) per share (basic/diluted), for the quarter ended March 31, 2024, compared to net loss of $(21.7) million, or $(4.24) per share (basic/diluted), for the quarter ended March 31, 2023.</w:t>
      </w:r>
    </w:p>
    <w:p>
      <w:pPr>
        <w:spacing w:after="0" w:line="139" w:lineRule="exact"/>
        <w:rPr>
          <w:sz w:val="20"/>
          <w:szCs w:val="20"/>
          <w:color w:val="auto"/>
        </w:rPr>
      </w:pPr>
    </w:p>
    <w:p>
      <w:pPr>
        <w:spacing w:after="0"/>
        <w:rPr>
          <w:sz w:val="20"/>
          <w:szCs w:val="20"/>
          <w:color w:val="auto"/>
        </w:rPr>
      </w:pPr>
      <w:r>
        <w:rPr>
          <w:rFonts w:ascii="Calibri" w:cs="Calibri" w:eastAsia="Calibri" w:hAnsi="Calibri"/>
          <w:sz w:val="13"/>
          <w:szCs w:val="13"/>
          <w:b w:val="1"/>
          <w:bCs w:val="1"/>
          <w:color w:val="auto"/>
        </w:rPr>
        <w:t>About Cartesian Therapeutcs</w:t>
      </w:r>
    </w:p>
    <w:p>
      <w:pPr>
        <w:sectPr>
          <w:pgSz w:w="11900" w:h="16838" w:orient="portrait"/>
          <w:cols w:equalWidth="0" w:num="1">
            <w:col w:w="11300"/>
          </w:cols>
          <w:pgMar w:left="300" w:top="867" w:right="299" w:bottom="1440" w:gutter="0" w:footer="0" w:header="0"/>
        </w:sectPr>
      </w:pPr>
    </w:p>
    <w:bookmarkStart w:id="5" w:name="page6"/>
    <w:bookmarkEnd w:id="5"/>
    <w:p>
      <w:pPr>
        <w:jc w:val="both"/>
        <w:spacing w:after="0" w:line="219" w:lineRule="auto"/>
        <w:rPr>
          <w:sz w:val="20"/>
          <w:szCs w:val="20"/>
          <w:color w:val="auto"/>
        </w:rPr>
      </w:pPr>
      <w:r>
        <w:rPr>
          <w:rFonts w:ascii="Calibri" w:cs="Calibri" w:eastAsia="Calibri" w:hAnsi="Calibri"/>
          <w:sz w:val="13"/>
          <w:szCs w:val="13"/>
          <w:color w:val="auto"/>
        </w:rPr>
        <w:drawing>
          <wp:anchor simplePos="0" relativeHeight="251657728" behindDoc="1" locked="0" layoutInCell="0" allowOverlap="1">
            <wp:simplePos x="0" y="0"/>
            <wp:positionH relativeFrom="page">
              <wp:posOffset>6329045</wp:posOffset>
            </wp:positionH>
            <wp:positionV relativeFrom="page">
              <wp:posOffset>88900</wp:posOffset>
            </wp:positionV>
            <wp:extent cx="1034415" cy="3143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034415" cy="314325"/>
                    </a:xfrm>
                    <a:prstGeom prst="rect">
                      <a:avLst/>
                    </a:prstGeom>
                    <a:noFill/>
                  </pic:spPr>
                </pic:pic>
              </a:graphicData>
            </a:graphic>
          </wp:anchor>
        </w:drawing>
        <w:t>Cartesian Therapeutcs is a clinical-stage company pioneering mRNA cell therapies for the treatment of autoimmune diseases. The Company’s lead asset, Descartes-08, is a potental frst-in-class mRNA CAR-T in Phase 2b clinical development for patents with generalized myasthenia gravis. Additonal Phase 2 studies are planned in systemic lupus erythematosus under an allowed IND, as well as basket trials in additonal autoimmune indicatons. The Company’s clinical-stage pipeline also includes Descartes-15, a next-generaton, autologous ant-BCMA mRNA CAR-T. For more informaton, please visit www.cartesiantherapeutcs.com or follow the Company on LinkedIn or X, formerly known as Twiter.</w:t>
      </w:r>
    </w:p>
    <w:p>
      <w:pPr>
        <w:spacing w:after="0" w:line="148" w:lineRule="exact"/>
        <w:rPr>
          <w:sz w:val="20"/>
          <w:szCs w:val="20"/>
          <w:color w:val="auto"/>
        </w:rPr>
      </w:pPr>
    </w:p>
    <w:p>
      <w:pPr>
        <w:spacing w:after="0"/>
        <w:rPr>
          <w:sz w:val="20"/>
          <w:szCs w:val="20"/>
          <w:color w:val="auto"/>
        </w:rPr>
      </w:pPr>
      <w:r>
        <w:rPr>
          <w:rFonts w:ascii="Calibri" w:cs="Calibri" w:eastAsia="Calibri" w:hAnsi="Calibri"/>
          <w:sz w:val="13"/>
          <w:szCs w:val="13"/>
          <w:b w:val="1"/>
          <w:bCs w:val="1"/>
          <w:color w:val="auto"/>
        </w:rPr>
        <w:t>Forward Looking Statements</w:t>
      </w:r>
    </w:p>
    <w:p>
      <w:pPr>
        <w:spacing w:after="0" w:line="149" w:lineRule="exact"/>
        <w:rPr>
          <w:sz w:val="20"/>
          <w:szCs w:val="20"/>
          <w:color w:val="auto"/>
        </w:rPr>
      </w:pPr>
    </w:p>
    <w:p>
      <w:pPr>
        <w:jc w:val="both"/>
        <w:spacing w:after="0" w:line="216" w:lineRule="auto"/>
        <w:rPr>
          <w:sz w:val="20"/>
          <w:szCs w:val="20"/>
          <w:color w:val="auto"/>
        </w:rPr>
      </w:pPr>
      <w:r>
        <w:rPr>
          <w:rFonts w:ascii="Calibri" w:cs="Calibri" w:eastAsia="Calibri" w:hAnsi="Calibri"/>
          <w:sz w:val="13"/>
          <w:szCs w:val="13"/>
          <w:color w:val="auto"/>
        </w:rPr>
        <w:t>Any statements in this press release about the future expectatons, plans and prospects of the Company, including without limitaton, statements regarding the Company’s expected cash resources and cash runway, the Company’s estmated cash on hand, the Company’s headquarters relocaton, the Company’s manufacturing capabilites and ability to supply necessary quanttes of its product candidates for clinical trials and potental commercializaton, the Company’s ability to maintain control over its product quality and producton, the potental of the Company’s technology to enable precision control and optmizaton of engineered cells for diverse cell therapies leveraging multple modalites, the potental of Descartes-08 and Descartes-15 and the Company’s other product candidates to treat myasthenia gravis, systemic lupus erythematosus, or any other disease, the antcipated initaton tming of planned clinical trials, the antcipated tming or the outcome of ongoing and planned clinical trials, studies and data readouts, the antcipated tming or the outcome of the FDA’s review of the Company’s regulatory flings, the Company’s ability to conduct its clinical trials and preclinical studies, the tming or making of any regulatory flings, the antcipated tming or outcome of selecton of developmental product candidates, the ability of the Company to consummate any expected agreements and licenses and to realize the antcipated benefts thereof, the novelty of treatment paradigms that the Company is able to develop, the potental of any therapies developed by the Company to fulfll unmet medical needs, the Company’s ability to enter into and maintain its strategic partnerships, and enrollment in the Company’s clinical trials and other statements containing the words “antcipate,” “believe,” “contnue,” “could,” “estmate,” “expect,” “hypothesize,” “intend,” “may,” “plan,” “potental,” “predict,” “project,” “should,” “target,” “would,” and similar expressions, consttute forward-looking statements within the meaning of The Private Securites Litgaton Reform Act of 1995. Actual results may difer materially from those indicated by such forward-looking statements as a result of various important factors, including, but not limited to, the following: the uncertaintes inherent in the initaton, completon and cost of clinical trials including proof of concept trials, including uncertain outcomes, the availability and tming of data from ongoing and future clinical trials and the results of such trials, whether preliminary results from a partcular clinical trial will be predictve of the fnal results of that trial and whether results of early clinical trials will be indicatve of the results of later clinical trials, the ability to predict results of studies performed on human beings based on results of studies performed on non-human subjects, the unproven approach of the Company’s technology, potental delays in enrollment of patents, undesirable side efects of the Company’s product candidates, its reliance on third partes to conduct its clinical trials, the Company’s inability to maintain its existng or future collaboratons, licenses or contractual relatonships, its inability to protect its proprietary technology and intellectual property, potental delays in regulatory approvals, the availability of funding sufcient for its foreseeable and unforeseeable operatng expenses and capital expenditure requirements, the Company’s recurring losses from operatons and negatve cash fows, substantal fuctuaton in the price of the Company’s common stock, risks related to geopolitcal conficts and pandemics and other important factors discussed in the “Risk Factors” secton of the Company’s most recent Annual Report on Form 10-K and subsequently fled Quarterly Reports on Form 10-Q, and in other flings that the Company makes with the Securites and Exchange Commission. In additon, any forward-looking statements included in this press release represent the Company’s views only as of the date of its publicaton and should not be relied upon as representng its views as of any subsequent date. The Company specifcally disclaims any intenton to update any forward-looking statements included in this press release, except as required by law.</w:t>
      </w:r>
    </w:p>
    <w:p>
      <w:pPr>
        <w:sectPr>
          <w:pgSz w:w="11900" w:h="16838" w:orient="portrait"/>
          <w:cols w:equalWidth="0" w:num="1">
            <w:col w:w="11300"/>
          </w:cols>
          <w:pgMar w:left="300" w:top="870" w:right="29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6329045</wp:posOffset>
            </wp:positionH>
            <wp:positionV relativeFrom="page">
              <wp:posOffset>88900</wp:posOffset>
            </wp:positionV>
            <wp:extent cx="1034415" cy="3143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034415" cy="314325"/>
                    </a:xfrm>
                    <a:prstGeom prst="rect">
                      <a:avLst/>
                    </a:prstGeom>
                    <a:noFill/>
                  </pic:spPr>
                </pic:pic>
              </a:graphicData>
            </a:graphic>
          </wp:anchor>
        </w:drawing>
        <w:t>Cartesian Therapeutics, Inc. and Subsidiaries</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Consolidated Balance Sheets</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(Amounts in thousands, except share data and par value)</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7840" w:type="dxa"/>
            <w:vAlign w:val="bottom"/>
          </w:tcPr>
          <w:p>
            <w:pPr>
              <w:spacing w:after="0"/>
              <w:rPr>
                <w:sz w:val="11"/>
                <w:szCs w:val="11"/>
                <w:color w:val="auto"/>
              </w:rPr>
            </w:pPr>
          </w:p>
        </w:tc>
        <w:tc>
          <w:tcPr>
            <w:tcW w:w="1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b w:val="1"/>
                <w:bCs w:val="1"/>
                <w:color w:val="auto"/>
              </w:rPr>
              <w:t>March 31, 2024</w:t>
            </w:r>
          </w:p>
        </w:tc>
        <w:tc>
          <w:tcPr>
            <w:tcW w:w="4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0"/>
                <w:szCs w:val="10"/>
                <w:b w:val="1"/>
                <w:bCs w:val="1"/>
                <w:color w:val="auto"/>
              </w:rPr>
              <w:t>December 31, 2023</w:t>
            </w:r>
          </w:p>
        </w:tc>
        <w:tc>
          <w:tcPr>
            <w:tcW w:w="0" w:type="dxa"/>
            <w:vAlign w:val="bottom"/>
          </w:tcPr>
          <w:p>
            <w:pPr>
              <w:spacing w:after="0"/>
              <w:rPr>
                <w:sz w:val="1"/>
                <w:szCs w:val="1"/>
                <w:color w:val="auto"/>
              </w:rPr>
            </w:pPr>
          </w:p>
        </w:tc>
      </w:tr>
      <w:tr>
        <w:trPr>
          <w:trHeight w:val="128"/>
        </w:trPr>
        <w:tc>
          <w:tcPr>
            <w:tcW w:w="7840" w:type="dxa"/>
            <w:vAlign w:val="bottom"/>
          </w:tcPr>
          <w:p>
            <w:pPr>
              <w:spacing w:after="0"/>
              <w:rPr>
                <w:sz w:val="11"/>
                <w:szCs w:val="11"/>
                <w:color w:val="auto"/>
              </w:rPr>
            </w:pPr>
          </w:p>
        </w:tc>
        <w:tc>
          <w:tcPr>
            <w:tcW w:w="1220" w:type="dxa"/>
            <w:vAlign w:val="bottom"/>
          </w:tcPr>
          <w:p>
            <w:pPr>
              <w:jc w:val="right"/>
              <w:ind w:right="92"/>
              <w:spacing w:after="0"/>
              <w:rPr>
                <w:sz w:val="20"/>
                <w:szCs w:val="20"/>
                <w:color w:val="auto"/>
              </w:rPr>
            </w:pPr>
            <w:r>
              <w:rPr>
                <w:rFonts w:ascii="Times New Roman" w:cs="Times New Roman" w:eastAsia="Times New Roman" w:hAnsi="Times New Roman"/>
                <w:sz w:val="10"/>
                <w:szCs w:val="10"/>
                <w:b w:val="1"/>
                <w:bCs w:val="1"/>
                <w:color w:val="auto"/>
              </w:rPr>
              <w:t>(Unaudited)</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Assets</w:t>
            </w:r>
          </w:p>
        </w:tc>
        <w:tc>
          <w:tcPr>
            <w:tcW w:w="1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78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Current assets:</w:t>
            </w:r>
          </w:p>
        </w:tc>
        <w:tc>
          <w:tcPr>
            <w:tcW w:w="1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Cash and cash equivalents</w:t>
            </w:r>
          </w:p>
        </w:tc>
        <w:tc>
          <w:tcPr>
            <w:tcW w:w="1220" w:type="dxa"/>
            <w:vAlign w:val="bottom"/>
            <w:shd w:val="clear" w:color="auto" w:fill="CCEEFF"/>
          </w:tcPr>
          <w:p>
            <w:pPr>
              <w:jc w:val="right"/>
              <w:ind w:right="1112"/>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103,418</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0"/>
                <w:szCs w:val="10"/>
                <w:color w:val="auto"/>
                <w:w w:val="7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76,911</w:t>
            </w:r>
          </w:p>
        </w:tc>
        <w:tc>
          <w:tcPr>
            <w:tcW w:w="0" w:type="dxa"/>
            <w:vAlign w:val="bottom"/>
          </w:tcPr>
          <w:p>
            <w:pPr>
              <w:spacing w:after="0"/>
              <w:rPr>
                <w:sz w:val="1"/>
                <w:szCs w:val="1"/>
                <w:color w:val="auto"/>
              </w:rPr>
            </w:pPr>
          </w:p>
        </w:tc>
      </w:tr>
      <w:tr>
        <w:trPr>
          <w:trHeight w:val="129"/>
        </w:trPr>
        <w:tc>
          <w:tcPr>
            <w:tcW w:w="7840" w:type="dxa"/>
            <w:vAlign w:val="bottom"/>
          </w:tcPr>
          <w:p>
            <w:pPr>
              <w:spacing w:after="0"/>
              <w:rPr>
                <w:sz w:val="20"/>
                <w:szCs w:val="20"/>
                <w:color w:val="auto"/>
              </w:rPr>
            </w:pPr>
            <w:r>
              <w:rPr>
                <w:rFonts w:ascii="Times New Roman" w:cs="Times New Roman" w:eastAsia="Times New Roman" w:hAnsi="Times New Roman"/>
                <w:sz w:val="10"/>
                <w:szCs w:val="10"/>
                <w:color w:val="auto"/>
              </w:rPr>
              <w:t>Accounts receivable</w:t>
            </w:r>
          </w:p>
        </w:tc>
        <w:tc>
          <w:tcPr>
            <w:tcW w:w="12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2,006</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5,870</w:t>
            </w:r>
          </w:p>
        </w:tc>
        <w:tc>
          <w:tcPr>
            <w:tcW w:w="0" w:type="dxa"/>
            <w:vAlign w:val="bottom"/>
          </w:tcPr>
          <w:p>
            <w:pPr>
              <w:spacing w:after="0"/>
              <w:rPr>
                <w:sz w:val="1"/>
                <w:szCs w:val="1"/>
                <w:color w:val="auto"/>
              </w:rPr>
            </w:pPr>
          </w:p>
        </w:tc>
      </w:tr>
      <w:tr>
        <w:trPr>
          <w:trHeight w:val="141"/>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Unbilled receivables</w:t>
            </w:r>
          </w:p>
        </w:tc>
        <w:tc>
          <w:tcPr>
            <w:tcW w:w="12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2,370</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2,981</w:t>
            </w:r>
          </w:p>
        </w:tc>
        <w:tc>
          <w:tcPr>
            <w:tcW w:w="0" w:type="dxa"/>
            <w:vAlign w:val="bottom"/>
          </w:tcPr>
          <w:p>
            <w:pPr>
              <w:spacing w:after="0"/>
              <w:rPr>
                <w:sz w:val="1"/>
                <w:szCs w:val="1"/>
                <w:color w:val="auto"/>
              </w:rPr>
            </w:pPr>
          </w:p>
        </w:tc>
      </w:tr>
      <w:tr>
        <w:trPr>
          <w:trHeight w:val="129"/>
        </w:trPr>
        <w:tc>
          <w:tcPr>
            <w:tcW w:w="7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color w:val="auto"/>
              </w:rPr>
              <w:t>Prepaid expenses and other current assets</w:t>
            </w:r>
          </w:p>
        </w:tc>
        <w:tc>
          <w:tcPr>
            <w:tcW w:w="12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3,315</w:t>
            </w:r>
          </w:p>
        </w:tc>
        <w:tc>
          <w:tcPr>
            <w:tcW w:w="8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4,967</w:t>
            </w:r>
          </w:p>
        </w:tc>
        <w:tc>
          <w:tcPr>
            <w:tcW w:w="0" w:type="dxa"/>
            <w:vAlign w:val="bottom"/>
          </w:tcPr>
          <w:p>
            <w:pPr>
              <w:spacing w:after="0"/>
              <w:rPr>
                <w:sz w:val="1"/>
                <w:szCs w:val="1"/>
                <w:color w:val="auto"/>
              </w:rPr>
            </w:pPr>
          </w:p>
        </w:tc>
      </w:tr>
      <w:tr>
        <w:trPr>
          <w:trHeight w:val="130"/>
        </w:trPr>
        <w:tc>
          <w:tcPr>
            <w:tcW w:w="784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0"/>
                <w:szCs w:val="10"/>
                <w:color w:val="auto"/>
              </w:rPr>
              <w:t>Total current assets</w:t>
            </w:r>
          </w:p>
        </w:tc>
        <w:tc>
          <w:tcPr>
            <w:tcW w:w="12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111,109</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90,729</w:t>
            </w:r>
          </w:p>
        </w:tc>
        <w:tc>
          <w:tcPr>
            <w:tcW w:w="0" w:type="dxa"/>
            <w:vAlign w:val="bottom"/>
          </w:tcPr>
          <w:p>
            <w:pPr>
              <w:spacing w:after="0"/>
              <w:rPr>
                <w:sz w:val="1"/>
                <w:szCs w:val="1"/>
                <w:color w:val="auto"/>
              </w:rPr>
            </w:pPr>
          </w:p>
        </w:tc>
      </w:tr>
      <w:tr>
        <w:trPr>
          <w:trHeight w:val="130"/>
        </w:trPr>
        <w:tc>
          <w:tcPr>
            <w:tcW w:w="78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Non-current assets:</w:t>
            </w:r>
          </w:p>
        </w:tc>
        <w:tc>
          <w:tcPr>
            <w:tcW w:w="1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Property and equipment, net</w:t>
            </w:r>
          </w:p>
        </w:tc>
        <w:tc>
          <w:tcPr>
            <w:tcW w:w="12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2,402</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2,113</w:t>
            </w:r>
          </w:p>
        </w:tc>
        <w:tc>
          <w:tcPr>
            <w:tcW w:w="0" w:type="dxa"/>
            <w:vAlign w:val="bottom"/>
          </w:tcPr>
          <w:p>
            <w:pPr>
              <w:spacing w:after="0"/>
              <w:rPr>
                <w:sz w:val="1"/>
                <w:szCs w:val="1"/>
                <w:color w:val="auto"/>
              </w:rPr>
            </w:pPr>
          </w:p>
        </w:tc>
      </w:tr>
      <w:tr>
        <w:trPr>
          <w:trHeight w:val="129"/>
        </w:trPr>
        <w:tc>
          <w:tcPr>
            <w:tcW w:w="7840" w:type="dxa"/>
            <w:vAlign w:val="bottom"/>
          </w:tcPr>
          <w:p>
            <w:pPr>
              <w:spacing w:after="0"/>
              <w:rPr>
                <w:sz w:val="20"/>
                <w:szCs w:val="20"/>
                <w:color w:val="auto"/>
              </w:rPr>
            </w:pPr>
            <w:r>
              <w:rPr>
                <w:rFonts w:ascii="Times New Roman" w:cs="Times New Roman" w:eastAsia="Times New Roman" w:hAnsi="Times New Roman"/>
                <w:sz w:val="10"/>
                <w:szCs w:val="10"/>
                <w:color w:val="auto"/>
              </w:rPr>
              <w:t>Right-of-use asset, net</w:t>
            </w:r>
          </w:p>
        </w:tc>
        <w:tc>
          <w:tcPr>
            <w:tcW w:w="12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9,556</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10,068</w:t>
            </w:r>
          </w:p>
        </w:tc>
        <w:tc>
          <w:tcPr>
            <w:tcW w:w="0" w:type="dxa"/>
            <w:vAlign w:val="bottom"/>
          </w:tcPr>
          <w:p>
            <w:pPr>
              <w:spacing w:after="0"/>
              <w:rPr>
                <w:sz w:val="1"/>
                <w:szCs w:val="1"/>
                <w:color w:val="auto"/>
              </w:rPr>
            </w:pPr>
          </w:p>
        </w:tc>
      </w:tr>
      <w:tr>
        <w:trPr>
          <w:trHeight w:val="141"/>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In-process research and development assets</w:t>
            </w:r>
          </w:p>
        </w:tc>
        <w:tc>
          <w:tcPr>
            <w:tcW w:w="12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150,600</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150,600</w:t>
            </w:r>
          </w:p>
        </w:tc>
        <w:tc>
          <w:tcPr>
            <w:tcW w:w="0" w:type="dxa"/>
            <w:vAlign w:val="bottom"/>
          </w:tcPr>
          <w:p>
            <w:pPr>
              <w:spacing w:after="0"/>
              <w:rPr>
                <w:sz w:val="1"/>
                <w:szCs w:val="1"/>
                <w:color w:val="auto"/>
              </w:rPr>
            </w:pPr>
          </w:p>
        </w:tc>
      </w:tr>
      <w:tr>
        <w:trPr>
          <w:trHeight w:val="129"/>
        </w:trPr>
        <w:tc>
          <w:tcPr>
            <w:tcW w:w="7840" w:type="dxa"/>
            <w:vAlign w:val="bottom"/>
          </w:tcPr>
          <w:p>
            <w:pPr>
              <w:spacing w:after="0"/>
              <w:rPr>
                <w:sz w:val="20"/>
                <w:szCs w:val="20"/>
                <w:color w:val="auto"/>
              </w:rPr>
            </w:pPr>
            <w:r>
              <w:rPr>
                <w:rFonts w:ascii="Times New Roman" w:cs="Times New Roman" w:eastAsia="Times New Roman" w:hAnsi="Times New Roman"/>
                <w:sz w:val="10"/>
                <w:szCs w:val="10"/>
                <w:color w:val="auto"/>
              </w:rPr>
              <w:t>Goodwill</w:t>
            </w:r>
          </w:p>
        </w:tc>
        <w:tc>
          <w:tcPr>
            <w:tcW w:w="12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48,163</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48,163</w:t>
            </w:r>
          </w:p>
        </w:tc>
        <w:tc>
          <w:tcPr>
            <w:tcW w:w="0" w:type="dxa"/>
            <w:vAlign w:val="bottom"/>
          </w:tcPr>
          <w:p>
            <w:pPr>
              <w:spacing w:after="0"/>
              <w:rPr>
                <w:sz w:val="1"/>
                <w:szCs w:val="1"/>
                <w:color w:val="auto"/>
              </w:rPr>
            </w:pPr>
          </w:p>
        </w:tc>
      </w:tr>
      <w:tr>
        <w:trPr>
          <w:trHeight w:val="141"/>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Long-term restricted cash</w:t>
            </w:r>
          </w:p>
        </w:tc>
        <w:tc>
          <w:tcPr>
            <w:tcW w:w="12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1,377</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1,377</w:t>
            </w:r>
          </w:p>
        </w:tc>
        <w:tc>
          <w:tcPr>
            <w:tcW w:w="0" w:type="dxa"/>
            <w:vAlign w:val="bottom"/>
          </w:tcPr>
          <w:p>
            <w:pPr>
              <w:spacing w:after="0"/>
              <w:rPr>
                <w:sz w:val="1"/>
                <w:szCs w:val="1"/>
                <w:color w:val="auto"/>
              </w:rPr>
            </w:pPr>
          </w:p>
        </w:tc>
      </w:tr>
      <w:tr>
        <w:trPr>
          <w:trHeight w:val="129"/>
        </w:trPr>
        <w:tc>
          <w:tcPr>
            <w:tcW w:w="7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color w:val="auto"/>
              </w:rPr>
              <w:t>Investments</w:t>
            </w:r>
          </w:p>
        </w:tc>
        <w:tc>
          <w:tcPr>
            <w:tcW w:w="12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2,000</w:t>
            </w:r>
          </w:p>
        </w:tc>
        <w:tc>
          <w:tcPr>
            <w:tcW w:w="8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2,000</w:t>
            </w:r>
          </w:p>
        </w:tc>
        <w:tc>
          <w:tcPr>
            <w:tcW w:w="0" w:type="dxa"/>
            <w:vAlign w:val="bottom"/>
          </w:tcPr>
          <w:p>
            <w:pPr>
              <w:spacing w:after="0"/>
              <w:rPr>
                <w:sz w:val="1"/>
                <w:szCs w:val="1"/>
                <w:color w:val="auto"/>
              </w:rPr>
            </w:pPr>
          </w:p>
        </w:tc>
      </w:tr>
      <w:tr>
        <w:trPr>
          <w:trHeight w:val="150"/>
        </w:trPr>
        <w:tc>
          <w:tcPr>
            <w:tcW w:w="7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Total assets</w:t>
            </w:r>
          </w:p>
        </w:tc>
        <w:tc>
          <w:tcPr>
            <w:tcW w:w="1220" w:type="dxa"/>
            <w:vAlign w:val="bottom"/>
            <w:tcBorders>
              <w:bottom w:val="single" w:sz="8" w:color="auto"/>
            </w:tcBorders>
            <w:shd w:val="clear" w:color="auto" w:fill="CCEEFF"/>
          </w:tcPr>
          <w:p>
            <w:pPr>
              <w:jc w:val="right"/>
              <w:ind w:right="1112"/>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325,207</w:t>
            </w:r>
          </w:p>
        </w:tc>
        <w:tc>
          <w:tcPr>
            <w:tcW w:w="8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0"/>
                <w:szCs w:val="10"/>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305,050</w:t>
            </w:r>
          </w:p>
        </w:tc>
        <w:tc>
          <w:tcPr>
            <w:tcW w:w="0" w:type="dxa"/>
            <w:vAlign w:val="bottom"/>
          </w:tcPr>
          <w:p>
            <w:pPr>
              <w:spacing w:after="0"/>
              <w:rPr>
                <w:sz w:val="1"/>
                <w:szCs w:val="1"/>
                <w:color w:val="auto"/>
              </w:rPr>
            </w:pPr>
          </w:p>
        </w:tc>
      </w:tr>
      <w:tr>
        <w:trPr>
          <w:trHeight w:val="123"/>
        </w:trPr>
        <w:tc>
          <w:tcPr>
            <w:tcW w:w="78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Liabilities, convertible preferred stock, and stockholders’ deficit</w:t>
            </w:r>
          </w:p>
        </w:tc>
        <w:tc>
          <w:tcPr>
            <w:tcW w:w="1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Current liabilities:</w:t>
            </w:r>
          </w:p>
        </w:tc>
        <w:tc>
          <w:tcPr>
            <w:tcW w:w="1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7840" w:type="dxa"/>
            <w:vAlign w:val="bottom"/>
          </w:tcPr>
          <w:p>
            <w:pPr>
              <w:spacing w:after="0"/>
              <w:rPr>
                <w:sz w:val="20"/>
                <w:szCs w:val="20"/>
                <w:color w:val="auto"/>
              </w:rPr>
            </w:pPr>
            <w:r>
              <w:rPr>
                <w:rFonts w:ascii="Times New Roman" w:cs="Times New Roman" w:eastAsia="Times New Roman" w:hAnsi="Times New Roman"/>
                <w:sz w:val="10"/>
                <w:szCs w:val="10"/>
                <w:color w:val="auto"/>
              </w:rPr>
              <w:t>Accounts payable</w:t>
            </w:r>
          </w:p>
        </w:tc>
        <w:tc>
          <w:tcPr>
            <w:tcW w:w="1220" w:type="dxa"/>
            <w:vAlign w:val="bottom"/>
          </w:tcPr>
          <w:p>
            <w:pPr>
              <w:jc w:val="right"/>
              <w:ind w:right="1112"/>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2,517</w:t>
            </w:r>
          </w:p>
        </w:tc>
        <w:tc>
          <w:tcPr>
            <w:tcW w:w="80" w:type="dxa"/>
            <w:vAlign w:val="bottom"/>
          </w:tcPr>
          <w:p>
            <w:pPr>
              <w:spacing w:after="0"/>
              <w:rPr>
                <w:sz w:val="11"/>
                <w:szCs w:val="11"/>
                <w:color w:val="auto"/>
              </w:rPr>
            </w:pPr>
          </w:p>
        </w:tc>
        <w:tc>
          <w:tcPr>
            <w:tcW w:w="26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w w:val="7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3,150</w:t>
            </w:r>
          </w:p>
        </w:tc>
        <w:tc>
          <w:tcPr>
            <w:tcW w:w="0" w:type="dxa"/>
            <w:vAlign w:val="bottom"/>
          </w:tcPr>
          <w:p>
            <w:pPr>
              <w:spacing w:after="0"/>
              <w:rPr>
                <w:sz w:val="1"/>
                <w:szCs w:val="1"/>
                <w:color w:val="auto"/>
              </w:rPr>
            </w:pPr>
          </w:p>
        </w:tc>
      </w:tr>
      <w:tr>
        <w:trPr>
          <w:trHeight w:val="141"/>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Accrued expenses and other current liabilities</w:t>
            </w:r>
          </w:p>
        </w:tc>
        <w:tc>
          <w:tcPr>
            <w:tcW w:w="12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9,516</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15,572</w:t>
            </w:r>
          </w:p>
        </w:tc>
        <w:tc>
          <w:tcPr>
            <w:tcW w:w="0" w:type="dxa"/>
            <w:vAlign w:val="bottom"/>
          </w:tcPr>
          <w:p>
            <w:pPr>
              <w:spacing w:after="0"/>
              <w:rPr>
                <w:sz w:val="1"/>
                <w:szCs w:val="1"/>
                <w:color w:val="auto"/>
              </w:rPr>
            </w:pPr>
          </w:p>
        </w:tc>
      </w:tr>
      <w:tr>
        <w:trPr>
          <w:trHeight w:val="129"/>
        </w:trPr>
        <w:tc>
          <w:tcPr>
            <w:tcW w:w="7840" w:type="dxa"/>
            <w:vAlign w:val="bottom"/>
          </w:tcPr>
          <w:p>
            <w:pPr>
              <w:spacing w:after="0"/>
              <w:rPr>
                <w:sz w:val="20"/>
                <w:szCs w:val="20"/>
                <w:color w:val="auto"/>
              </w:rPr>
            </w:pPr>
            <w:r>
              <w:rPr>
                <w:rFonts w:ascii="Times New Roman" w:cs="Times New Roman" w:eastAsia="Times New Roman" w:hAnsi="Times New Roman"/>
                <w:sz w:val="10"/>
                <w:szCs w:val="10"/>
                <w:color w:val="auto"/>
              </w:rPr>
              <w:t>Lease liability</w:t>
            </w:r>
          </w:p>
        </w:tc>
        <w:tc>
          <w:tcPr>
            <w:tcW w:w="12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2,229</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2,166</w:t>
            </w:r>
          </w:p>
        </w:tc>
        <w:tc>
          <w:tcPr>
            <w:tcW w:w="0" w:type="dxa"/>
            <w:vAlign w:val="bottom"/>
          </w:tcPr>
          <w:p>
            <w:pPr>
              <w:spacing w:after="0"/>
              <w:rPr>
                <w:sz w:val="1"/>
                <w:szCs w:val="1"/>
                <w:color w:val="auto"/>
              </w:rPr>
            </w:pPr>
          </w:p>
        </w:tc>
      </w:tr>
      <w:tr>
        <w:trPr>
          <w:trHeight w:val="141"/>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Deferred revenue</w:t>
            </w:r>
          </w:p>
        </w:tc>
        <w:tc>
          <w:tcPr>
            <w:tcW w:w="12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412</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2,311</w:t>
            </w:r>
          </w:p>
        </w:tc>
        <w:tc>
          <w:tcPr>
            <w:tcW w:w="0" w:type="dxa"/>
            <w:vAlign w:val="bottom"/>
          </w:tcPr>
          <w:p>
            <w:pPr>
              <w:spacing w:after="0"/>
              <w:rPr>
                <w:sz w:val="1"/>
                <w:szCs w:val="1"/>
                <w:color w:val="auto"/>
              </w:rPr>
            </w:pPr>
          </w:p>
        </w:tc>
      </w:tr>
      <w:tr>
        <w:trPr>
          <w:trHeight w:val="129"/>
        </w:trPr>
        <w:tc>
          <w:tcPr>
            <w:tcW w:w="7840" w:type="dxa"/>
            <w:vAlign w:val="bottom"/>
          </w:tcPr>
          <w:p>
            <w:pPr>
              <w:spacing w:after="0"/>
              <w:rPr>
                <w:sz w:val="20"/>
                <w:szCs w:val="20"/>
                <w:color w:val="auto"/>
              </w:rPr>
            </w:pPr>
            <w:r>
              <w:rPr>
                <w:rFonts w:ascii="Times New Roman" w:cs="Times New Roman" w:eastAsia="Times New Roman" w:hAnsi="Times New Roman"/>
                <w:sz w:val="10"/>
                <w:szCs w:val="10"/>
                <w:color w:val="auto"/>
              </w:rPr>
              <w:t>Warrant liabilities</w:t>
            </w:r>
          </w:p>
        </w:tc>
        <w:tc>
          <w:tcPr>
            <w:tcW w:w="12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597</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720</w:t>
            </w:r>
          </w:p>
        </w:tc>
        <w:tc>
          <w:tcPr>
            <w:tcW w:w="0" w:type="dxa"/>
            <w:vAlign w:val="bottom"/>
          </w:tcPr>
          <w:p>
            <w:pPr>
              <w:spacing w:after="0"/>
              <w:rPr>
                <w:sz w:val="1"/>
                <w:szCs w:val="1"/>
                <w:color w:val="auto"/>
              </w:rPr>
            </w:pPr>
          </w:p>
        </w:tc>
      </w:tr>
      <w:tr>
        <w:trPr>
          <w:trHeight w:val="141"/>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Contingent value right liability</w:t>
            </w:r>
          </w:p>
        </w:tc>
        <w:tc>
          <w:tcPr>
            <w:tcW w:w="12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21,383</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15,983</w:t>
            </w:r>
          </w:p>
        </w:tc>
        <w:tc>
          <w:tcPr>
            <w:tcW w:w="0" w:type="dxa"/>
            <w:vAlign w:val="bottom"/>
          </w:tcPr>
          <w:p>
            <w:pPr>
              <w:spacing w:after="0"/>
              <w:rPr>
                <w:sz w:val="1"/>
                <w:szCs w:val="1"/>
                <w:color w:val="auto"/>
              </w:rPr>
            </w:pPr>
          </w:p>
        </w:tc>
      </w:tr>
      <w:tr>
        <w:trPr>
          <w:trHeight w:val="129"/>
        </w:trPr>
        <w:tc>
          <w:tcPr>
            <w:tcW w:w="7840" w:type="dxa"/>
            <w:vAlign w:val="bottom"/>
          </w:tcPr>
          <w:p>
            <w:pPr>
              <w:spacing w:after="0"/>
              <w:rPr>
                <w:sz w:val="20"/>
                <w:szCs w:val="20"/>
                <w:color w:val="auto"/>
              </w:rPr>
            </w:pPr>
            <w:r>
              <w:rPr>
                <w:rFonts w:ascii="Times New Roman" w:cs="Times New Roman" w:eastAsia="Times New Roman" w:hAnsi="Times New Roman"/>
                <w:sz w:val="10"/>
                <w:szCs w:val="10"/>
                <w:color w:val="auto"/>
              </w:rPr>
              <w:t>Forward contract liabilities</w:t>
            </w:r>
          </w:p>
        </w:tc>
        <w:tc>
          <w:tcPr>
            <w:tcW w:w="1220" w:type="dxa"/>
            <w:vAlign w:val="bottom"/>
          </w:tcPr>
          <w:p>
            <w:pPr>
              <w:spacing w:after="0"/>
              <w:rPr>
                <w:sz w:val="11"/>
                <w:szCs w:val="11"/>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1"/>
                <w:szCs w:val="1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28,307</w:t>
            </w:r>
          </w:p>
        </w:tc>
        <w:tc>
          <w:tcPr>
            <w:tcW w:w="0" w:type="dxa"/>
            <w:vAlign w:val="bottom"/>
          </w:tcPr>
          <w:p>
            <w:pPr>
              <w:spacing w:after="0"/>
              <w:rPr>
                <w:sz w:val="1"/>
                <w:szCs w:val="1"/>
                <w:color w:val="auto"/>
              </w:rPr>
            </w:pPr>
          </w:p>
        </w:tc>
      </w:tr>
      <w:tr>
        <w:trPr>
          <w:trHeight w:val="130"/>
        </w:trPr>
        <w:tc>
          <w:tcPr>
            <w:tcW w:w="7840" w:type="dxa"/>
            <w:vAlign w:val="bottom"/>
            <w:tcBorders>
              <w:top w:val="single" w:sz="8" w:color="CCEEFF"/>
            </w:tcBorders>
            <w:shd w:val="clear" w:color="auto" w:fill="CCEEFF"/>
          </w:tcPr>
          <w:p>
            <w:pPr>
              <w:spacing w:after="0" w:line="113" w:lineRule="exact"/>
              <w:rPr>
                <w:sz w:val="20"/>
                <w:szCs w:val="20"/>
                <w:color w:val="auto"/>
              </w:rPr>
            </w:pPr>
            <w:r>
              <w:rPr>
                <w:rFonts w:ascii="Times New Roman" w:cs="Times New Roman" w:eastAsia="Times New Roman" w:hAnsi="Times New Roman"/>
                <w:sz w:val="10"/>
                <w:szCs w:val="10"/>
                <w:color w:val="auto"/>
              </w:rPr>
              <w:t>Total current liabilities</w:t>
            </w:r>
          </w:p>
        </w:tc>
        <w:tc>
          <w:tcPr>
            <w:tcW w:w="122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36,654</w:t>
            </w:r>
          </w:p>
        </w:tc>
        <w:tc>
          <w:tcPr>
            <w:tcW w:w="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68,209</w:t>
            </w:r>
          </w:p>
        </w:tc>
        <w:tc>
          <w:tcPr>
            <w:tcW w:w="0" w:type="dxa"/>
            <w:vAlign w:val="bottom"/>
          </w:tcPr>
          <w:p>
            <w:pPr>
              <w:spacing w:after="0"/>
              <w:rPr>
                <w:sz w:val="1"/>
                <w:szCs w:val="1"/>
                <w:color w:val="auto"/>
              </w:rPr>
            </w:pPr>
          </w:p>
        </w:tc>
      </w:tr>
      <w:tr>
        <w:trPr>
          <w:trHeight w:val="130"/>
        </w:trPr>
        <w:tc>
          <w:tcPr>
            <w:tcW w:w="78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Non-current liabilities:</w:t>
            </w:r>
          </w:p>
        </w:tc>
        <w:tc>
          <w:tcPr>
            <w:tcW w:w="1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Lease liability, net of current portion</w:t>
            </w:r>
          </w:p>
        </w:tc>
        <w:tc>
          <w:tcPr>
            <w:tcW w:w="12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8,228</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8,789</w:t>
            </w:r>
          </w:p>
        </w:tc>
        <w:tc>
          <w:tcPr>
            <w:tcW w:w="0" w:type="dxa"/>
            <w:vAlign w:val="bottom"/>
          </w:tcPr>
          <w:p>
            <w:pPr>
              <w:spacing w:after="0"/>
              <w:rPr>
                <w:sz w:val="1"/>
                <w:szCs w:val="1"/>
                <w:color w:val="auto"/>
              </w:rPr>
            </w:pPr>
          </w:p>
        </w:tc>
      </w:tr>
      <w:tr>
        <w:trPr>
          <w:trHeight w:val="129"/>
        </w:trPr>
        <w:tc>
          <w:tcPr>
            <w:tcW w:w="7840" w:type="dxa"/>
            <w:vAlign w:val="bottom"/>
          </w:tcPr>
          <w:p>
            <w:pPr>
              <w:spacing w:after="0"/>
              <w:rPr>
                <w:sz w:val="20"/>
                <w:szCs w:val="20"/>
                <w:color w:val="auto"/>
              </w:rPr>
            </w:pPr>
            <w:r>
              <w:rPr>
                <w:rFonts w:ascii="Times New Roman" w:cs="Times New Roman" w:eastAsia="Times New Roman" w:hAnsi="Times New Roman"/>
                <w:sz w:val="10"/>
                <w:szCs w:val="10"/>
                <w:color w:val="auto"/>
              </w:rPr>
              <w:t>Deferred revenue, net of current portion</w:t>
            </w:r>
          </w:p>
        </w:tc>
        <w:tc>
          <w:tcPr>
            <w:tcW w:w="1220" w:type="dxa"/>
            <w:vAlign w:val="bottom"/>
          </w:tcPr>
          <w:p>
            <w:pPr>
              <w:spacing w:after="0"/>
              <w:rPr>
                <w:sz w:val="11"/>
                <w:szCs w:val="11"/>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1"/>
                <w:szCs w:val="1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3,538</w:t>
            </w:r>
          </w:p>
        </w:tc>
        <w:tc>
          <w:tcPr>
            <w:tcW w:w="0" w:type="dxa"/>
            <w:vAlign w:val="bottom"/>
          </w:tcPr>
          <w:p>
            <w:pPr>
              <w:spacing w:after="0"/>
              <w:rPr>
                <w:sz w:val="1"/>
                <w:szCs w:val="1"/>
                <w:color w:val="auto"/>
              </w:rPr>
            </w:pPr>
          </w:p>
        </w:tc>
      </w:tr>
      <w:tr>
        <w:trPr>
          <w:trHeight w:val="141"/>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Warrant liabilities, net of current portion</w:t>
            </w:r>
          </w:p>
        </w:tc>
        <w:tc>
          <w:tcPr>
            <w:tcW w:w="12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4,755</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5,674</w:t>
            </w:r>
          </w:p>
        </w:tc>
        <w:tc>
          <w:tcPr>
            <w:tcW w:w="0" w:type="dxa"/>
            <w:vAlign w:val="bottom"/>
          </w:tcPr>
          <w:p>
            <w:pPr>
              <w:spacing w:after="0"/>
              <w:rPr>
                <w:sz w:val="1"/>
                <w:szCs w:val="1"/>
                <w:color w:val="auto"/>
              </w:rPr>
            </w:pPr>
          </w:p>
        </w:tc>
      </w:tr>
      <w:tr>
        <w:trPr>
          <w:trHeight w:val="129"/>
        </w:trPr>
        <w:tc>
          <w:tcPr>
            <w:tcW w:w="7840" w:type="dxa"/>
            <w:vAlign w:val="bottom"/>
          </w:tcPr>
          <w:p>
            <w:pPr>
              <w:spacing w:after="0"/>
              <w:rPr>
                <w:sz w:val="20"/>
                <w:szCs w:val="20"/>
                <w:color w:val="auto"/>
              </w:rPr>
            </w:pPr>
            <w:r>
              <w:rPr>
                <w:rFonts w:ascii="Times New Roman" w:cs="Times New Roman" w:eastAsia="Times New Roman" w:hAnsi="Times New Roman"/>
                <w:sz w:val="10"/>
                <w:szCs w:val="10"/>
                <w:color w:val="auto"/>
              </w:rPr>
              <w:t>Contingent value right liability, net of current portion</w:t>
            </w:r>
          </w:p>
        </w:tc>
        <w:tc>
          <w:tcPr>
            <w:tcW w:w="12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376,517</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342,617</w:t>
            </w:r>
          </w:p>
        </w:tc>
        <w:tc>
          <w:tcPr>
            <w:tcW w:w="0" w:type="dxa"/>
            <w:vAlign w:val="bottom"/>
          </w:tcPr>
          <w:p>
            <w:pPr>
              <w:spacing w:after="0"/>
              <w:rPr>
                <w:sz w:val="1"/>
                <w:szCs w:val="1"/>
                <w:color w:val="auto"/>
              </w:rPr>
            </w:pPr>
          </w:p>
        </w:tc>
      </w:tr>
      <w:tr>
        <w:trPr>
          <w:trHeight w:val="141"/>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Deferred tax liabilities, net</w:t>
            </w:r>
          </w:p>
        </w:tc>
        <w:tc>
          <w:tcPr>
            <w:tcW w:w="122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15,853</w:t>
            </w:r>
          </w:p>
        </w:tc>
        <w:tc>
          <w:tcPr>
            <w:tcW w:w="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15,853</w:t>
            </w:r>
          </w:p>
        </w:tc>
        <w:tc>
          <w:tcPr>
            <w:tcW w:w="0" w:type="dxa"/>
            <w:vAlign w:val="bottom"/>
          </w:tcPr>
          <w:p>
            <w:pPr>
              <w:spacing w:after="0"/>
              <w:rPr>
                <w:sz w:val="1"/>
                <w:szCs w:val="1"/>
                <w:color w:val="auto"/>
              </w:rPr>
            </w:pPr>
          </w:p>
        </w:tc>
      </w:tr>
      <w:tr>
        <w:trPr>
          <w:trHeight w:val="118"/>
        </w:trPr>
        <w:tc>
          <w:tcPr>
            <w:tcW w:w="7840" w:type="dxa"/>
            <w:vAlign w:val="bottom"/>
          </w:tcPr>
          <w:p>
            <w:pPr>
              <w:spacing w:after="0" w:line="107" w:lineRule="exact"/>
              <w:rPr>
                <w:sz w:val="20"/>
                <w:szCs w:val="20"/>
                <w:color w:val="auto"/>
              </w:rPr>
            </w:pPr>
            <w:r>
              <w:rPr>
                <w:rFonts w:ascii="Times New Roman" w:cs="Times New Roman" w:eastAsia="Times New Roman" w:hAnsi="Times New Roman"/>
                <w:sz w:val="10"/>
                <w:szCs w:val="10"/>
                <w:b w:val="1"/>
                <w:bCs w:val="1"/>
                <w:color w:val="auto"/>
              </w:rPr>
              <w:t>Total liabilities</w:t>
            </w:r>
          </w:p>
        </w:tc>
        <w:tc>
          <w:tcPr>
            <w:tcW w:w="122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442,007</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444,680</w:t>
            </w:r>
          </w:p>
        </w:tc>
        <w:tc>
          <w:tcPr>
            <w:tcW w:w="0" w:type="dxa"/>
            <w:vAlign w:val="bottom"/>
          </w:tcPr>
          <w:p>
            <w:pPr>
              <w:spacing w:after="0"/>
              <w:rPr>
                <w:sz w:val="1"/>
                <w:szCs w:val="1"/>
                <w:color w:val="auto"/>
              </w:rPr>
            </w:pPr>
          </w:p>
        </w:tc>
      </w:tr>
      <w:tr>
        <w:trPr>
          <w:trHeight w:val="99"/>
        </w:trPr>
        <w:tc>
          <w:tcPr>
            <w:tcW w:w="7840" w:type="dxa"/>
            <w:vAlign w:val="bottom"/>
            <w:shd w:val="clear" w:color="auto" w:fill="CCEEFF"/>
          </w:tcPr>
          <w:p>
            <w:pPr>
              <w:spacing w:after="0" w:line="100" w:lineRule="exact"/>
              <w:rPr>
                <w:sz w:val="20"/>
                <w:szCs w:val="20"/>
                <w:color w:val="auto"/>
              </w:rPr>
            </w:pPr>
            <w:r>
              <w:rPr>
                <w:rFonts w:ascii="Times New Roman" w:cs="Times New Roman" w:eastAsia="Times New Roman" w:hAnsi="Times New Roman"/>
                <w:sz w:val="10"/>
                <w:szCs w:val="10"/>
                <w:color w:val="auto"/>
                <w:w w:val="96"/>
              </w:rPr>
              <w:t>Series A Preferred Stock, $0.0001 par value; no and 548,375 shares authorized as of March 31, 2024 and December 31, 2023, respectively; no and 435,120.513 shares issued and outstanding as of March</w:t>
            </w:r>
          </w:p>
        </w:tc>
        <w:tc>
          <w:tcPr>
            <w:tcW w:w="1220" w:type="dxa"/>
            <w:vAlign w:val="bottom"/>
            <w:shd w:val="clear" w:color="auto" w:fill="CCEEFF"/>
          </w:tcPr>
          <w:p>
            <w:pPr>
              <w:spacing w:after="0"/>
              <w:rPr>
                <w:sz w:val="8"/>
                <w:szCs w:val="8"/>
                <w:color w:val="auto"/>
              </w:rPr>
            </w:pPr>
          </w:p>
        </w:tc>
        <w:tc>
          <w:tcPr>
            <w:tcW w:w="5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EFF"/>
          </w:tcPr>
          <w:p>
            <w:pPr>
              <w:spacing w:after="0"/>
              <w:rPr>
                <w:sz w:val="8"/>
                <w:szCs w:val="8"/>
                <w:color w:val="auto"/>
              </w:rPr>
            </w:pP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296,851</w:t>
            </w:r>
          </w:p>
        </w:tc>
        <w:tc>
          <w:tcPr>
            <w:tcW w:w="0" w:type="dxa"/>
            <w:vAlign w:val="bottom"/>
          </w:tcPr>
          <w:p>
            <w:pPr>
              <w:spacing w:after="0"/>
              <w:rPr>
                <w:sz w:val="1"/>
                <w:szCs w:val="1"/>
                <w:color w:val="auto"/>
              </w:rPr>
            </w:pPr>
          </w:p>
        </w:tc>
      </w:tr>
      <w:tr>
        <w:trPr>
          <w:trHeight w:val="131"/>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31, 2024 and December 31, 2023, respectively</w:t>
            </w:r>
          </w:p>
        </w:tc>
        <w:tc>
          <w:tcPr>
            <w:tcW w:w="1220" w:type="dxa"/>
            <w:vAlign w:val="bottom"/>
            <w:shd w:val="clear" w:color="auto" w:fill="CCEEFF"/>
          </w:tcPr>
          <w:p>
            <w:pPr>
              <w:spacing w:after="0"/>
              <w:rPr>
                <w:sz w:val="11"/>
                <w:szCs w:val="11"/>
                <w:color w:val="auto"/>
              </w:rPr>
            </w:pPr>
          </w:p>
        </w:tc>
        <w:tc>
          <w:tcPr>
            <w:tcW w:w="540" w:type="dxa"/>
            <w:vAlign w:val="bottom"/>
            <w:gridSpan w:val="2"/>
            <w:vMerge w:val="continue"/>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840" w:type="dxa"/>
            <w:vAlign w:val="bottom"/>
          </w:tcPr>
          <w:p>
            <w:pPr>
              <w:spacing w:after="0"/>
              <w:rPr>
                <w:sz w:val="20"/>
                <w:szCs w:val="20"/>
                <w:color w:val="auto"/>
              </w:rPr>
            </w:pPr>
            <w:r>
              <w:rPr>
                <w:rFonts w:ascii="Times New Roman" w:cs="Times New Roman" w:eastAsia="Times New Roman" w:hAnsi="Times New Roman"/>
                <w:sz w:val="10"/>
                <w:szCs w:val="10"/>
                <w:color w:val="auto"/>
              </w:rPr>
              <w:t>Options for Series A Preferred Stock</w:t>
            </w:r>
          </w:p>
        </w:tc>
        <w:tc>
          <w:tcPr>
            <w:tcW w:w="1220" w:type="dxa"/>
            <w:vAlign w:val="bottom"/>
          </w:tcPr>
          <w:p>
            <w:pPr>
              <w:spacing w:after="0"/>
              <w:rPr>
                <w:sz w:val="11"/>
                <w:szCs w:val="11"/>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1"/>
                <w:szCs w:val="1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3,703</w:t>
            </w:r>
          </w:p>
        </w:tc>
        <w:tc>
          <w:tcPr>
            <w:tcW w:w="0" w:type="dxa"/>
            <w:vAlign w:val="bottom"/>
          </w:tcPr>
          <w:p>
            <w:pPr>
              <w:spacing w:after="0"/>
              <w:rPr>
                <w:sz w:val="1"/>
                <w:szCs w:val="1"/>
                <w:color w:val="auto"/>
              </w:rPr>
            </w:pPr>
          </w:p>
        </w:tc>
      </w:tr>
      <w:tr>
        <w:trPr>
          <w:trHeight w:val="141"/>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Stockholders’ deficit:</w:t>
            </w:r>
          </w:p>
        </w:tc>
        <w:tc>
          <w:tcPr>
            <w:tcW w:w="1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7840" w:type="dxa"/>
            <w:vAlign w:val="bottom"/>
          </w:tcPr>
          <w:p>
            <w:pPr>
              <w:spacing w:after="0" w:line="94" w:lineRule="exact"/>
              <w:rPr>
                <w:sz w:val="20"/>
                <w:szCs w:val="20"/>
                <w:color w:val="auto"/>
              </w:rPr>
            </w:pPr>
            <w:r>
              <w:rPr>
                <w:rFonts w:ascii="Times New Roman" w:cs="Times New Roman" w:eastAsia="Times New Roman" w:hAnsi="Times New Roman"/>
                <w:sz w:val="10"/>
                <w:szCs w:val="10"/>
                <w:color w:val="auto"/>
                <w:w w:val="96"/>
              </w:rPr>
              <w:t>Series A Preferred Stock, $0.0001 par value; 548,375 and no shares authorized as of March 31, 2024 and December 31, 2023, respectively; 534,260.839 and no shares issued and outstanding as of March</w:t>
            </w:r>
          </w:p>
        </w:tc>
        <w:tc>
          <w:tcPr>
            <w:tcW w:w="1220" w:type="dxa"/>
            <w:vAlign w:val="bottom"/>
          </w:tcPr>
          <w:p>
            <w:pPr>
              <w:spacing w:after="0"/>
              <w:rPr>
                <w:sz w:val="8"/>
                <w:szCs w:val="8"/>
                <w:color w:val="auto"/>
              </w:rPr>
            </w:pPr>
          </w:p>
        </w:tc>
        <w:tc>
          <w:tcPr>
            <w:tcW w:w="5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8"/>
                <w:szCs w:val="8"/>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7"/>
        </w:trPr>
        <w:tc>
          <w:tcPr>
            <w:tcW w:w="7840" w:type="dxa"/>
            <w:vAlign w:val="bottom"/>
          </w:tcPr>
          <w:p>
            <w:pPr>
              <w:spacing w:after="0"/>
              <w:rPr>
                <w:sz w:val="20"/>
                <w:szCs w:val="20"/>
                <w:color w:val="auto"/>
              </w:rPr>
            </w:pPr>
            <w:r>
              <w:rPr>
                <w:rFonts w:ascii="Times New Roman" w:cs="Times New Roman" w:eastAsia="Times New Roman" w:hAnsi="Times New Roman"/>
                <w:sz w:val="10"/>
                <w:szCs w:val="10"/>
                <w:color w:val="auto"/>
              </w:rPr>
              <w:t>31, 2024 and December 31, 2023, respectively</w:t>
            </w:r>
          </w:p>
        </w:tc>
        <w:tc>
          <w:tcPr>
            <w:tcW w:w="1220" w:type="dxa"/>
            <w:vAlign w:val="bottom"/>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7840" w:type="dxa"/>
            <w:vAlign w:val="bottom"/>
            <w:shd w:val="clear" w:color="auto" w:fill="CCEEFF"/>
          </w:tcPr>
          <w:p>
            <w:pPr>
              <w:spacing w:after="0" w:line="98" w:lineRule="exact"/>
              <w:rPr>
                <w:sz w:val="20"/>
                <w:szCs w:val="20"/>
                <w:color w:val="auto"/>
              </w:rPr>
            </w:pPr>
            <w:r>
              <w:rPr>
                <w:rFonts w:ascii="Times New Roman" w:cs="Times New Roman" w:eastAsia="Times New Roman" w:hAnsi="Times New Roman"/>
                <w:sz w:val="10"/>
                <w:szCs w:val="10"/>
                <w:color w:val="auto"/>
                <w:w w:val="97"/>
              </w:rPr>
              <w:t>Preferred stock, $0.0001 par value; 10,000,000 and 9,451,625 shares authorized as of March 31, 2024 and December 31, 2023, respectively; no shares issued and outstanding as of March 31, 2024 and</w:t>
            </w:r>
          </w:p>
        </w:tc>
        <w:tc>
          <w:tcPr>
            <w:tcW w:w="1220" w:type="dxa"/>
            <w:vAlign w:val="bottom"/>
            <w:shd w:val="clear" w:color="auto" w:fill="CCEEFF"/>
          </w:tcPr>
          <w:p>
            <w:pPr>
              <w:spacing w:after="0"/>
              <w:rPr>
                <w:sz w:val="8"/>
                <w:szCs w:val="8"/>
                <w:color w:val="auto"/>
              </w:rPr>
            </w:pPr>
          </w:p>
        </w:tc>
        <w:tc>
          <w:tcPr>
            <w:tcW w:w="5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EFF"/>
          </w:tcPr>
          <w:p>
            <w:pPr>
              <w:spacing w:after="0"/>
              <w:rPr>
                <w:sz w:val="8"/>
                <w:szCs w:val="8"/>
                <w:color w:val="auto"/>
              </w:rPr>
            </w:pP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1"/>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December 31, 2023</w:t>
            </w:r>
          </w:p>
        </w:tc>
        <w:tc>
          <w:tcPr>
            <w:tcW w:w="1220" w:type="dxa"/>
            <w:vAlign w:val="bottom"/>
            <w:shd w:val="clear" w:color="auto" w:fill="CCEEFF"/>
          </w:tcPr>
          <w:p>
            <w:pPr>
              <w:spacing w:after="0"/>
              <w:rPr>
                <w:sz w:val="11"/>
                <w:szCs w:val="11"/>
                <w:color w:val="auto"/>
              </w:rPr>
            </w:pPr>
          </w:p>
        </w:tc>
        <w:tc>
          <w:tcPr>
            <w:tcW w:w="540" w:type="dxa"/>
            <w:vAlign w:val="bottom"/>
            <w:gridSpan w:val="2"/>
            <w:vMerge w:val="continue"/>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7840" w:type="dxa"/>
            <w:vAlign w:val="bottom"/>
          </w:tcPr>
          <w:p>
            <w:pPr>
              <w:spacing w:after="0" w:line="94" w:lineRule="exact"/>
              <w:rPr>
                <w:sz w:val="20"/>
                <w:szCs w:val="20"/>
                <w:color w:val="auto"/>
              </w:rPr>
            </w:pPr>
            <w:r>
              <w:rPr>
                <w:rFonts w:ascii="Times New Roman" w:cs="Times New Roman" w:eastAsia="Times New Roman" w:hAnsi="Times New Roman"/>
                <w:sz w:val="10"/>
                <w:szCs w:val="10"/>
                <w:color w:val="auto"/>
              </w:rPr>
              <w:t>Common stock, $0.0001 par value; 350,000,000 shares authorized as of March 31, 2024 and December 31, 2023; 5,515,836 and 5,397,597 shares issued and outstanding as of March 31, 2024 and</w:t>
            </w:r>
          </w:p>
        </w:tc>
        <w:tc>
          <w:tcPr>
            <w:tcW w:w="1220" w:type="dxa"/>
            <w:vAlign w:val="bottom"/>
          </w:tcPr>
          <w:p>
            <w:pPr>
              <w:spacing w:after="0"/>
              <w:rPr>
                <w:sz w:val="8"/>
                <w:szCs w:val="8"/>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0" w:type="dxa"/>
            <w:vAlign w:val="bottom"/>
          </w:tcPr>
          <w:p>
            <w:pPr>
              <w:spacing w:after="0"/>
              <w:rPr>
                <w:sz w:val="1"/>
                <w:szCs w:val="1"/>
                <w:color w:val="auto"/>
              </w:rPr>
            </w:pPr>
          </w:p>
        </w:tc>
      </w:tr>
      <w:tr>
        <w:trPr>
          <w:trHeight w:val="127"/>
        </w:trPr>
        <w:tc>
          <w:tcPr>
            <w:tcW w:w="7840" w:type="dxa"/>
            <w:vAlign w:val="bottom"/>
          </w:tcPr>
          <w:p>
            <w:pPr>
              <w:spacing w:after="0"/>
              <w:rPr>
                <w:sz w:val="20"/>
                <w:szCs w:val="20"/>
                <w:color w:val="auto"/>
              </w:rPr>
            </w:pPr>
            <w:r>
              <w:rPr>
                <w:rFonts w:ascii="Times New Roman" w:cs="Times New Roman" w:eastAsia="Times New Roman" w:hAnsi="Times New Roman"/>
                <w:sz w:val="10"/>
                <w:szCs w:val="10"/>
                <w:color w:val="auto"/>
              </w:rPr>
              <w:t>December 31, 2023, respectively</w:t>
            </w:r>
          </w:p>
        </w:tc>
        <w:tc>
          <w:tcPr>
            <w:tcW w:w="122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Additional paid-in capital</w:t>
            </w:r>
          </w:p>
        </w:tc>
        <w:tc>
          <w:tcPr>
            <w:tcW w:w="12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559,275</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179,062</w:t>
            </w:r>
          </w:p>
        </w:tc>
        <w:tc>
          <w:tcPr>
            <w:tcW w:w="0" w:type="dxa"/>
            <w:vAlign w:val="bottom"/>
          </w:tcPr>
          <w:p>
            <w:pPr>
              <w:spacing w:after="0"/>
              <w:rPr>
                <w:sz w:val="1"/>
                <w:szCs w:val="1"/>
                <w:color w:val="auto"/>
              </w:rPr>
            </w:pPr>
          </w:p>
        </w:tc>
      </w:tr>
      <w:tr>
        <w:trPr>
          <w:trHeight w:val="129"/>
        </w:trPr>
        <w:tc>
          <w:tcPr>
            <w:tcW w:w="7840" w:type="dxa"/>
            <w:vAlign w:val="bottom"/>
          </w:tcPr>
          <w:p>
            <w:pPr>
              <w:spacing w:after="0"/>
              <w:rPr>
                <w:sz w:val="20"/>
                <w:szCs w:val="20"/>
                <w:color w:val="auto"/>
              </w:rPr>
            </w:pPr>
            <w:r>
              <w:rPr>
                <w:rFonts w:ascii="Times New Roman" w:cs="Times New Roman" w:eastAsia="Times New Roman" w:hAnsi="Times New Roman"/>
                <w:sz w:val="10"/>
                <w:szCs w:val="10"/>
                <w:color w:val="auto"/>
              </w:rPr>
              <w:t>Accumulated deficit</w:t>
            </w:r>
          </w:p>
        </w:tc>
        <w:tc>
          <w:tcPr>
            <w:tcW w:w="12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(671,471)</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(614,647)</w:t>
            </w:r>
          </w:p>
        </w:tc>
        <w:tc>
          <w:tcPr>
            <w:tcW w:w="0" w:type="dxa"/>
            <w:vAlign w:val="bottom"/>
          </w:tcPr>
          <w:p>
            <w:pPr>
              <w:spacing w:after="0"/>
              <w:rPr>
                <w:sz w:val="1"/>
                <w:szCs w:val="1"/>
                <w:color w:val="auto"/>
              </w:rPr>
            </w:pPr>
          </w:p>
        </w:tc>
      </w:tr>
      <w:tr>
        <w:trPr>
          <w:trHeight w:val="141"/>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Accumulated other comprehensive loss</w:t>
            </w:r>
          </w:p>
        </w:tc>
        <w:tc>
          <w:tcPr>
            <w:tcW w:w="122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(4,605)</w:t>
            </w:r>
          </w:p>
        </w:tc>
        <w:tc>
          <w:tcPr>
            <w:tcW w:w="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(4,600)</w:t>
            </w:r>
          </w:p>
        </w:tc>
        <w:tc>
          <w:tcPr>
            <w:tcW w:w="0" w:type="dxa"/>
            <w:vAlign w:val="bottom"/>
          </w:tcPr>
          <w:p>
            <w:pPr>
              <w:spacing w:after="0"/>
              <w:rPr>
                <w:sz w:val="1"/>
                <w:szCs w:val="1"/>
                <w:color w:val="auto"/>
              </w:rPr>
            </w:pPr>
          </w:p>
        </w:tc>
      </w:tr>
      <w:tr>
        <w:trPr>
          <w:trHeight w:val="118"/>
        </w:trPr>
        <w:tc>
          <w:tcPr>
            <w:tcW w:w="7840" w:type="dxa"/>
            <w:vAlign w:val="bottom"/>
            <w:tcBorders>
              <w:bottom w:val="single" w:sz="8" w:color="CCEEFF"/>
            </w:tcBorders>
          </w:tcPr>
          <w:p>
            <w:pPr>
              <w:spacing w:after="0" w:line="107" w:lineRule="exact"/>
              <w:rPr>
                <w:sz w:val="20"/>
                <w:szCs w:val="20"/>
                <w:color w:val="auto"/>
              </w:rPr>
            </w:pPr>
            <w:r>
              <w:rPr>
                <w:rFonts w:ascii="Times New Roman" w:cs="Times New Roman" w:eastAsia="Times New Roman" w:hAnsi="Times New Roman"/>
                <w:sz w:val="10"/>
                <w:szCs w:val="10"/>
                <w:color w:val="auto"/>
              </w:rPr>
              <w:t>Total stockholders’ deficit</w:t>
            </w:r>
          </w:p>
        </w:tc>
        <w:tc>
          <w:tcPr>
            <w:tcW w:w="12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(116,800)</w:t>
            </w:r>
          </w:p>
        </w:tc>
        <w:tc>
          <w:tcPr>
            <w:tcW w:w="8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(440,184)</w:t>
            </w:r>
          </w:p>
        </w:tc>
        <w:tc>
          <w:tcPr>
            <w:tcW w:w="0" w:type="dxa"/>
            <w:vAlign w:val="bottom"/>
          </w:tcPr>
          <w:p>
            <w:pPr>
              <w:spacing w:after="0"/>
              <w:rPr>
                <w:sz w:val="1"/>
                <w:szCs w:val="1"/>
                <w:color w:val="auto"/>
              </w:rPr>
            </w:pPr>
          </w:p>
        </w:tc>
      </w:tr>
      <w:tr>
        <w:trPr>
          <w:trHeight w:val="146"/>
        </w:trPr>
        <w:tc>
          <w:tcPr>
            <w:tcW w:w="7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Total liabilities, convertible preferred stock, and stockholders’ deficit</w:t>
            </w:r>
          </w:p>
        </w:tc>
        <w:tc>
          <w:tcPr>
            <w:tcW w:w="1220" w:type="dxa"/>
            <w:vAlign w:val="bottom"/>
            <w:tcBorders>
              <w:bottom w:val="single" w:sz="8" w:color="auto"/>
            </w:tcBorders>
            <w:shd w:val="clear" w:color="auto" w:fill="CCEEFF"/>
          </w:tcPr>
          <w:p>
            <w:pPr>
              <w:jc w:val="right"/>
              <w:ind w:right="1112"/>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325,207</w:t>
            </w:r>
          </w:p>
        </w:tc>
        <w:tc>
          <w:tcPr>
            <w:tcW w:w="8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0"/>
                <w:szCs w:val="10"/>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305,050</w:t>
            </w:r>
          </w:p>
        </w:tc>
        <w:tc>
          <w:tcPr>
            <w:tcW w:w="0" w:type="dxa"/>
            <w:vAlign w:val="bottom"/>
          </w:tcPr>
          <w:p>
            <w:pPr>
              <w:spacing w:after="0"/>
              <w:rPr>
                <w:sz w:val="1"/>
                <w:szCs w:val="1"/>
                <w:color w:val="auto"/>
              </w:rPr>
            </w:pPr>
          </w:p>
        </w:tc>
      </w:tr>
    </w:tbl>
    <w:p>
      <w:pPr>
        <w:sectPr>
          <w:pgSz w:w="11900" w:h="16838" w:orient="portrait"/>
          <w:cols w:equalWidth="0" w:num="1">
            <w:col w:w="11280"/>
          </w:cols>
          <w:pgMar w:left="300" w:top="881" w:right="31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6329045</wp:posOffset>
            </wp:positionH>
            <wp:positionV relativeFrom="page">
              <wp:posOffset>88900</wp:posOffset>
            </wp:positionV>
            <wp:extent cx="1034415" cy="3143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034415" cy="314325"/>
                    </a:xfrm>
                    <a:prstGeom prst="rect">
                      <a:avLst/>
                    </a:prstGeom>
                    <a:noFill/>
                  </pic:spPr>
                </pic:pic>
              </a:graphicData>
            </a:graphic>
          </wp:anchor>
        </w:drawing>
        <w:t>Cartesian Therapeutics, Inc. and Subsidiaries</w:t>
      </w:r>
    </w:p>
    <w:p>
      <w:pPr>
        <w:spacing w:after="0" w:line="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1"/>
          <w:szCs w:val="11"/>
          <w:b w:val="1"/>
          <w:bCs w:val="1"/>
          <w:color w:val="auto"/>
        </w:rPr>
        <w:t>Consolidated Statements of Operations and Comprehensive Income (Loss)</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(Amounts in thousands, except share and per share data)</w:t>
      </w:r>
    </w:p>
    <w:p>
      <w:pPr>
        <w:spacing w:after="0" w:line="251" w:lineRule="exact"/>
        <w:rPr>
          <w:sz w:val="20"/>
          <w:szCs w:val="20"/>
          <w:color w:val="auto"/>
        </w:rPr>
      </w:pPr>
    </w:p>
    <w:p>
      <w:pPr>
        <w:jc w:val="center"/>
        <w:ind w:left="7760"/>
        <w:spacing w:after="0"/>
        <w:rPr>
          <w:sz w:val="20"/>
          <w:szCs w:val="20"/>
          <w:color w:val="auto"/>
        </w:rPr>
      </w:pPr>
      <w:r>
        <w:rPr>
          <w:rFonts w:ascii="Times New Roman" w:cs="Times New Roman" w:eastAsia="Times New Roman" w:hAnsi="Times New Roman"/>
          <w:sz w:val="10"/>
          <w:szCs w:val="10"/>
          <w:b w:val="1"/>
          <w:bCs w:val="1"/>
          <w:color w:val="auto"/>
        </w:rPr>
        <w:t>Three Months Ended</w:t>
      </w:r>
    </w:p>
    <w:p>
      <w:pPr>
        <w:jc w:val="center"/>
        <w:ind w:left="7760"/>
        <w:spacing w:after="0" w:line="236" w:lineRule="auto"/>
        <w:rPr>
          <w:sz w:val="20"/>
          <w:szCs w:val="20"/>
          <w:color w:val="auto"/>
        </w:rPr>
      </w:pPr>
      <w:r>
        <w:rPr>
          <w:rFonts w:ascii="Times New Roman" w:cs="Times New Roman" w:eastAsia="Times New Roman" w:hAnsi="Times New Roman"/>
          <w:sz w:val="10"/>
          <w:szCs w:val="10"/>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7780" w:type="dxa"/>
            <w:vAlign w:val="bottom"/>
          </w:tcPr>
          <w:p>
            <w:pPr>
              <w:spacing w:after="0"/>
              <w:rPr>
                <w:sz w:val="11"/>
                <w:szCs w:val="11"/>
                <w:color w:val="auto"/>
              </w:rPr>
            </w:pPr>
          </w:p>
        </w:tc>
        <w:tc>
          <w:tcPr>
            <w:tcW w:w="11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0"/>
                <w:szCs w:val="10"/>
                <w:b w:val="1"/>
                <w:bCs w:val="1"/>
                <w:color w:val="auto"/>
              </w:rPr>
              <w:t>2024</w:t>
            </w:r>
          </w:p>
        </w:tc>
        <w:tc>
          <w:tcPr>
            <w:tcW w:w="5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692"/>
              <w:spacing w:after="0"/>
              <w:rPr>
                <w:sz w:val="20"/>
                <w:szCs w:val="20"/>
                <w:color w:val="auto"/>
              </w:rPr>
            </w:pPr>
            <w:r>
              <w:rPr>
                <w:rFonts w:ascii="Times New Roman" w:cs="Times New Roman" w:eastAsia="Times New Roman" w:hAnsi="Times New Roman"/>
                <w:sz w:val="10"/>
                <w:szCs w:val="10"/>
                <w:b w:val="1"/>
                <w:bCs w:val="1"/>
                <w:color w:val="auto"/>
              </w:rPr>
              <w:t>2023</w:t>
            </w:r>
          </w:p>
        </w:tc>
      </w:tr>
      <w:tr>
        <w:trPr>
          <w:trHeight w:val="123"/>
        </w:trPr>
        <w:tc>
          <w:tcPr>
            <w:tcW w:w="77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180" w:type="dxa"/>
            <w:vAlign w:val="bottom"/>
            <w:gridSpan w:val="3"/>
          </w:tcPr>
          <w:p>
            <w:pPr>
              <w:jc w:val="right"/>
              <w:ind w:right="232"/>
              <w:spacing w:after="0"/>
              <w:rPr>
                <w:sz w:val="20"/>
                <w:szCs w:val="20"/>
                <w:color w:val="auto"/>
              </w:rPr>
            </w:pPr>
            <w:r>
              <w:rPr>
                <w:rFonts w:ascii="Times New Roman" w:cs="Times New Roman" w:eastAsia="Times New Roman" w:hAnsi="Times New Roman"/>
                <w:sz w:val="10"/>
                <w:szCs w:val="10"/>
                <w:b w:val="1"/>
                <w:bCs w:val="1"/>
                <w:color w:val="auto"/>
              </w:rPr>
              <w:t>(Unaudited)</w:t>
            </w:r>
          </w:p>
        </w:tc>
        <w:tc>
          <w:tcPr>
            <w:tcW w:w="1220" w:type="dxa"/>
            <w:vAlign w:val="bottom"/>
          </w:tcPr>
          <w:p>
            <w:pPr>
              <w:spacing w:after="0"/>
              <w:rPr>
                <w:sz w:val="10"/>
                <w:szCs w:val="10"/>
                <w:color w:val="auto"/>
              </w:rPr>
            </w:pPr>
          </w:p>
        </w:tc>
      </w:tr>
      <w:tr>
        <w:trPr>
          <w:trHeight w:val="181"/>
        </w:trPr>
        <w:tc>
          <w:tcPr>
            <w:tcW w:w="7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35"/>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Collaboration and license revenue</w:t>
            </w:r>
          </w:p>
        </w:tc>
        <w:tc>
          <w:tcPr>
            <w:tcW w:w="1100" w:type="dxa"/>
            <w:vAlign w:val="bottom"/>
            <w:shd w:val="clear" w:color="auto" w:fill="CCEEFF"/>
          </w:tcPr>
          <w:p>
            <w:pPr>
              <w:jc w:val="right"/>
              <w:ind w:right="992"/>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5,840</w:t>
            </w: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0"/>
                <w:szCs w:val="10"/>
                <w:color w:val="auto"/>
                <w:w w:val="7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5,938</w:t>
            </w:r>
          </w:p>
        </w:tc>
      </w:tr>
      <w:tr>
        <w:trPr>
          <w:trHeight w:val="129"/>
        </w:trPr>
        <w:tc>
          <w:tcPr>
            <w:tcW w:w="7780" w:type="dxa"/>
            <w:vAlign w:val="bottom"/>
          </w:tcPr>
          <w:p>
            <w:pPr>
              <w:spacing w:after="0"/>
              <w:rPr>
                <w:sz w:val="20"/>
                <w:szCs w:val="20"/>
                <w:color w:val="auto"/>
              </w:rPr>
            </w:pPr>
            <w:r>
              <w:rPr>
                <w:rFonts w:ascii="Times New Roman" w:cs="Times New Roman" w:eastAsia="Times New Roman" w:hAnsi="Times New Roman"/>
                <w:sz w:val="10"/>
                <w:szCs w:val="10"/>
                <w:color w:val="auto"/>
              </w:rPr>
              <w:t>Operating expenses:</w:t>
            </w: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141"/>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Research and development</w:t>
            </w:r>
          </w:p>
        </w:tc>
        <w:tc>
          <w:tcPr>
            <w:tcW w:w="1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9,738</w:t>
            </w: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18,624</w:t>
            </w:r>
          </w:p>
        </w:tc>
      </w:tr>
      <w:tr>
        <w:trPr>
          <w:trHeight w:val="129"/>
        </w:trPr>
        <w:tc>
          <w:tcPr>
            <w:tcW w:w="7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0"/>
                <w:szCs w:val="10"/>
                <w:color w:val="auto"/>
              </w:rPr>
              <w:t>General and administrative</w:t>
            </w:r>
          </w:p>
        </w:tc>
        <w:tc>
          <w:tcPr>
            <w:tcW w:w="1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9,450</w:t>
            </w:r>
          </w:p>
        </w:tc>
        <w:tc>
          <w:tcPr>
            <w:tcW w:w="140" w:type="dxa"/>
            <w:vAlign w:val="bottom"/>
            <w:tcBorders>
              <w:bottom w:val="single" w:sz="8" w:color="CCEEFF"/>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5,695</w:t>
            </w:r>
          </w:p>
        </w:tc>
      </w:tr>
      <w:tr>
        <w:trPr>
          <w:trHeight w:val="130"/>
        </w:trPr>
        <w:tc>
          <w:tcPr>
            <w:tcW w:w="778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0"/>
                <w:szCs w:val="10"/>
                <w:color w:val="auto"/>
              </w:rPr>
              <w:t>Total operating expenses</w:t>
            </w:r>
          </w:p>
        </w:tc>
        <w:tc>
          <w:tcPr>
            <w:tcW w:w="110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19,188</w:t>
            </w:r>
          </w:p>
        </w:tc>
        <w:tc>
          <w:tcPr>
            <w:tcW w:w="140" w:type="dxa"/>
            <w:vAlign w:val="bottom"/>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spacing w:after="0"/>
              <w:rPr>
                <w:sz w:val="11"/>
                <w:szCs w:val="1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24,319</w:t>
            </w:r>
          </w:p>
        </w:tc>
      </w:tr>
      <w:tr>
        <w:trPr>
          <w:trHeight w:val="118"/>
        </w:trPr>
        <w:tc>
          <w:tcPr>
            <w:tcW w:w="7780" w:type="dxa"/>
            <w:vAlign w:val="bottom"/>
          </w:tcPr>
          <w:p>
            <w:pPr>
              <w:spacing w:after="0" w:line="107" w:lineRule="exact"/>
              <w:rPr>
                <w:sz w:val="20"/>
                <w:szCs w:val="20"/>
                <w:color w:val="auto"/>
              </w:rPr>
            </w:pPr>
            <w:r>
              <w:rPr>
                <w:rFonts w:ascii="Times New Roman" w:cs="Times New Roman" w:eastAsia="Times New Roman" w:hAnsi="Times New Roman"/>
                <w:sz w:val="10"/>
                <w:szCs w:val="10"/>
                <w:color w:val="auto"/>
              </w:rPr>
              <w:t>Operating loss</w:t>
            </w:r>
          </w:p>
        </w:tc>
        <w:tc>
          <w:tcPr>
            <w:tcW w:w="110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(13,348)</w:t>
            </w: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(18,381)</w:t>
            </w:r>
          </w:p>
        </w:tc>
      </w:tr>
      <w:tr>
        <w:trPr>
          <w:trHeight w:val="141"/>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Investment income</w:t>
            </w:r>
          </w:p>
        </w:tc>
        <w:tc>
          <w:tcPr>
            <w:tcW w:w="1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1,164</w:t>
            </w: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1,331</w:t>
            </w:r>
          </w:p>
        </w:tc>
      </w:tr>
      <w:tr>
        <w:trPr>
          <w:trHeight w:val="129"/>
        </w:trPr>
        <w:tc>
          <w:tcPr>
            <w:tcW w:w="7780" w:type="dxa"/>
            <w:vAlign w:val="bottom"/>
          </w:tcPr>
          <w:p>
            <w:pPr>
              <w:spacing w:after="0"/>
              <w:rPr>
                <w:sz w:val="20"/>
                <w:szCs w:val="20"/>
                <w:color w:val="auto"/>
              </w:rPr>
            </w:pPr>
            <w:r>
              <w:rPr>
                <w:rFonts w:ascii="Times New Roman" w:cs="Times New Roman" w:eastAsia="Times New Roman" w:hAnsi="Times New Roman"/>
                <w:sz w:val="10"/>
                <w:szCs w:val="10"/>
                <w:color w:val="auto"/>
              </w:rPr>
              <w:t>Foreign currency transaction, net</w:t>
            </w:r>
          </w:p>
        </w:tc>
        <w:tc>
          <w:tcPr>
            <w:tcW w:w="1100" w:type="dxa"/>
            <w:vAlign w:val="bottom"/>
          </w:tcPr>
          <w:p>
            <w:pPr>
              <w:spacing w:after="0"/>
              <w:rPr>
                <w:sz w:val="11"/>
                <w:szCs w:val="11"/>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w:t>
            </w:r>
          </w:p>
        </w:tc>
      </w:tr>
      <w:tr>
        <w:trPr>
          <w:trHeight w:val="141"/>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Interest expense</w:t>
            </w:r>
          </w:p>
        </w:tc>
        <w:tc>
          <w:tcPr>
            <w:tcW w:w="1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(808)</w:t>
            </w:r>
          </w:p>
        </w:tc>
      </w:tr>
      <w:tr>
        <w:trPr>
          <w:trHeight w:val="129"/>
        </w:trPr>
        <w:tc>
          <w:tcPr>
            <w:tcW w:w="7780" w:type="dxa"/>
            <w:vAlign w:val="bottom"/>
          </w:tcPr>
          <w:p>
            <w:pPr>
              <w:spacing w:after="0"/>
              <w:rPr>
                <w:sz w:val="20"/>
                <w:szCs w:val="20"/>
                <w:color w:val="auto"/>
              </w:rPr>
            </w:pPr>
            <w:r>
              <w:rPr>
                <w:rFonts w:ascii="Times New Roman" w:cs="Times New Roman" w:eastAsia="Times New Roman" w:hAnsi="Times New Roman"/>
                <w:sz w:val="10"/>
                <w:szCs w:val="10"/>
                <w:color w:val="auto"/>
              </w:rPr>
              <w:t>Change in fair value of warrant liabilities</w:t>
            </w:r>
          </w:p>
        </w:tc>
        <w:tc>
          <w:tcPr>
            <w:tcW w:w="1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1,042</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(4,079)</w:t>
            </w:r>
          </w:p>
        </w:tc>
      </w:tr>
      <w:tr>
        <w:trPr>
          <w:trHeight w:val="141"/>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Change in fair value of contingent value right liability</w:t>
            </w:r>
          </w:p>
        </w:tc>
        <w:tc>
          <w:tcPr>
            <w:tcW w:w="1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(39,300)</w:t>
            </w: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29"/>
        </w:trPr>
        <w:tc>
          <w:tcPr>
            <w:tcW w:w="7780" w:type="dxa"/>
            <w:vAlign w:val="bottom"/>
          </w:tcPr>
          <w:p>
            <w:pPr>
              <w:spacing w:after="0"/>
              <w:rPr>
                <w:sz w:val="20"/>
                <w:szCs w:val="20"/>
                <w:color w:val="auto"/>
              </w:rPr>
            </w:pPr>
            <w:r>
              <w:rPr>
                <w:rFonts w:ascii="Times New Roman" w:cs="Times New Roman" w:eastAsia="Times New Roman" w:hAnsi="Times New Roman"/>
                <w:sz w:val="10"/>
                <w:szCs w:val="10"/>
                <w:color w:val="auto"/>
              </w:rPr>
              <w:t>Change in fair value of forward contract liabilities</w:t>
            </w:r>
          </w:p>
        </w:tc>
        <w:tc>
          <w:tcPr>
            <w:tcW w:w="1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(6,890)</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41"/>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Other income, net</w:t>
            </w:r>
          </w:p>
        </w:tc>
        <w:tc>
          <w:tcPr>
            <w:tcW w:w="110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508</w:t>
            </w:r>
          </w:p>
        </w:tc>
        <w:tc>
          <w:tcPr>
            <w:tcW w:w="140" w:type="dxa"/>
            <w:vAlign w:val="bottom"/>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spacing w:after="0"/>
              <w:rPr>
                <w:sz w:val="12"/>
                <w:szCs w:val="1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255</w:t>
            </w:r>
          </w:p>
        </w:tc>
      </w:tr>
      <w:tr>
        <w:trPr>
          <w:trHeight w:val="118"/>
        </w:trPr>
        <w:tc>
          <w:tcPr>
            <w:tcW w:w="7780" w:type="dxa"/>
            <w:vAlign w:val="bottom"/>
            <w:tcBorders>
              <w:bottom w:val="single" w:sz="8" w:color="CCEEFF"/>
            </w:tcBorders>
          </w:tcPr>
          <w:p>
            <w:pPr>
              <w:spacing w:after="0" w:line="107" w:lineRule="exact"/>
              <w:rPr>
                <w:sz w:val="20"/>
                <w:szCs w:val="20"/>
                <w:color w:val="auto"/>
              </w:rPr>
            </w:pPr>
            <w:r>
              <w:rPr>
                <w:rFonts w:ascii="Times New Roman" w:cs="Times New Roman" w:eastAsia="Times New Roman" w:hAnsi="Times New Roman"/>
                <w:sz w:val="10"/>
                <w:szCs w:val="10"/>
                <w:color w:val="auto"/>
              </w:rPr>
              <w:t>Net loss</w:t>
            </w:r>
          </w:p>
        </w:tc>
        <w:tc>
          <w:tcPr>
            <w:tcW w:w="1100" w:type="dxa"/>
            <w:vAlign w:val="bottom"/>
            <w:tcBorders>
              <w:bottom w:val="single" w:sz="8" w:color="auto"/>
            </w:tcBorders>
          </w:tcPr>
          <w:p>
            <w:pPr>
              <w:jc w:val="right"/>
              <w:ind w:right="992"/>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(56,824)</w:t>
            </w:r>
          </w:p>
        </w:tc>
        <w:tc>
          <w:tcPr>
            <w:tcW w:w="140" w:type="dxa"/>
            <w:vAlign w:val="bottom"/>
            <w:tcBorders>
              <w:bottom w:val="single" w:sz="8" w:color="CCEEFF"/>
            </w:tcBorders>
          </w:tcPr>
          <w:p>
            <w:pPr>
              <w:spacing w:after="0"/>
              <w:rPr>
                <w:sz w:val="10"/>
                <w:szCs w:val="10"/>
                <w:color w:val="auto"/>
              </w:rPr>
            </w:pPr>
          </w:p>
        </w:tc>
        <w:tc>
          <w:tcPr>
            <w:tcW w:w="4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0"/>
                <w:szCs w:val="10"/>
                <w:color w:val="auto"/>
                <w:w w:val="7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(21,663)</w:t>
            </w:r>
          </w:p>
        </w:tc>
      </w:tr>
      <w:tr>
        <w:trPr>
          <w:trHeight w:val="157"/>
        </w:trPr>
        <w:tc>
          <w:tcPr>
            <w:tcW w:w="77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r>
      <w:tr>
        <w:trPr>
          <w:trHeight w:val="129"/>
        </w:trPr>
        <w:tc>
          <w:tcPr>
            <w:tcW w:w="7780" w:type="dxa"/>
            <w:vAlign w:val="bottom"/>
          </w:tcPr>
          <w:p>
            <w:pPr>
              <w:spacing w:after="0"/>
              <w:rPr>
                <w:sz w:val="20"/>
                <w:szCs w:val="20"/>
                <w:color w:val="auto"/>
              </w:rPr>
            </w:pPr>
            <w:r>
              <w:rPr>
                <w:rFonts w:ascii="Times New Roman" w:cs="Times New Roman" w:eastAsia="Times New Roman" w:hAnsi="Times New Roman"/>
                <w:sz w:val="10"/>
                <w:szCs w:val="10"/>
                <w:color w:val="auto"/>
              </w:rPr>
              <w:t>Other comprehensive (loss) income:</w:t>
            </w: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141"/>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Foreign currency translation adjustment</w:t>
            </w:r>
          </w:p>
        </w:tc>
        <w:tc>
          <w:tcPr>
            <w:tcW w:w="1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w:t>
            </w: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(22)</w:t>
            </w:r>
          </w:p>
        </w:tc>
      </w:tr>
      <w:tr>
        <w:trPr>
          <w:trHeight w:val="129"/>
        </w:trPr>
        <w:tc>
          <w:tcPr>
            <w:tcW w:w="778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Unrealized gain (loss) on marketable securities</w:t>
            </w:r>
          </w:p>
        </w:tc>
        <w:tc>
          <w:tcPr>
            <w:tcW w:w="1100" w:type="dxa"/>
            <w:vAlign w:val="bottom"/>
          </w:tcPr>
          <w:p>
            <w:pPr>
              <w:spacing w:after="0"/>
              <w:rPr>
                <w:sz w:val="11"/>
                <w:szCs w:val="11"/>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w:t>
            </w:r>
          </w:p>
        </w:tc>
      </w:tr>
      <w:tr>
        <w:trPr>
          <w:trHeight w:val="146"/>
        </w:trPr>
        <w:tc>
          <w:tcPr>
            <w:tcW w:w="77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Total comprehensive loss</w:t>
            </w:r>
          </w:p>
        </w:tc>
        <w:tc>
          <w:tcPr>
            <w:tcW w:w="1100" w:type="dxa"/>
            <w:vAlign w:val="bottom"/>
            <w:tcBorders>
              <w:top w:val="single" w:sz="8" w:color="auto"/>
              <w:bottom w:val="single" w:sz="8" w:color="auto"/>
            </w:tcBorders>
            <w:shd w:val="clear" w:color="auto" w:fill="CCEEFF"/>
          </w:tcPr>
          <w:p>
            <w:pPr>
              <w:jc w:val="right"/>
              <w:ind w:right="992"/>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(56,829)</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460" w:type="dxa"/>
            <w:vAlign w:val="bottom"/>
            <w:tcBorders>
              <w:top w:val="single" w:sz="8" w:color="auto"/>
              <w:bottom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0"/>
                <w:szCs w:val="10"/>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(21,674)</w:t>
            </w:r>
          </w:p>
        </w:tc>
      </w:tr>
      <w:tr>
        <w:trPr>
          <w:trHeight w:val="153"/>
        </w:trPr>
        <w:tc>
          <w:tcPr>
            <w:tcW w:w="7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35"/>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Net loss per share:</w:t>
            </w:r>
          </w:p>
        </w:tc>
        <w:tc>
          <w:tcPr>
            <w:tcW w:w="1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r>
      <w:tr>
        <w:trPr>
          <w:trHeight w:val="133"/>
        </w:trPr>
        <w:tc>
          <w:tcPr>
            <w:tcW w:w="7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0"/>
                <w:szCs w:val="10"/>
                <w:color w:val="auto"/>
              </w:rPr>
              <w:t>Basic and Diluted</w:t>
            </w:r>
          </w:p>
        </w:tc>
        <w:tc>
          <w:tcPr>
            <w:tcW w:w="1100" w:type="dxa"/>
            <w:vAlign w:val="bottom"/>
            <w:tcBorders>
              <w:bottom w:val="single" w:sz="8" w:color="auto"/>
            </w:tcBorders>
          </w:tcPr>
          <w:p>
            <w:pPr>
              <w:jc w:val="right"/>
              <w:ind w:right="992"/>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(10.50)</w:t>
            </w:r>
          </w:p>
        </w:tc>
        <w:tc>
          <w:tcPr>
            <w:tcW w:w="140" w:type="dxa"/>
            <w:vAlign w:val="bottom"/>
            <w:tcBorders>
              <w:bottom w:val="single" w:sz="8" w:color="CCEEFF"/>
            </w:tcBorders>
          </w:tcPr>
          <w:p>
            <w:pPr>
              <w:spacing w:after="0"/>
              <w:rPr>
                <w:sz w:val="11"/>
                <w:szCs w:val="11"/>
                <w:color w:val="auto"/>
              </w:rPr>
            </w:pPr>
          </w:p>
        </w:tc>
        <w:tc>
          <w:tcPr>
            <w:tcW w:w="4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0"/>
                <w:szCs w:val="10"/>
                <w:color w:val="auto"/>
                <w:w w:val="7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(4.24)</w:t>
            </w:r>
          </w:p>
        </w:tc>
      </w:tr>
      <w:tr>
        <w:trPr>
          <w:trHeight w:val="117"/>
        </w:trPr>
        <w:tc>
          <w:tcPr>
            <w:tcW w:w="778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0"/>
                <w:szCs w:val="10"/>
                <w:color w:val="auto"/>
              </w:rPr>
              <w:t>Weighted-average common shares outstanding:</w:t>
            </w:r>
          </w:p>
        </w:tc>
        <w:tc>
          <w:tcPr>
            <w:tcW w:w="1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r>
      <w:tr>
        <w:trPr>
          <w:trHeight w:val="117"/>
        </w:trPr>
        <w:tc>
          <w:tcPr>
            <w:tcW w:w="778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Basic and Diluted</w:t>
            </w:r>
          </w:p>
        </w:tc>
        <w:tc>
          <w:tcPr>
            <w:tcW w:w="1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5,414,020</w:t>
            </w:r>
          </w:p>
        </w:tc>
        <w:tc>
          <w:tcPr>
            <w:tcW w:w="140" w:type="dxa"/>
            <w:vAlign w:val="bottom"/>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5,111,518</w:t>
            </w:r>
          </w:p>
        </w:tc>
      </w:tr>
      <w:tr>
        <w:trPr>
          <w:trHeight w:val="20"/>
        </w:trPr>
        <w:tc>
          <w:tcPr>
            <w:tcW w:w="77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80"/>
          </w:cols>
          <w:pgMar w:left="300" w:top="881" w:right="319" w:bottom="1440" w:gutter="0" w:footer="0" w:header="0"/>
        </w:sectPr>
      </w:pPr>
    </w:p>
    <w:bookmarkStart w:id="8" w:name="page9"/>
    <w:bookmarkEnd w:id="8"/>
    <w:p>
      <w:pPr>
        <w:spacing w:after="0"/>
        <w:rPr>
          <w:sz w:val="20"/>
          <w:szCs w:val="20"/>
          <w:color w:val="auto"/>
        </w:rPr>
      </w:pPr>
      <w:r>
        <w:rPr>
          <w:rFonts w:ascii="Calibri" w:cs="Calibri" w:eastAsia="Calibri" w:hAnsi="Calibri"/>
          <w:sz w:val="13"/>
          <w:szCs w:val="13"/>
          <w:b w:val="1"/>
          <w:bCs w:val="1"/>
          <w:color w:val="auto"/>
        </w:rPr>
        <w:drawing>
          <wp:anchor simplePos="0" relativeHeight="251657728" behindDoc="1" locked="0" layoutInCell="0" allowOverlap="1">
            <wp:simplePos x="0" y="0"/>
            <wp:positionH relativeFrom="page">
              <wp:posOffset>6329045</wp:posOffset>
            </wp:positionH>
            <wp:positionV relativeFrom="page">
              <wp:posOffset>88900</wp:posOffset>
            </wp:positionV>
            <wp:extent cx="1034415" cy="3143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034415" cy="314325"/>
                    </a:xfrm>
                    <a:prstGeom prst="rect">
                      <a:avLst/>
                    </a:prstGeom>
                    <a:noFill/>
                  </pic:spPr>
                </pic:pic>
              </a:graphicData>
            </a:graphic>
          </wp:anchor>
        </w:drawing>
        <w:t>Investor Contact</w:t>
      </w:r>
    </w:p>
    <w:p>
      <w:pPr>
        <w:spacing w:after="0" w:line="217" w:lineRule="auto"/>
        <w:rPr>
          <w:sz w:val="20"/>
          <w:szCs w:val="20"/>
          <w:color w:val="auto"/>
        </w:rPr>
      </w:pPr>
      <w:r>
        <w:rPr>
          <w:rFonts w:ascii="Calibri" w:cs="Calibri" w:eastAsia="Calibri" w:hAnsi="Calibri"/>
          <w:sz w:val="13"/>
          <w:szCs w:val="13"/>
          <w:color w:val="auto"/>
        </w:rPr>
        <w:t>Ron Moldaver</w:t>
      </w:r>
    </w:p>
    <w:p>
      <w:pPr>
        <w:spacing w:after="0" w:line="204" w:lineRule="auto"/>
        <w:rPr>
          <w:sz w:val="20"/>
          <w:szCs w:val="20"/>
          <w:color w:val="auto"/>
        </w:rPr>
      </w:pPr>
      <w:r>
        <w:rPr>
          <w:rFonts w:ascii="Calibri" w:cs="Calibri" w:eastAsia="Calibri" w:hAnsi="Calibri"/>
          <w:sz w:val="13"/>
          <w:szCs w:val="13"/>
          <w:color w:val="auto"/>
        </w:rPr>
        <w:t>ron.moldaver@cartesiantx.com</w:t>
      </w:r>
    </w:p>
    <w:p>
      <w:pPr>
        <w:spacing w:after="0" w:line="310" w:lineRule="exact"/>
        <w:rPr>
          <w:sz w:val="20"/>
          <w:szCs w:val="20"/>
          <w:color w:val="auto"/>
        </w:rPr>
      </w:pPr>
    </w:p>
    <w:p>
      <w:pPr>
        <w:spacing w:after="0"/>
        <w:rPr>
          <w:sz w:val="20"/>
          <w:szCs w:val="20"/>
          <w:color w:val="auto"/>
        </w:rPr>
      </w:pPr>
      <w:r>
        <w:rPr>
          <w:rFonts w:ascii="Calibri" w:cs="Calibri" w:eastAsia="Calibri" w:hAnsi="Calibri"/>
          <w:sz w:val="13"/>
          <w:szCs w:val="13"/>
          <w:b w:val="1"/>
          <w:bCs w:val="1"/>
          <w:color w:val="auto"/>
        </w:rPr>
        <w:t>Media Contact</w:t>
      </w:r>
    </w:p>
    <w:p>
      <w:pPr>
        <w:spacing w:after="0" w:line="217" w:lineRule="auto"/>
        <w:rPr>
          <w:sz w:val="20"/>
          <w:szCs w:val="20"/>
          <w:color w:val="auto"/>
        </w:rPr>
      </w:pPr>
      <w:r>
        <w:rPr>
          <w:rFonts w:ascii="Calibri" w:cs="Calibri" w:eastAsia="Calibri" w:hAnsi="Calibri"/>
          <w:sz w:val="13"/>
          <w:szCs w:val="13"/>
          <w:color w:val="auto"/>
        </w:rPr>
        <w:t>David Rosen</w:t>
      </w:r>
    </w:p>
    <w:p>
      <w:pPr>
        <w:spacing w:after="0" w:line="204" w:lineRule="auto"/>
        <w:rPr>
          <w:sz w:val="20"/>
          <w:szCs w:val="20"/>
          <w:color w:val="auto"/>
        </w:rPr>
      </w:pPr>
      <w:r>
        <w:rPr>
          <w:rFonts w:ascii="Calibri" w:cs="Calibri" w:eastAsia="Calibri" w:hAnsi="Calibri"/>
          <w:sz w:val="13"/>
          <w:szCs w:val="13"/>
          <w:color w:val="auto"/>
        </w:rPr>
        <w:t>Argot Partners</w:t>
      </w:r>
    </w:p>
    <w:p>
      <w:pPr>
        <w:spacing w:after="0" w:line="218" w:lineRule="auto"/>
        <w:rPr>
          <w:sz w:val="20"/>
          <w:szCs w:val="20"/>
          <w:color w:val="auto"/>
        </w:rPr>
      </w:pPr>
      <w:r>
        <w:rPr>
          <w:rFonts w:ascii="Calibri" w:cs="Calibri" w:eastAsia="Calibri" w:hAnsi="Calibri"/>
          <w:sz w:val="13"/>
          <w:szCs w:val="13"/>
          <w:color w:val="auto"/>
        </w:rPr>
        <w:t>cartesian@argotpartners.com</w:t>
      </w:r>
    </w:p>
    <w:p>
      <w:pPr>
        <w:sectPr>
          <w:pgSz w:w="11900" w:h="16838" w:orient="portrait"/>
          <w:cols w:equalWidth="0" w:num="1">
            <w:col w:w="10159"/>
          </w:cols>
          <w:pgMar w:left="300" w:top="868" w:right="1440" w:bottom="1440" w:gutter="0" w:footer="0" w:header="0"/>
        </w:sectPr>
      </w:pPr>
    </w:p>
    <w:bookmarkStart w:id="9" w:name="page10"/>
    <w:bookmarkEnd w:id="9"/>
    <w:p>
      <w:pPr>
        <w:spacing w:after="0" w:line="21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1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1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1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1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1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1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1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1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1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1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1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1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1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1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1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1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1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1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1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1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1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1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1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1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1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1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1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1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1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6" Type="http://schemas.openxmlformats.org/officeDocument/2006/relationships/image" Target="media/image8.jpeg"/><Relationship Id="rId17" Type="http://schemas.openxmlformats.org/officeDocument/2006/relationships/image" Target="media/image9.jpeg"/><Relationship Id="rId18" Type="http://schemas.openxmlformats.org/officeDocument/2006/relationships/image" Target="media/image10.jpeg"/><Relationship Id="rId19" Type="http://schemas.openxmlformats.org/officeDocument/2006/relationships/image" Target="media/image11.jpe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15" Type="http://schemas.openxmlformats.org/officeDocument/2006/relationships/hyperlink" Target="https://www.sec.gov/ix?doc=/Archives/edgar/data/1453687/000114036124011282/ef20023144_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2024-05-08T06:16:46Z</dcterms:created>
  <dcterms:modified xsi:type="dcterms:W3CDTF">2024-05-08T06:16:46Z</dcterms:modified>
</cp:coreProperties>
</file>