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0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08265"/>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Cartesian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RNAC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04/09/2025</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36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80"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04/09/2025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7,342</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9.4264</w:t>
            </w:r>
            <w:r>
              <w:rPr>
                <w:rFonts w:ascii="Times New Roman" w:cs="Times New Roman" w:eastAsia="Times New Roman" w:hAnsi="Times New Roman"/>
                <w:sz w:val="22"/>
                <w:szCs w:val="22"/>
                <w:color w:val="008000"/>
                <w:w w:val="95"/>
                <w:vertAlign w:val="superscript"/>
              </w:rPr>
              <w:t>(1)</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8,628,667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04/09/2025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9.9509</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8,628,698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04/09/2025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41,604</w:t>
            </w:r>
          </w:p>
        </w:tc>
        <w:tc>
          <w:tcPr>
            <w:tcW w:w="200" w:type="dxa"/>
            <w:vAlign w:val="bottom"/>
          </w:tcPr>
          <w:p>
            <w:pPr>
              <w:spacing w:after="0"/>
              <w:rPr>
                <w:sz w:val="21"/>
                <w:szCs w:val="21"/>
                <w:color w:val="auto"/>
              </w:rPr>
            </w:pPr>
          </w:p>
        </w:tc>
        <w:tc>
          <w:tcPr>
            <w:tcW w:w="300" w:type="dxa"/>
            <w:vAlign w:val="bottom"/>
            <w:vMerge w:val="restart"/>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9.4264</w:t>
            </w:r>
            <w:r>
              <w:rPr>
                <w:rFonts w:ascii="Times New Roman" w:cs="Times New Roman" w:eastAsia="Times New Roman" w:hAnsi="Times New Roman"/>
                <w:sz w:val="22"/>
                <w:szCs w:val="22"/>
                <w:color w:val="008000"/>
                <w:w w:val="95"/>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571,402</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04/09/2025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178</w:t>
            </w:r>
          </w:p>
        </w:tc>
        <w:tc>
          <w:tcPr>
            <w:tcW w:w="200" w:type="dxa"/>
            <w:vAlign w:val="bottom"/>
          </w:tcPr>
          <w:p>
            <w:pPr>
              <w:spacing w:after="0"/>
              <w:rPr>
                <w:sz w:val="21"/>
                <w:szCs w:val="21"/>
                <w:color w:val="auto"/>
              </w:rPr>
            </w:pPr>
          </w:p>
        </w:tc>
        <w:tc>
          <w:tcPr>
            <w:tcW w:w="300" w:type="dxa"/>
            <w:vAlign w:val="bottom"/>
            <w:vMerge w:val="restart"/>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9.9509</w:t>
            </w:r>
            <w:r>
              <w:rPr>
                <w:rFonts w:ascii="Times New Roman" w:cs="Times New Roman" w:eastAsia="Times New Roman" w:hAnsi="Times New Roman"/>
                <w:sz w:val="22"/>
                <w:szCs w:val="22"/>
                <w:color w:val="008000"/>
                <w:w w:val="95"/>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571,580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04/10/2025</w:t>
            </w: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7,966</w:t>
            </w:r>
          </w:p>
        </w:tc>
        <w:tc>
          <w:tcPr>
            <w:tcW w:w="2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10.4345</w:t>
            </w:r>
            <w:r>
              <w:rPr>
                <w:rFonts w:ascii="Times New Roman" w:cs="Times New Roman" w:eastAsia="Times New Roman" w:hAnsi="Times New Roman"/>
                <w:sz w:val="22"/>
                <w:szCs w:val="22"/>
                <w:color w:val="008000"/>
                <w:w w:val="95"/>
                <w:vertAlign w:val="superscript"/>
              </w:rPr>
              <w:t>(4)</w:t>
            </w:r>
          </w:p>
        </w:tc>
        <w:tc>
          <w:tcPr>
            <w:tcW w:w="1180" w:type="dxa"/>
            <w:vAlign w:val="bottom"/>
            <w:tcBorders>
              <w:top w:val="single" w:sz="8" w:color="2C2C2C"/>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8,636,664</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04/10/2025</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609</w:t>
            </w:r>
          </w:p>
        </w:tc>
        <w:tc>
          <w:tcPr>
            <w:tcW w:w="200" w:type="dxa"/>
            <w:vAlign w:val="bottom"/>
          </w:tcPr>
          <w:p>
            <w:pPr>
              <w:spacing w:after="0"/>
              <w:rPr>
                <w:sz w:val="23"/>
                <w:szCs w:val="23"/>
                <w:color w:val="auto"/>
              </w:rPr>
            </w:pPr>
          </w:p>
        </w:tc>
        <w:tc>
          <w:tcPr>
            <w:tcW w:w="300" w:type="dxa"/>
            <w:vAlign w:val="bottom"/>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tcPr>
          <w:p>
            <w:pPr>
              <w:jc w:val="center"/>
              <w:ind w:lef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10.9231</w:t>
            </w:r>
          </w:p>
        </w:tc>
        <w:tc>
          <w:tcPr>
            <w:tcW w:w="120" w:type="dxa"/>
            <w:vAlign w:val="bottom"/>
          </w:tcPr>
          <w:p>
            <w:pPr>
              <w:spacing w:after="0"/>
              <w:rPr>
                <w:sz w:val="23"/>
                <w:szCs w:val="23"/>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8,637,273</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04/10/2025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45,144</w:t>
            </w:r>
          </w:p>
        </w:tc>
        <w:tc>
          <w:tcPr>
            <w:tcW w:w="200" w:type="dxa"/>
            <w:vAlign w:val="bottom"/>
          </w:tcPr>
          <w:p>
            <w:pPr>
              <w:spacing w:after="0"/>
              <w:rPr>
                <w:sz w:val="21"/>
                <w:szCs w:val="21"/>
                <w:color w:val="auto"/>
              </w:rPr>
            </w:pPr>
          </w:p>
        </w:tc>
        <w:tc>
          <w:tcPr>
            <w:tcW w:w="300" w:type="dxa"/>
            <w:vAlign w:val="bottom"/>
            <w:vMerge w:val="restart"/>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10.4345</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616,724</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04/10/2025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3,451</w:t>
            </w:r>
          </w:p>
        </w:tc>
        <w:tc>
          <w:tcPr>
            <w:tcW w:w="200" w:type="dxa"/>
            <w:vAlign w:val="bottom"/>
          </w:tcPr>
          <w:p>
            <w:pPr>
              <w:spacing w:after="0"/>
              <w:rPr>
                <w:sz w:val="21"/>
                <w:szCs w:val="21"/>
                <w:color w:val="auto"/>
              </w:rPr>
            </w:pPr>
          </w:p>
        </w:tc>
        <w:tc>
          <w:tcPr>
            <w:tcW w:w="300" w:type="dxa"/>
            <w:vAlign w:val="bottom"/>
            <w:vMerge w:val="restart"/>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ind w:lef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10.9231</w:t>
            </w: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620,175</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04/11/2025</w:t>
            </w: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6,412</w:t>
            </w:r>
          </w:p>
        </w:tc>
        <w:tc>
          <w:tcPr>
            <w:tcW w:w="2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10.7726</w:t>
            </w:r>
            <w:r>
              <w:rPr>
                <w:rFonts w:ascii="Times New Roman" w:cs="Times New Roman" w:eastAsia="Times New Roman" w:hAnsi="Times New Roman"/>
                <w:sz w:val="22"/>
                <w:szCs w:val="22"/>
                <w:color w:val="008000"/>
                <w:w w:val="95"/>
                <w:vertAlign w:val="superscript"/>
              </w:rPr>
              <w:t>(5)</w:t>
            </w:r>
          </w:p>
        </w:tc>
        <w:tc>
          <w:tcPr>
            <w:tcW w:w="1180" w:type="dxa"/>
            <w:vAlign w:val="bottom"/>
            <w:tcBorders>
              <w:top w:val="single" w:sz="8" w:color="2C2C2C"/>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8,643,685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04/11/2025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36,338</w:t>
            </w:r>
          </w:p>
        </w:tc>
        <w:tc>
          <w:tcPr>
            <w:tcW w:w="200" w:type="dxa"/>
            <w:vAlign w:val="bottom"/>
          </w:tcPr>
          <w:p>
            <w:pPr>
              <w:spacing w:after="0"/>
              <w:rPr>
                <w:sz w:val="21"/>
                <w:szCs w:val="21"/>
                <w:color w:val="auto"/>
              </w:rPr>
            </w:pPr>
          </w:p>
        </w:tc>
        <w:tc>
          <w:tcPr>
            <w:tcW w:w="300" w:type="dxa"/>
            <w:vAlign w:val="bottom"/>
            <w:vMerge w:val="restart"/>
          </w:tcPr>
          <w:p>
            <w:pPr>
              <w:jc w:val="center"/>
              <w:ind w:right="85"/>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10.7726</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656,513</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330,695</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$8.95 to $9.91.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$9.95 to $9.97.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$9.918 to $10.7461. The Reporting Person undertakes to provide</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upon request to the SEC staff, the Issuer, or any stockholder of the Issuer, full information regarding the number of shares purchased at each separate price within the range set forth in this footnote.</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$10.395 to $11.00.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Timothy</w:t>
        <w:tab/>
        <w:t>04/11/2025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2025-04-11T16:45:46Z</dcterms:created>
  <dcterms:modified xsi:type="dcterms:W3CDTF">2025-04-11T16:45:46Z</dcterms:modified>
</cp:coreProperties>
</file>