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SELECTA BIOSCIENCES, INC.</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960" w:hanging="655"/>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960" w:hanging="655"/>
        <w:spacing w:after="0"/>
        <w:tabs>
          <w:tab w:leader="none" w:pos="1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300"/>
        <w:spacing w:after="0"/>
        <w:rPr>
          <w:rFonts w:ascii="MS PGothic" w:cs="MS PGothic" w:eastAsia="MS PGothic" w:hAnsi="MS PGothic"/>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816212104</w:t>
      </w:r>
    </w:p>
    <w:p>
      <w:pPr>
        <w:spacing w:after="0" w:line="243" w:lineRule="exact"/>
        <w:rPr>
          <w:sz w:val="20"/>
          <w:szCs w:val="20"/>
          <w:color w:val="auto"/>
        </w:rPr>
      </w:pPr>
    </w:p>
    <w:p>
      <w:pPr>
        <w:ind w:left="1020" w:right="7780" w:hanging="915"/>
        <w:spacing w:after="0" w:line="34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Nanodimension Limited Partnership</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667,864</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667,864</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667,864</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3.7%</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ind w:firstLine="8"/>
        <w:spacing w:after="0" w:line="207" w:lineRule="auto"/>
        <w:tabs>
          <w:tab w:leader="none" w:pos="113"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Reporting Persons Nanodimension II, L.P.</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350,000</w:t>
      </w:r>
    </w:p>
    <w:p>
      <w:pPr>
        <w:spacing w:after="0" w:line="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1.9%</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ind w:right="20" w:firstLine="8"/>
        <w:spacing w:after="0" w:line="207" w:lineRule="auto"/>
        <w:tabs>
          <w:tab w:leader="none" w:pos="118"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7660" w:hanging="915"/>
        <w:spacing w:after="0" w:line="34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Reporting Persons Nanodimension Management Limited</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800" w:type="dxa"/>
        <w:tblCellMar>
          <w:top w:w="0" w:type="dxa"/>
          <w:left w:w="0" w:type="dxa"/>
          <w:bottom w:w="0" w:type="dxa"/>
          <w:right w:w="0" w:type="dxa"/>
        </w:tblCellMar>
      </w:tblPr>
      <w:tr>
        <w:trPr>
          <w:trHeight w:val="345"/>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702,864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702,864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76"/>
        </w:trPr>
        <w:tc>
          <w:tcPr>
            <w:tcW w:w="1720" w:type="dxa"/>
            <w:vAlign w:val="bottom"/>
          </w:tcPr>
          <w:p>
            <w:pPr>
              <w:jc w:val="center"/>
              <w:ind w:right="690"/>
              <w:spacing w:after="0" w:line="157" w:lineRule="exact"/>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200" w:right="6360" w:hanging="583"/>
        <w:spacing w:after="0" w:line="375" w:lineRule="auto"/>
        <w:tabs>
          <w:tab w:leader="none" w:pos="32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020" w:right="5600" w:hanging="915"/>
        <w:spacing w:after="0" w:line="31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702,864</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1020" w:hanging="9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2" w:lineRule="exact"/>
        <w:rPr>
          <w:rFonts w:ascii="Arial" w:cs="Arial" w:eastAsia="Arial" w:hAnsi="Arial"/>
          <w:sz w:val="18"/>
          <w:szCs w:val="18"/>
          <w:color w:val="auto"/>
        </w:rPr>
      </w:pPr>
    </w:p>
    <w:p>
      <w:pPr>
        <w:ind w:left="1020" w:right="6600" w:hanging="915"/>
        <w:spacing w:after="0" w:line="31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3.9%</w:t>
      </w:r>
      <w:r>
        <w:rPr>
          <w:rFonts w:ascii="Arial" w:cs="Arial" w:eastAsia="Arial" w:hAnsi="Arial"/>
          <w:sz w:val="30"/>
          <w:szCs w:val="30"/>
          <w:color w:val="auto"/>
          <w:vertAlign w:val="superscript"/>
        </w:rPr>
        <w:t>2</w:t>
      </w:r>
    </w:p>
    <w:p>
      <w:pPr>
        <w:ind w:left="1020" w:hanging="9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0" w:lineRule="exact"/>
        <w:rPr>
          <w:sz w:val="20"/>
          <w:szCs w:val="20"/>
          <w:color w:val="auto"/>
        </w:rPr>
      </w:pPr>
    </w:p>
    <w:p>
      <w:pPr>
        <w:ind w:firstLine="8"/>
        <w:spacing w:after="0" w:line="194" w:lineRule="auto"/>
        <w:tabs>
          <w:tab w:leader="none" w:pos="129"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Consists of (i) 660,857 shares held by Nanodimension Limited Partnership; (ii) 7,007 shares underlying immediately exercisable warrants held by held by Nanodimension Limited Partnership; and (iii) 35,000 shares held by Nanodimension Management Limited directly.</w:t>
      </w:r>
    </w:p>
    <w:p>
      <w:pPr>
        <w:spacing w:after="0" w:line="243" w:lineRule="exact"/>
        <w:rPr>
          <w:sz w:val="20"/>
          <w:szCs w:val="20"/>
          <w:color w:val="auto"/>
        </w:rPr>
      </w:pPr>
    </w:p>
    <w:p>
      <w:pPr>
        <w:ind w:firstLine="8"/>
        <w:spacing w:after="0" w:line="207" w:lineRule="auto"/>
        <w:tabs>
          <w:tab w:leader="none" w:pos="113"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7500" w:hanging="915"/>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Reporting Persons Nanodimension II Management Limited</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780" w:hanging="915"/>
        <w:spacing w:after="0" w:line="38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3200" w:hanging="583"/>
        <w:spacing w:after="0"/>
        <w:tabs>
          <w:tab w:leader="none" w:pos="32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800" w:type="dxa"/>
        <w:tblCellMar>
          <w:top w:w="0" w:type="dxa"/>
          <w:left w:w="0" w:type="dxa"/>
          <w:bottom w:w="0" w:type="dxa"/>
          <w:right w:w="0" w:type="dxa"/>
        </w:tblCellMar>
      </w:tblPr>
      <w:tr>
        <w:trPr>
          <w:trHeight w:val="345"/>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350,000</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87"/>
        </w:trPr>
        <w:tc>
          <w:tcPr>
            <w:tcW w:w="1720" w:type="dxa"/>
            <w:vAlign w:val="bottom"/>
            <w:vMerge w:val="continue"/>
          </w:tcPr>
          <w:p>
            <w:pPr>
              <w:spacing w:after="0"/>
              <w:rPr>
                <w:sz w:val="7"/>
                <w:szCs w:val="7"/>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11"/>
                <w:szCs w:val="11"/>
                <w:color w:val="auto"/>
              </w:rPr>
            </w:pPr>
          </w:p>
        </w:tc>
        <w:tc>
          <w:tcPr>
            <w:tcW w:w="8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350,000</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76"/>
        </w:trPr>
        <w:tc>
          <w:tcPr>
            <w:tcW w:w="1720" w:type="dxa"/>
            <w:vAlign w:val="bottom"/>
          </w:tcPr>
          <w:p>
            <w:pPr>
              <w:jc w:val="center"/>
              <w:ind w:right="690"/>
              <w:spacing w:after="0" w:line="157" w:lineRule="exact"/>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5"/>
                <w:szCs w:val="15"/>
                <w:color w:val="auto"/>
              </w:rPr>
            </w:pPr>
          </w:p>
        </w:tc>
        <w:tc>
          <w:tcPr>
            <w:tcW w:w="8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3200" w:right="6360" w:hanging="583"/>
        <w:spacing w:after="0" w:line="375" w:lineRule="auto"/>
        <w:tabs>
          <w:tab w:leader="none" w:pos="32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1020" w:right="5600" w:hanging="915"/>
        <w:spacing w:after="0" w:line="31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350,000</w:t>
      </w:r>
      <w:r>
        <w:rPr>
          <w:rFonts w:ascii="Arial" w:cs="Arial" w:eastAsia="Arial" w:hAnsi="Arial"/>
          <w:sz w:val="30"/>
          <w:szCs w:val="30"/>
          <w:color w:val="auto"/>
          <w:vertAlign w:val="superscript"/>
        </w:rPr>
        <w:t>1</w:t>
      </w:r>
    </w:p>
    <w:p>
      <w:pPr>
        <w:spacing w:after="0" w:line="2" w:lineRule="exact"/>
        <w:rPr>
          <w:rFonts w:ascii="Arial" w:cs="Arial" w:eastAsia="Arial" w:hAnsi="Arial"/>
          <w:sz w:val="18"/>
          <w:szCs w:val="18"/>
          <w:color w:val="auto"/>
        </w:rPr>
      </w:pPr>
    </w:p>
    <w:p>
      <w:pPr>
        <w:ind w:left="1020" w:hanging="9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22" w:lineRule="exact"/>
        <w:rPr>
          <w:rFonts w:ascii="Arial" w:cs="Arial" w:eastAsia="Arial" w:hAnsi="Arial"/>
          <w:sz w:val="18"/>
          <w:szCs w:val="18"/>
          <w:color w:val="auto"/>
        </w:rPr>
      </w:pPr>
    </w:p>
    <w:p>
      <w:pPr>
        <w:ind w:left="1020" w:right="6600" w:hanging="915"/>
        <w:spacing w:after="0" w:line="312"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1.9%</w:t>
      </w:r>
      <w:r>
        <w:rPr>
          <w:rFonts w:ascii="Arial" w:cs="Arial" w:eastAsia="Arial" w:hAnsi="Arial"/>
          <w:sz w:val="30"/>
          <w:szCs w:val="30"/>
          <w:color w:val="auto"/>
          <w:vertAlign w:val="superscript"/>
        </w:rPr>
        <w:t>2</w:t>
      </w:r>
    </w:p>
    <w:p>
      <w:pPr>
        <w:ind w:left="1020" w:hanging="9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-1579880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-1133475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2"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Consists of 350,000 shares held by Nanodimension II, L.P.</w:t>
      </w:r>
    </w:p>
    <w:p>
      <w:pPr>
        <w:spacing w:after="0" w:line="242" w:lineRule="exact"/>
        <w:rPr>
          <w:sz w:val="20"/>
          <w:szCs w:val="20"/>
          <w:color w:val="auto"/>
        </w:rPr>
      </w:pPr>
    </w:p>
    <w:p>
      <w:pPr>
        <w:ind w:right="20" w:firstLine="8"/>
        <w:spacing w:after="0" w:line="207" w:lineRule="auto"/>
        <w:tabs>
          <w:tab w:leader="none" w:pos="118"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Reporting Persons Jonathan Nicholson</w:t>
      </w:r>
    </w:p>
    <w:p>
      <w:pPr>
        <w:spacing w:after="0" w:line="15" w:lineRule="exact"/>
        <w:rPr>
          <w:rFonts w:ascii="Arial" w:cs="Arial" w:eastAsia="Arial" w:hAnsi="Arial"/>
          <w:sz w:val="16"/>
          <w:szCs w:val="16"/>
          <w:color w:val="auto"/>
        </w:rPr>
      </w:pPr>
    </w:p>
    <w:p>
      <w:pPr>
        <w:ind w:left="1020" w:hanging="9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680" w:hanging="915"/>
        <w:spacing w:after="0" w:line="43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and United Kingdom</w:t>
      </w:r>
    </w:p>
    <w:p>
      <w:pPr>
        <w:ind w:left="3200" w:hanging="583"/>
        <w:spacing w:after="0"/>
        <w:tabs>
          <w:tab w:leader="none" w:pos="320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8"/>
                <w:szCs w:val="8"/>
                <w:color w:val="auto"/>
              </w:rPr>
            </w:pPr>
          </w:p>
        </w:tc>
        <w:tc>
          <w:tcPr>
            <w:tcW w:w="8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line="338" w:lineRule="exact"/>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5.8%</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jc w:val="both"/>
        <w:ind w:firstLine="8"/>
        <w:spacing w:after="0" w:line="209" w:lineRule="auto"/>
        <w:tabs>
          <w:tab w:leader="none" w:pos="129"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Consists of (i) 660,857 shares held by Nanodimension Limited Partnership; (ii) 7,007 shares underlying immediately exercisable warrants held by held by Nanodimension Limited Partnership; (iii) 350,000 shares held by Nanodimension II, L.P.; and (iv) 35,000 shares held by Nanodimension Management Limited.</w:t>
      </w:r>
    </w:p>
    <w:p>
      <w:pPr>
        <w:spacing w:after="0" w:line="244" w:lineRule="exact"/>
        <w:rPr>
          <w:sz w:val="20"/>
          <w:szCs w:val="20"/>
          <w:color w:val="auto"/>
        </w:rPr>
      </w:pPr>
    </w:p>
    <w:p>
      <w:pPr>
        <w:ind w:right="20" w:firstLine="8"/>
        <w:spacing w:after="0" w:line="207" w:lineRule="auto"/>
        <w:tabs>
          <w:tab w:leader="none" w:pos="118"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05366U100</w:t>
      </w:r>
    </w:p>
    <w:p>
      <w:pPr>
        <w:spacing w:after="0" w:line="243" w:lineRule="exact"/>
        <w:rPr>
          <w:sz w:val="20"/>
          <w:szCs w:val="20"/>
          <w:color w:val="auto"/>
        </w:rPr>
      </w:pPr>
    </w:p>
    <w:p>
      <w:pPr>
        <w:ind w:left="1020" w:right="8400" w:hanging="915"/>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of Reporting Persons Richard Coles</w:t>
      </w:r>
    </w:p>
    <w:p>
      <w:pPr>
        <w:spacing w:after="0" w:line="62" w:lineRule="exact"/>
        <w:rPr>
          <w:rFonts w:ascii="Arial" w:cs="Arial" w:eastAsia="Arial" w:hAnsi="Arial"/>
          <w:sz w:val="18"/>
          <w:szCs w:val="18"/>
          <w:color w:val="auto"/>
        </w:rPr>
      </w:pPr>
    </w:p>
    <w:p>
      <w:pPr>
        <w:ind w:left="1020" w:hanging="9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260" w:hanging="237"/>
        <w:spacing w:after="0" w:line="207" w:lineRule="exact"/>
        <w:tabs>
          <w:tab w:leader="none" w:pos="126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280" w:hanging="257"/>
        <w:spacing w:after="0" w:line="207" w:lineRule="exact"/>
        <w:tabs>
          <w:tab w:leader="none" w:pos="128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2" w:lineRule="exact"/>
        <w:rPr>
          <w:rFonts w:ascii="Arial" w:cs="Arial" w:eastAsia="Arial" w:hAnsi="Arial"/>
          <w:sz w:val="18"/>
          <w:szCs w:val="18"/>
          <w:color w:val="auto"/>
        </w:rPr>
      </w:pPr>
    </w:p>
    <w:p>
      <w:pPr>
        <w:ind w:left="1020" w:right="7680" w:hanging="915"/>
        <w:spacing w:after="0" w:line="43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and United Kingdom</w:t>
      </w:r>
    </w:p>
    <w:p>
      <w:pPr>
        <w:ind w:left="3200" w:hanging="583"/>
        <w:spacing w:after="0"/>
        <w:tabs>
          <w:tab w:leader="none" w:pos="3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266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-1571625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8"/>
        </w:trPr>
        <w:tc>
          <w:tcPr>
            <w:tcW w:w="1720" w:type="dxa"/>
            <w:vAlign w:val="bottom"/>
            <w:vMerge w:val="continue"/>
          </w:tcPr>
          <w:p>
            <w:pPr>
              <w:spacing w:after="0"/>
              <w:rPr>
                <w:sz w:val="11"/>
                <w:szCs w:val="11"/>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6.</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4"/>
              </w:rPr>
              <w:t>Shares</w:t>
            </w:r>
          </w:p>
        </w:tc>
        <w:tc>
          <w:tcPr>
            <w:tcW w:w="460" w:type="dxa"/>
            <w:vAlign w:val="bottom"/>
            <w:vMerge w:val="continue"/>
          </w:tcPr>
          <w:p>
            <w:pPr>
              <w:spacing w:after="0"/>
              <w:rPr>
                <w:sz w:val="8"/>
                <w:szCs w:val="8"/>
                <w:color w:val="auto"/>
              </w:rPr>
            </w:pPr>
          </w:p>
        </w:tc>
        <w:tc>
          <w:tcPr>
            <w:tcW w:w="8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7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6"/>
              </w:rPr>
              <w:t>Beneficially</w:t>
            </w:r>
          </w:p>
        </w:tc>
        <w:tc>
          <w:tcPr>
            <w:tcW w:w="460" w:type="dxa"/>
            <w:vAlign w:val="bottom"/>
          </w:tcPr>
          <w:p>
            <w:pPr>
              <w:spacing w:after="0"/>
              <w:rPr>
                <w:sz w:val="18"/>
                <w:szCs w:val="18"/>
                <w:color w:val="auto"/>
              </w:rPr>
            </w:pPr>
          </w:p>
        </w:tc>
        <w:tc>
          <w:tcPr>
            <w:tcW w:w="8440" w:type="dxa"/>
            <w:vAlign w:val="bottom"/>
            <w:vMerge w:val="restart"/>
          </w:tcPr>
          <w:p>
            <w:pPr>
              <w:ind w:left="220"/>
              <w:spacing w:after="0" w:line="338" w:lineRule="exact"/>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122"/>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Owned by</w:t>
            </w:r>
          </w:p>
        </w:tc>
        <w:tc>
          <w:tcPr>
            <w:tcW w:w="460" w:type="dxa"/>
            <w:vAlign w:val="bottom"/>
            <w:tcBorders>
              <w:bottom w:val="single" w:sz="8" w:color="auto"/>
            </w:tcBorders>
          </w:tcPr>
          <w:p>
            <w:pPr>
              <w:spacing w:after="0"/>
              <w:rPr>
                <w:sz w:val="10"/>
                <w:szCs w:val="10"/>
                <w:color w:val="auto"/>
              </w:rPr>
            </w:pPr>
          </w:p>
        </w:tc>
        <w:tc>
          <w:tcPr>
            <w:tcW w:w="8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720" w:type="dxa"/>
            <w:vAlign w:val="bottom"/>
            <w:vMerge w:val="restart"/>
          </w:tcPr>
          <w:p>
            <w:pPr>
              <w:jc w:val="center"/>
              <w:ind w:right="710"/>
              <w:spacing w:after="0"/>
              <w:rPr>
                <w:sz w:val="20"/>
                <w:szCs w:val="20"/>
                <w:color w:val="auto"/>
              </w:rPr>
            </w:pPr>
            <w:r>
              <w:rPr>
                <w:rFonts w:ascii="Arial" w:cs="Arial" w:eastAsia="Arial" w:hAnsi="Arial"/>
                <w:sz w:val="18"/>
                <w:szCs w:val="18"/>
                <w:color w:val="auto"/>
                <w:w w:val="87"/>
              </w:rPr>
              <w:t>Each</w:t>
            </w:r>
          </w:p>
        </w:tc>
        <w:tc>
          <w:tcPr>
            <w:tcW w:w="460" w:type="dxa"/>
            <w:vAlign w:val="bottom"/>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7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10"/>
              <w:spacing w:after="0"/>
              <w:rPr>
                <w:sz w:val="20"/>
                <w:szCs w:val="20"/>
                <w:color w:val="auto"/>
              </w:rPr>
            </w:pPr>
            <w:r>
              <w:rPr>
                <w:rFonts w:ascii="Arial" w:cs="Arial" w:eastAsia="Arial" w:hAnsi="Arial"/>
                <w:sz w:val="18"/>
                <w:szCs w:val="18"/>
                <w:color w:val="auto"/>
                <w:w w:val="92"/>
              </w:rPr>
              <w:t>Reporting</w:t>
            </w:r>
          </w:p>
        </w:tc>
        <w:tc>
          <w:tcPr>
            <w:tcW w:w="460" w:type="dxa"/>
            <w:vAlign w:val="bottom"/>
          </w:tcPr>
          <w:p>
            <w:pPr>
              <w:spacing w:after="0"/>
              <w:rPr>
                <w:sz w:val="18"/>
                <w:szCs w:val="18"/>
                <w:color w:val="auto"/>
              </w:rPr>
            </w:pP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1720" w:type="dxa"/>
            <w:vAlign w:val="bottom"/>
            <w:vMerge w:val="restart"/>
          </w:tcPr>
          <w:p>
            <w:pPr>
              <w:jc w:val="center"/>
              <w:ind w:right="690"/>
              <w:spacing w:after="0"/>
              <w:rPr>
                <w:sz w:val="20"/>
                <w:szCs w:val="20"/>
                <w:color w:val="auto"/>
              </w:rPr>
            </w:pPr>
            <w:r>
              <w:rPr>
                <w:rFonts w:ascii="Arial" w:cs="Arial" w:eastAsia="Arial" w:hAnsi="Arial"/>
                <w:sz w:val="18"/>
                <w:szCs w:val="18"/>
                <w:color w:val="auto"/>
                <w:w w:val="91"/>
              </w:rPr>
              <w:t>Person With:</w:t>
            </w:r>
          </w:p>
        </w:tc>
        <w:tc>
          <w:tcPr>
            <w:tcW w:w="460" w:type="dxa"/>
            <w:vAlign w:val="bottom"/>
            <w:tcBorders>
              <w:bottom w:val="single" w:sz="8" w:color="auto"/>
            </w:tcBorders>
          </w:tcPr>
          <w:p>
            <w:pPr>
              <w:spacing w:after="0"/>
              <w:rPr>
                <w:sz w:val="11"/>
                <w:szCs w:val="11"/>
                <w:color w:val="auto"/>
              </w:rPr>
            </w:pPr>
          </w:p>
        </w:tc>
        <w:tc>
          <w:tcPr>
            <w:tcW w:w="84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844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1,052,864</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 (See Instructions)</w:t>
      </w:r>
    </w:p>
    <w:p>
      <w:pPr>
        <w:spacing w:after="0" w:line="22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5.8%</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1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27" w:lineRule="exact"/>
        <w:rPr>
          <w:sz w:val="20"/>
          <w:szCs w:val="20"/>
          <w:color w:val="auto"/>
        </w:rPr>
      </w:pPr>
    </w:p>
    <w:p>
      <w:pPr>
        <w:jc w:val="both"/>
        <w:ind w:firstLine="8"/>
        <w:spacing w:after="0" w:line="209" w:lineRule="auto"/>
        <w:tabs>
          <w:tab w:leader="none" w:pos="129"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Consists of (i) 660,857 shares held by Nanodimension Limited Partnership; (ii) 7,007 shares underlying immediately exercisable warrants held by held by Nanodimension Limited Partnership; (iii) 350,000 shares held by Nanodimension II, L.P.; and (iv) 35,000 shares held by Nanodimension Management Limited.</w:t>
      </w:r>
    </w:p>
    <w:p>
      <w:pPr>
        <w:spacing w:after="0" w:line="244" w:lineRule="exact"/>
        <w:rPr>
          <w:sz w:val="20"/>
          <w:szCs w:val="20"/>
          <w:color w:val="auto"/>
        </w:rPr>
      </w:pPr>
    </w:p>
    <w:p>
      <w:pPr>
        <w:ind w:right="20" w:firstLine="8"/>
        <w:spacing w:after="0" w:line="207" w:lineRule="auto"/>
        <w:tabs>
          <w:tab w:leader="none" w:pos="118"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This percentage is calculated based upon 18,190,180 shares of the Issuer’s common stock outstanding as of November 10, 2016, as reported by the Issuer in its Form 10-Q for the quarter ended September 30, 2016, filed with the Securities and Exchange Commission on November 10, 2016.</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620" w:hanging="640"/>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Selecta Biosciences, Inc.</w:t>
      </w:r>
    </w:p>
    <w:p>
      <w:pPr>
        <w:spacing w:after="0" w:line="211" w:lineRule="exact"/>
        <w:rPr>
          <w:sz w:val="20"/>
          <w:szCs w:val="20"/>
          <w:color w:val="auto"/>
        </w:rPr>
      </w:pPr>
    </w:p>
    <w:p>
      <w:pPr>
        <w:ind w:left="1960" w:right="5179" w:hanging="980"/>
        <w:spacing w:after="0" w:line="258" w:lineRule="auto"/>
        <w:tabs>
          <w:tab w:leader="none" w:pos="16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of Issuer’s Principal Executive Offices 480 Arsenal Way</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Watertown, MA 02472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620" w:hanging="64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Limited Partnership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II, L.P.</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Management Limited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Nanodimension II Management Limited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Jonathan Nicholson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Richard Coles</w:t>
      </w:r>
    </w:p>
    <w:p>
      <w:pPr>
        <w:spacing w:after="0" w:line="211" w:lineRule="exact"/>
        <w:rPr>
          <w:sz w:val="20"/>
          <w:szCs w:val="20"/>
          <w:color w:val="auto"/>
        </w:rPr>
      </w:pPr>
    </w:p>
    <w:p>
      <w:pPr>
        <w:ind w:left="1960" w:right="4319" w:hanging="980"/>
        <w:spacing w:after="0" w:line="256" w:lineRule="auto"/>
        <w:tabs>
          <w:tab w:leader="none" w:pos="1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Nanodimension Management Limited Governor's Square, Unit 3-213-6</w:t>
      </w:r>
    </w:p>
    <w:p>
      <w:pPr>
        <w:ind w:left="1960"/>
        <w:spacing w:after="0"/>
        <w:rPr>
          <w:rFonts w:ascii="Arial" w:cs="Arial" w:eastAsia="Arial" w:hAnsi="Arial"/>
          <w:sz w:val="18"/>
          <w:szCs w:val="18"/>
          <w:color w:val="auto"/>
        </w:rPr>
      </w:pPr>
      <w:r>
        <w:rPr>
          <w:rFonts w:ascii="Arial" w:cs="Arial" w:eastAsia="Arial" w:hAnsi="Arial"/>
          <w:sz w:val="18"/>
          <w:szCs w:val="18"/>
          <w:color w:val="auto"/>
        </w:rPr>
        <w:t>23 Lime Tree Bay Ave</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Grand Cayman, Cayman Islands KY1-1302</w:t>
      </w:r>
    </w:p>
    <w:p>
      <w:pPr>
        <w:spacing w:after="0" w:line="210" w:lineRule="exact"/>
        <w:rPr>
          <w:rFonts w:ascii="Arial" w:cs="Arial" w:eastAsia="Arial" w:hAnsi="Arial"/>
          <w:sz w:val="18"/>
          <w:szCs w:val="18"/>
          <w:color w:val="auto"/>
        </w:rPr>
      </w:pPr>
    </w:p>
    <w:p>
      <w:pPr>
        <w:ind w:left="1620" w:hanging="640"/>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960" w:right="2799"/>
        <w:spacing w:after="0" w:line="270" w:lineRule="auto"/>
        <w:rPr>
          <w:sz w:val="20"/>
          <w:szCs w:val="20"/>
          <w:color w:val="auto"/>
        </w:rPr>
      </w:pPr>
      <w:r>
        <w:rPr>
          <w:rFonts w:ascii="Arial" w:cs="Arial" w:eastAsia="Arial" w:hAnsi="Arial"/>
          <w:sz w:val="17"/>
          <w:szCs w:val="17"/>
          <w:color w:val="auto"/>
        </w:rPr>
        <w:t>Nanodimension Limited Partnership is a Cayman Islands partnership Nanodimension II, L.P. is a Cayman Islands partnership Nanodimension Management Limited is a Cayman Islands corporation Nanodimension II Management Limited is a Cayman Islands corporation Jonathan Nicholson is a citizen of the Cayman Islands and United Kingdom Richard Coles is a citizen of the Cayman Islands and United Kingdom</w:t>
      </w:r>
    </w:p>
    <w:p>
      <w:pPr>
        <w:sectPr>
          <w:pgSz w:w="11900" w:h="16838" w:orient="portrait"/>
          <w:cols w:equalWidth="0" w:num="1">
            <w:col w:w="10219"/>
          </w:cols>
          <w:pgMar w:left="240" w:top="904" w:right="1440" w:bottom="1440" w:gutter="0" w:footer="0" w:header="0"/>
        </w:sectPr>
      </w:pP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1200" w:space="420"/>
            <w:col w:w="8599"/>
          </w:cols>
          <w:pgMar w:left="240" w:top="904" w:right="1440" w:bottom="1440" w:gutter="0" w:footer="0" w:header="0"/>
          <w:type w:val="continuous"/>
        </w:sectPr>
      </w:pPr>
    </w:p>
    <w:p>
      <w:pPr>
        <w:spacing w:after="0" w:line="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jc w:val="right"/>
        <w:ind w:right="7439"/>
        <w:spacing w:after="0"/>
        <w:rPr>
          <w:sz w:val="20"/>
          <w:szCs w:val="20"/>
          <w:color w:val="auto"/>
        </w:rPr>
      </w:pPr>
      <w:r>
        <w:rPr>
          <w:rFonts w:ascii="Arial" w:cs="Arial" w:eastAsia="Arial" w:hAnsi="Arial"/>
          <w:sz w:val="16"/>
          <w:szCs w:val="16"/>
          <w:color w:val="auto"/>
        </w:rPr>
        <w:t>CUSIP Number</w:t>
      </w:r>
    </w:p>
    <w:p>
      <w:pPr>
        <w:spacing w:after="0" w:line="46" w:lineRule="exact"/>
        <w:rPr>
          <w:sz w:val="20"/>
          <w:szCs w:val="20"/>
          <w:color w:val="auto"/>
        </w:rPr>
      </w:pPr>
    </w:p>
    <w:p>
      <w:pPr>
        <w:jc w:val="right"/>
        <w:ind w:right="7459"/>
        <w:spacing w:after="0"/>
        <w:rPr>
          <w:sz w:val="20"/>
          <w:szCs w:val="20"/>
          <w:color w:val="auto"/>
        </w:rPr>
      </w:pPr>
      <w:r>
        <w:rPr>
          <w:rFonts w:ascii="Arial" w:cs="Arial" w:eastAsia="Arial" w:hAnsi="Arial"/>
          <w:sz w:val="18"/>
          <w:szCs w:val="18"/>
          <w:color w:val="auto"/>
        </w:rPr>
        <w:t>816212104</w:t>
      </w:r>
    </w:p>
    <w:p>
      <w:pPr>
        <w:spacing w:after="0" w:line="200" w:lineRule="exact"/>
        <w:rPr>
          <w:sz w:val="20"/>
          <w:szCs w:val="20"/>
          <w:color w:val="auto"/>
        </w:rPr>
      </w:pPr>
    </w:p>
    <w:p>
      <w:pPr>
        <w:sectPr>
          <w:pgSz w:w="11900" w:h="16838" w:orient="portrait"/>
          <w:cols w:equalWidth="0" w:num="2">
            <w:col w:w="1180" w:space="440"/>
            <w:col w:w="8599"/>
          </w:cols>
          <w:pgMar w:left="240" w:top="90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540" w:space="440"/>
            <w:col w:w="9239"/>
          </w:cols>
          <w:pgMar w:left="240" w:top="904" w:right="1440" w:bottom="1440" w:gutter="0" w:footer="0" w:header="0"/>
          <w:type w:val="continuous"/>
        </w:sectPr>
      </w:pPr>
    </w:p>
    <w:p>
      <w:pPr>
        <w:spacing w:after="0" w:line="4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0219"/>
          </w:cols>
          <w:pgMar w:left="240" w:top="904" w:right="1440"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11" w:lineRule="exact"/>
        <w:rPr>
          <w:sz w:val="20"/>
          <w:szCs w:val="20"/>
          <w:color w:val="auto"/>
        </w:rPr>
      </w:pPr>
    </w:p>
    <w:p>
      <w:pPr>
        <w:sectPr>
          <w:pgSz w:w="11900" w:h="16838" w:orient="portrait"/>
          <w:cols w:equalWidth="0" w:num="2">
            <w:col w:w="540" w:space="440"/>
            <w:col w:w="9239"/>
          </w:cols>
          <w:pgMar w:left="240" w:top="904" w:right="1440" w:bottom="1440" w:gutter="0" w:footer="0" w:header="0"/>
          <w:type w:val="continuous"/>
        </w:sectPr>
      </w:pPr>
    </w:p>
    <w:p>
      <w:pPr>
        <w:spacing w:after="0" w:line="41"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Amount Beneficially Owned: See the responses to Item 9 on the attached cover pages.</w:t>
      </w:r>
    </w:p>
    <w:p>
      <w:pPr>
        <w:spacing w:after="0" w:line="46" w:lineRule="exact"/>
        <w:rPr>
          <w:sz w:val="20"/>
          <w:szCs w:val="20"/>
          <w:color w:val="auto"/>
        </w:rPr>
      </w:pPr>
    </w:p>
    <w:p>
      <w:pPr>
        <w:ind w:left="980"/>
        <w:spacing w:after="0"/>
        <w:tabs>
          <w:tab w:leader="none" w:pos="16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Percent of Class: See the responses to Item 11 on the attached cover pages.</w:t>
      </w:r>
    </w:p>
    <w:p>
      <w:pPr>
        <w:sectPr>
          <w:pgSz w:w="11900" w:h="16838" w:orient="portrait"/>
          <w:cols w:equalWidth="0" w:num="1">
            <w:col w:w="10219"/>
          </w:cols>
          <w:pgMar w:left="240" w:top="904" w:right="1440"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Arial" w:cs="Arial" w:eastAsia="Arial" w:hAnsi="Arial"/>
          <w:sz w:val="15"/>
          <w:szCs w:val="15"/>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8" w:name="page9"/>
    <w:bookmarkEnd w:id="8"/>
    <w:p>
      <w:pPr>
        <w:ind w:left="1620" w:hanging="640"/>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3"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the responses to Item 6 on the attached cover pages.</w:t>
      </w:r>
    </w:p>
    <w:p>
      <w:pPr>
        <w:spacing w:after="0" w:line="9" w:lineRule="exact"/>
        <w:rPr>
          <w:rFonts w:ascii="Arial" w:cs="Arial" w:eastAsia="Arial" w:hAnsi="Arial"/>
          <w:sz w:val="18"/>
          <w:szCs w:val="18"/>
          <w:color w:val="auto"/>
        </w:rPr>
      </w:pPr>
    </w:p>
    <w:p>
      <w:pPr>
        <w:ind w:left="2280" w:hanging="651"/>
        <w:spacing w:after="0"/>
        <w:tabs>
          <w:tab w:leader="none" w:pos="2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the responses to Item 6 on the attached cover pages.</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Nanodimension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GP Limited Partnership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Jonathan Nicholson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Coles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Richard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hereby agree that this Schedule 13G (the “Schedule 13G”) with respect to the common stock of Selecta Biosciences, Inc. is, and any additional amendment thereto signed by each of the undersigned shall be, filed on behalf of each undersigned pursuant to and in accordance with the provisions of 13d-1(k) under the Securities Exchange Act of 1934, as amended (the “Exchange Act”),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Exchange Act, nor is a joint venture for purposes of the Investment Company Act of 1940.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Nanodimension Limited Partnership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GP Limited Partnership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Nanodimension II Management Limited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Arial" w:cs="Arial" w:eastAsia="Arial" w:hAnsi="Arial"/>
                <w:sz w:val="18"/>
                <w:szCs w:val="18"/>
                <w:b w:val="1"/>
                <w:bCs w:val="1"/>
                <w:color w:val="auto"/>
              </w:rPr>
              <w:t>Nanodimension II Management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Nicholson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Pr>
          <w:p>
            <w:pPr>
              <w:ind w:left="100"/>
              <w:spacing w:after="0" w:line="195" w:lineRule="exact"/>
              <w:rPr>
                <w:sz w:val="20"/>
                <w:szCs w:val="20"/>
                <w:color w:val="auto"/>
              </w:rPr>
            </w:pPr>
            <w:r>
              <w:rPr>
                <w:rFonts w:ascii="Arial" w:cs="Arial" w:eastAsia="Arial" w:hAnsi="Arial"/>
                <w:sz w:val="18"/>
                <w:szCs w:val="18"/>
                <w:color w:val="auto"/>
              </w:rPr>
              <w:t>Jonathan Nicholson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Jonathan Nicholson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Coles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Richard Coles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E6AFB66"/>
    <w:multiLevelType w:val="hybridMultilevel"/>
    <w:lvl w:ilvl="0">
      <w:lvlJc w:val="left"/>
      <w:lvlText w:val="%1"/>
      <w:numFmt w:val="decimal"/>
      <w:start w:val="1"/>
    </w:lvl>
    <w:lvl w:ilvl="1">
      <w:lvlJc w:val="left"/>
      <w:lvlText w:val="%2."/>
      <w:numFmt w:val="decimal"/>
      <w:start w:val="8"/>
    </w:lvl>
  </w:abstractNum>
  <w:abstractNum w:abstractNumId="7">
    <w:nsid w:val="25E45D32"/>
    <w:multiLevelType w:val="hybridMultilevel"/>
    <w:lvl w:ilvl="0">
      <w:lvlJc w:val="left"/>
      <w:lvlText w:val="%1."/>
      <w:numFmt w:val="decimal"/>
      <w:start w:val="9"/>
    </w:lvl>
    <w:lvl w:ilvl="1">
      <w:lvlJc w:val="left"/>
      <w:lvlText w:val="%2"/>
      <w:numFmt w:val="decimal"/>
      <w:start w:val="1"/>
    </w:lvl>
  </w:abstractNum>
  <w:abstractNum w:abstractNumId="8">
    <w:nsid w:val="519B500D"/>
    <w:multiLevelType w:val="hybridMultilevel"/>
    <w:lvl w:ilvl="0">
      <w:lvlJc w:val="left"/>
      <w:lvlText w:val="1"/>
      <w:numFmt w:val="bullet"/>
      <w:start w:val="1"/>
    </w:lvl>
  </w:abstractNum>
  <w:abstractNum w:abstractNumId="9">
    <w:nsid w:val="431BD7B7"/>
    <w:multiLevelType w:val="hybridMultilevel"/>
    <w:lvl w:ilvl="0">
      <w:lvlJc w:val="left"/>
      <w:lvlText w:val="2"/>
      <w:numFmt w:val="bullet"/>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1">
    <w:nsid w:val="7C83E458"/>
    <w:multiLevelType w:val="hybridMultilevel"/>
    <w:lvl w:ilvl="0">
      <w:lvlJc w:val="left"/>
      <w:lvlText w:val="%1"/>
      <w:numFmt w:val="decimal"/>
      <w:start w:val="1"/>
    </w:lvl>
    <w:lvl w:ilvl="1">
      <w:lvlJc w:val="left"/>
      <w:lvlText w:val="%2."/>
      <w:numFmt w:val="decimal"/>
      <w:start w:val="8"/>
    </w:lvl>
  </w:abstractNum>
  <w:abstractNum w:abstractNumId="12">
    <w:nsid w:val="257130A3"/>
    <w:multiLevelType w:val="hybridMultilevel"/>
    <w:lvl w:ilvl="0">
      <w:lvlJc w:val="left"/>
      <w:lvlText w:val="%1."/>
      <w:numFmt w:val="decimal"/>
      <w:start w:val="9"/>
    </w:lvl>
    <w:lvl w:ilvl="1">
      <w:lvlJc w:val="left"/>
      <w:lvlText w:val="%2"/>
      <w:numFmt w:val="decimal"/>
      <w:start w:val="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2"/>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2"/>
      <w:numFmt w:val="bullet"/>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2D1D5AE9"/>
    <w:multiLevelType w:val="hybridMultilevel"/>
    <w:lvl w:ilvl="0">
      <w:lvlJc w:val="left"/>
      <w:lvlText w:val="1"/>
      <w:numFmt w:val="bullet"/>
      <w:start w:val="1"/>
    </w:lvl>
  </w:abstractNum>
  <w:abstractNum w:abstractNumId="20">
    <w:nsid w:val="6763845E"/>
    <w:multiLevelType w:val="hybridMultilevel"/>
    <w:lvl w:ilvl="0">
      <w:lvlJc w:val="left"/>
      <w:lvlText w:val="2"/>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2"/>
    </w:lvl>
  </w:abstractNum>
  <w:abstractNum w:abstractNumId="25">
    <w:nsid w:val="B03E0C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2019-12-07T09:57:12Z</dcterms:created>
  <dcterms:modified xsi:type="dcterms:W3CDTF">2019-12-07T09:57:12Z</dcterms:modified>
</cp:coreProperties>
</file>