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4"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-224155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18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320"/>
              <w:spacing w:after="0" w:line="135"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00"/>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-600710</wp:posOffset>
            </wp:positionV>
            <wp:extent cx="56515" cy="6140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045"/>
                    </a:xfrm>
                    <a:prstGeom prst="rect">
                      <a:avLst/>
                    </a:prstGeom>
                    <a:noFill/>
                  </pic:spPr>
                </pic:pic>
              </a:graphicData>
            </a:graphic>
          </wp:anchor>
        </w:drawing>
        <w:drawing>
          <wp:anchor simplePos="0" relativeHeight="251657728" behindDoc="1" locked="0" layoutInCell="0" allowOverlap="1">
            <wp:simplePos x="0" y="0"/>
            <wp:positionH relativeFrom="column">
              <wp:posOffset>3909060</wp:posOffset>
            </wp:positionH>
            <wp:positionV relativeFrom="paragraph">
              <wp:posOffset>-600710</wp:posOffset>
            </wp:positionV>
            <wp:extent cx="5651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04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22860</wp:posOffset>
            </wp:positionV>
            <wp:extent cx="7049135" cy="4418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135" cy="4418330"/>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160" w:space="520"/>
            <w:col w:w="8400"/>
          </w:cols>
          <w:pgMar w:left="460" w:top="219"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Jewell Christopher M</w:t>
        </w:r>
      </w:hyperlink>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120" w:type="dxa"/>
            <w:vAlign w:val="bottom"/>
          </w:tcPr>
          <w:p>
            <w:pPr>
              <w:ind w:left="20"/>
              <w:spacing w:after="0"/>
              <w:rPr>
                <w:sz w:val="20"/>
                <w:szCs w:val="20"/>
                <w:color w:val="auto"/>
              </w:rPr>
            </w:pPr>
            <w:r>
              <w:rPr>
                <w:rFonts w:ascii="Arial" w:cs="Arial" w:eastAsia="Arial" w:hAnsi="Arial"/>
                <w:sz w:val="12"/>
                <w:szCs w:val="12"/>
                <w:color w:val="auto"/>
              </w:rPr>
              <w:t>(Last)</w:t>
            </w:r>
          </w:p>
        </w:tc>
        <w:tc>
          <w:tcPr>
            <w:tcW w:w="900" w:type="dxa"/>
            <w:vAlign w:val="bottom"/>
          </w:tcPr>
          <w:p>
            <w:pPr>
              <w:ind w:left="120"/>
              <w:spacing w:after="0"/>
              <w:rPr>
                <w:sz w:val="20"/>
                <w:szCs w:val="20"/>
                <w:color w:val="auto"/>
              </w:rPr>
            </w:pPr>
            <w:r>
              <w:rPr>
                <w:rFonts w:ascii="Arial" w:cs="Arial" w:eastAsia="Arial" w:hAnsi="Arial"/>
                <w:sz w:val="12"/>
                <w:szCs w:val="12"/>
                <w:color w:val="auto"/>
              </w:rPr>
              <w:t>(First)</w:t>
            </w:r>
          </w:p>
        </w:tc>
        <w:tc>
          <w:tcPr>
            <w:tcW w:w="1640" w:type="dxa"/>
            <w:vAlign w:val="bottom"/>
          </w:tcPr>
          <w:p>
            <w:pPr>
              <w:ind w:left="440"/>
              <w:spacing w:after="0"/>
              <w:rPr>
                <w:sz w:val="20"/>
                <w:szCs w:val="20"/>
                <w:color w:val="auto"/>
              </w:rPr>
            </w:pPr>
            <w:r>
              <w:rPr>
                <w:rFonts w:ascii="Arial" w:cs="Arial" w:eastAsia="Arial" w:hAnsi="Arial"/>
                <w:sz w:val="12"/>
                <w:szCs w:val="12"/>
                <w:color w:val="auto"/>
              </w:rPr>
              <w:t>(Middle)</w:t>
            </w:r>
          </w:p>
        </w:tc>
      </w:tr>
      <w:tr>
        <w:trPr>
          <w:trHeight w:val="259"/>
        </w:trPr>
        <w:tc>
          <w:tcPr>
            <w:tcW w:w="20" w:type="dxa"/>
            <w:vAlign w:val="bottom"/>
          </w:tcPr>
          <w:p>
            <w:pPr>
              <w:spacing w:after="0"/>
              <w:rPr>
                <w:sz w:val="22"/>
                <w:szCs w:val="22"/>
                <w:color w:val="auto"/>
              </w:rPr>
            </w:pPr>
          </w:p>
        </w:tc>
        <w:tc>
          <w:tcPr>
            <w:tcW w:w="3660" w:type="dxa"/>
            <w:vAlign w:val="bottom"/>
            <w:gridSpan w:val="3"/>
          </w:tcPr>
          <w:p>
            <w:pPr>
              <w:ind w:left="20"/>
              <w:spacing w:after="0"/>
              <w:rPr>
                <w:sz w:val="20"/>
                <w:szCs w:val="20"/>
                <w:color w:val="auto"/>
              </w:rPr>
            </w:pPr>
            <w:r>
              <w:rPr>
                <w:rFonts w:ascii="Arial" w:cs="Arial" w:eastAsia="Arial" w:hAnsi="Arial"/>
                <w:sz w:val="16"/>
                <w:szCs w:val="16"/>
                <w:color w:val="0000FF"/>
              </w:rPr>
              <w:t>C/O CARTESIAN THERAPEUTICS, INC.</w:t>
            </w:r>
          </w:p>
        </w:tc>
      </w:tr>
      <w:tr>
        <w:trPr>
          <w:trHeight w:val="247"/>
        </w:trPr>
        <w:tc>
          <w:tcPr>
            <w:tcW w:w="20" w:type="dxa"/>
            <w:vAlign w:val="bottom"/>
          </w:tcPr>
          <w:p>
            <w:pPr>
              <w:spacing w:after="0"/>
              <w:rPr>
                <w:sz w:val="21"/>
                <w:szCs w:val="21"/>
                <w:color w:val="auto"/>
              </w:rPr>
            </w:pPr>
          </w:p>
        </w:tc>
        <w:tc>
          <w:tcPr>
            <w:tcW w:w="2020" w:type="dxa"/>
            <w:vAlign w:val="bottom"/>
            <w:gridSpan w:val="2"/>
          </w:tcPr>
          <w:p>
            <w:pPr>
              <w:ind w:left="20"/>
              <w:spacing w:after="0"/>
              <w:rPr>
                <w:sz w:val="20"/>
                <w:szCs w:val="20"/>
                <w:color w:val="auto"/>
              </w:rPr>
            </w:pPr>
            <w:r>
              <w:rPr>
                <w:rFonts w:ascii="Arial" w:cs="Arial" w:eastAsia="Arial" w:hAnsi="Arial"/>
                <w:sz w:val="16"/>
                <w:szCs w:val="16"/>
                <w:color w:val="0000FF"/>
              </w:rPr>
              <w:t>65 GROVE STREET</w:t>
            </w:r>
          </w:p>
        </w:tc>
        <w:tc>
          <w:tcPr>
            <w:tcW w:w="1640" w:type="dxa"/>
            <w:vAlign w:val="bottom"/>
          </w:tcPr>
          <w:p>
            <w:pPr>
              <w:spacing w:after="0"/>
              <w:rPr>
                <w:sz w:val="21"/>
                <w:szCs w:val="21"/>
                <w:color w:val="auto"/>
              </w:rPr>
            </w:pPr>
          </w:p>
        </w:tc>
      </w:tr>
      <w:tr>
        <w:trPr>
          <w:trHeight w:val="142"/>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r>
      <w:tr>
        <w:trPr>
          <w:trHeight w:val="246"/>
        </w:trPr>
        <w:tc>
          <w:tcPr>
            <w:tcW w:w="11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22"/>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Arial" w:cs="Arial" w:eastAsia="Arial" w:hAnsi="Arial"/>
                <w:sz w:val="16"/>
                <w:szCs w:val="16"/>
                <w:color w:val="0000FF"/>
              </w:rPr>
              <w:t>WATERTOWN</w:t>
            </w:r>
          </w:p>
        </w:tc>
        <w:tc>
          <w:tcPr>
            <w:tcW w:w="900" w:type="dxa"/>
            <w:vAlign w:val="bottom"/>
          </w:tcPr>
          <w:p>
            <w:pPr>
              <w:ind w:left="120"/>
              <w:spacing w:after="0"/>
              <w:rPr>
                <w:sz w:val="20"/>
                <w:szCs w:val="20"/>
                <w:color w:val="auto"/>
              </w:rPr>
            </w:pPr>
            <w:r>
              <w:rPr>
                <w:rFonts w:ascii="Arial" w:cs="Arial" w:eastAsia="Arial" w:hAnsi="Arial"/>
                <w:sz w:val="16"/>
                <w:szCs w:val="16"/>
                <w:color w:val="0000FF"/>
              </w:rPr>
              <w:t>MA</w:t>
            </w:r>
          </w:p>
        </w:tc>
        <w:tc>
          <w:tcPr>
            <w:tcW w:w="1640" w:type="dxa"/>
            <w:vAlign w:val="bottom"/>
          </w:tcPr>
          <w:p>
            <w:pPr>
              <w:ind w:left="440"/>
              <w:spacing w:after="0"/>
              <w:rPr>
                <w:sz w:val="20"/>
                <w:szCs w:val="20"/>
                <w:color w:val="auto"/>
              </w:rPr>
            </w:pPr>
            <w:r>
              <w:rPr>
                <w:rFonts w:ascii="Arial" w:cs="Arial" w:eastAsia="Arial" w:hAnsi="Arial"/>
                <w:sz w:val="16"/>
                <w:szCs w:val="16"/>
                <w:color w:val="0000FF"/>
              </w:rPr>
              <w:t>02472</w:t>
            </w:r>
          </w:p>
        </w:tc>
      </w:tr>
      <w:tr>
        <w:trPr>
          <w:trHeight w:val="142"/>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r>
      <w:tr>
        <w:trPr>
          <w:trHeight w:val="283"/>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2"/>
                <w:szCs w:val="12"/>
                <w:color w:val="auto"/>
              </w:rPr>
              <w:t>(City)</w:t>
            </w:r>
          </w:p>
        </w:tc>
        <w:tc>
          <w:tcPr>
            <w:tcW w:w="900" w:type="dxa"/>
            <w:vAlign w:val="bottom"/>
          </w:tcPr>
          <w:p>
            <w:pPr>
              <w:ind w:left="120"/>
              <w:spacing w:after="0"/>
              <w:rPr>
                <w:sz w:val="20"/>
                <w:szCs w:val="20"/>
                <w:color w:val="auto"/>
              </w:rPr>
            </w:pPr>
            <w:r>
              <w:rPr>
                <w:rFonts w:ascii="Arial" w:cs="Arial" w:eastAsia="Arial" w:hAnsi="Arial"/>
                <w:sz w:val="12"/>
                <w:szCs w:val="12"/>
                <w:color w:val="auto"/>
              </w:rPr>
              <w:t>(State)</w:t>
            </w:r>
          </w:p>
        </w:tc>
        <w:tc>
          <w:tcPr>
            <w:tcW w:w="1640" w:type="dxa"/>
            <w:vAlign w:val="bottom"/>
          </w:tcPr>
          <w:p>
            <w:pPr>
              <w:ind w:left="44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3780" w:type="dxa"/>
            <w:vAlign w:val="bottom"/>
            <w:gridSpan w:val="3"/>
          </w:tcPr>
          <w:p>
            <w:pPr>
              <w:spacing w:after="0" w:line="131" w:lineRule="exact"/>
              <w:rPr>
                <w:rFonts w:ascii="Arial" w:cs="Arial" w:eastAsia="Arial" w:hAnsi="Arial"/>
                <w:sz w:val="15"/>
                <w:szCs w:val="15"/>
                <w:color w:val="0000EE"/>
              </w:rPr>
            </w:pPr>
            <w:hyperlink r:id="rId13">
              <w:r>
                <w:rPr>
                  <w:rFonts w:ascii="Arial" w:cs="Arial" w:eastAsia="Arial" w:hAnsi="Arial"/>
                  <w:sz w:val="15"/>
                  <w:szCs w:val="15"/>
                  <w:color w:val="0000EE"/>
                </w:rPr>
                <w:t xml:space="preserve">Cartesian Therapeutics,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RNAC</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15"/>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8"/>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180" w:type="dxa"/>
            <w:vAlign w:val="bottom"/>
            <w:gridSpan w:val="2"/>
            <w:vMerge w:val="continue"/>
          </w:tcPr>
          <w:p>
            <w:pPr>
              <w:spacing w:after="0"/>
              <w:rPr>
                <w:sz w:val="9"/>
                <w:szCs w:val="9"/>
                <w:color w:val="auto"/>
              </w:rPr>
            </w:pPr>
          </w:p>
        </w:tc>
        <w:tc>
          <w:tcPr>
            <w:tcW w:w="366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340" w:type="dxa"/>
            <w:vAlign w:val="bottom"/>
          </w:tcPr>
          <w:p>
            <w:pPr>
              <w:ind w:left="100"/>
              <w:spacing w:after="0" w:line="113" w:lineRule="exact"/>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line="113"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05"/>
        </w:trPr>
        <w:tc>
          <w:tcPr>
            <w:tcW w:w="2280" w:type="dxa"/>
            <w:vAlign w:val="bottom"/>
            <w:gridSpan w:val="3"/>
          </w:tcPr>
          <w:p>
            <w:pPr>
              <w:ind w:left="60"/>
              <w:spacing w:after="0"/>
              <w:rPr>
                <w:sz w:val="20"/>
                <w:szCs w:val="20"/>
                <w:color w:val="auto"/>
              </w:rPr>
            </w:pPr>
            <w:r>
              <w:rPr>
                <w:rFonts w:ascii="Arial" w:cs="Arial" w:eastAsia="Arial" w:hAnsi="Arial"/>
                <w:sz w:val="16"/>
                <w:szCs w:val="16"/>
                <w:color w:val="0000FF"/>
              </w:rPr>
              <w:t>11/13/2023</w:t>
            </w:r>
          </w:p>
        </w:tc>
        <w:tc>
          <w:tcPr>
            <w:tcW w:w="1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0" w:type="dxa"/>
            <w:vAlign w:val="bottom"/>
            <w:gridSpan w:val="2"/>
            <w:vMerge w:val="restart"/>
          </w:tcPr>
          <w:p>
            <w:pPr>
              <w:ind w:left="400"/>
              <w:spacing w:after="0"/>
              <w:rPr>
                <w:sz w:val="20"/>
                <w:szCs w:val="20"/>
                <w:color w:val="auto"/>
              </w:rPr>
            </w:pPr>
            <w:r>
              <w:rPr>
                <w:rFonts w:ascii="Arial" w:cs="Arial" w:eastAsia="Arial" w:hAnsi="Arial"/>
                <w:sz w:val="16"/>
                <w:szCs w:val="16"/>
                <w:color w:val="0000FF"/>
              </w:rPr>
              <w:t>Chief Scientific Officer</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80" w:type="dxa"/>
            <w:vAlign w:val="bottom"/>
            <w:gridSpan w:val="3"/>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0" w:type="dxa"/>
            <w:vAlign w:val="bottom"/>
            <w:gridSpan w:val="2"/>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29"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0" w:lineRule="exact"/>
        <w:rPr>
          <w:sz w:val="24"/>
          <w:szCs w:val="24"/>
          <w:color w:val="auto"/>
        </w:rPr>
      </w:pPr>
    </w:p>
    <w:p>
      <w:pPr>
        <w:ind w:left="300" w:right="400"/>
        <w:spacing w:after="0" w:line="26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tcPr>
          <w:p>
            <w:pPr>
              <w:ind w:left="8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520" w:type="dxa"/>
            <w:vAlign w:val="bottom"/>
          </w:tcPr>
          <w:p>
            <w:pPr>
              <w:spacing w:after="0"/>
              <w:rPr>
                <w:sz w:val="10"/>
                <w:szCs w:val="10"/>
                <w:color w:val="auto"/>
              </w:rPr>
            </w:pPr>
          </w:p>
        </w:tc>
        <w:tc>
          <w:tcPr>
            <w:tcW w:w="1860" w:type="dxa"/>
            <w:vAlign w:val="bottom"/>
          </w:tcPr>
          <w:p>
            <w:pPr>
              <w:ind w:left="880"/>
              <w:spacing w:after="0" w:line="120"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11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60" w:type="dxa"/>
            <w:vAlign w:val="bottom"/>
          </w:tcPr>
          <w:p>
            <w:pPr>
              <w:ind w:left="88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6"/>
                <w:szCs w:val="6"/>
                <w:color w:val="auto"/>
              </w:rPr>
            </w:pPr>
          </w:p>
        </w:tc>
        <w:tc>
          <w:tcPr>
            <w:tcW w:w="820" w:type="dxa"/>
            <w:vAlign w:val="bottom"/>
            <w:vMerge w:val="restart"/>
          </w:tcPr>
          <w:p>
            <w:pPr>
              <w:ind w:left="10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5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vMerge w:val="continue"/>
          </w:tcPr>
          <w:p>
            <w:pPr>
              <w:spacing w:after="0"/>
              <w:rPr>
                <w:sz w:val="10"/>
                <w:szCs w:val="10"/>
                <w:color w:val="auto"/>
              </w:rPr>
            </w:pP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5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5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4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4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 (Instr.</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3 and 4)</w:t>
            </w:r>
          </w:p>
        </w:tc>
        <w:tc>
          <w:tcPr>
            <w:tcW w:w="76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or Disposed of</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Expiration</w:t>
            </w:r>
          </w:p>
        </w:tc>
        <w:tc>
          <w:tcPr>
            <w:tcW w:w="7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vMerge w:val="continue"/>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ind w:left="140"/>
              <w:spacing w:after="0"/>
              <w:rPr>
                <w:sz w:val="20"/>
                <w:szCs w:val="20"/>
                <w:color w:val="auto"/>
              </w:rPr>
            </w:pPr>
            <w:r>
              <w:rPr>
                <w:rFonts w:ascii="Arial" w:cs="Arial" w:eastAsia="Arial" w:hAnsi="Arial"/>
                <w:sz w:val="12"/>
                <w:szCs w:val="12"/>
                <w:color w:val="0000FF"/>
              </w:rPr>
              <w:t>Series A</w:t>
            </w: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Non-Voting</w:t>
            </w: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Option</w:t>
            </w: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vMerge w:val="restart"/>
          </w:tcPr>
          <w:p>
            <w:pPr>
              <w:ind w:left="60"/>
              <w:spacing w:after="0"/>
              <w:rPr>
                <w:sz w:val="20"/>
                <w:szCs w:val="20"/>
                <w:color w:val="auto"/>
              </w:rPr>
            </w:pPr>
            <w:r>
              <w:rPr>
                <w:rFonts w:ascii="Arial" w:cs="Arial" w:eastAsia="Arial" w:hAnsi="Arial"/>
                <w:sz w:val="16"/>
                <w:szCs w:val="16"/>
                <w:color w:val="0000FF"/>
                <w:w w:val="95"/>
              </w:rPr>
              <w:t>4,276.454</w:t>
            </w: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vMerge w:val="restart"/>
          </w:tcPr>
          <w:p>
            <w:pPr>
              <w:ind w:left="16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107.59</w:t>
            </w:r>
          </w:p>
        </w:tc>
        <w:tc>
          <w:tcPr>
            <w:tcW w:w="1040" w:type="dxa"/>
            <w:vAlign w:val="bottom"/>
            <w:vMerge w:val="restart"/>
          </w:tcPr>
          <w:p>
            <w:pPr>
              <w:jc w:val="right"/>
              <w:ind w:right="183"/>
              <w:spacing w:after="0" w:line="136" w:lineRule="exact"/>
              <w:rPr>
                <w:sz w:val="20"/>
                <w:szCs w:val="20"/>
                <w:color w:val="auto"/>
              </w:rPr>
            </w:pPr>
            <w:r>
              <w:rPr>
                <w:rFonts w:ascii="Arial" w:cs="Arial" w:eastAsia="Arial" w:hAnsi="Arial"/>
                <w:sz w:val="12"/>
                <w:szCs w:val="12"/>
                <w:color w:val="0000FF"/>
              </w:rPr>
              <w:t>11/13/2023</w:t>
            </w:r>
          </w:p>
        </w:tc>
        <w:tc>
          <w:tcPr>
            <w:tcW w:w="1040" w:type="dxa"/>
            <w:vAlign w:val="bottom"/>
          </w:tcPr>
          <w:p>
            <w:pPr>
              <w:spacing w:after="0"/>
              <w:rPr>
                <w:sz w:val="6"/>
                <w:szCs w:val="6"/>
                <w:color w:val="auto"/>
              </w:rPr>
            </w:pPr>
          </w:p>
        </w:tc>
        <w:tc>
          <w:tcPr>
            <w:tcW w:w="760" w:type="dxa"/>
            <w:vAlign w:val="bottom"/>
            <w:vMerge w:val="restart"/>
          </w:tcPr>
          <w:p>
            <w:pPr>
              <w:ind w:left="160"/>
              <w:spacing w:after="0" w:line="136" w:lineRule="exact"/>
              <w:rPr>
                <w:sz w:val="20"/>
                <w:szCs w:val="20"/>
                <w:color w:val="auto"/>
              </w:rPr>
            </w:pPr>
            <w:r>
              <w:rPr>
                <w:rFonts w:ascii="Arial" w:cs="Arial" w:eastAsia="Arial" w:hAnsi="Arial"/>
                <w:sz w:val="12"/>
                <w:szCs w:val="12"/>
                <w:color w:val="0000FF"/>
              </w:rPr>
              <w:t>A</w:t>
            </w:r>
          </w:p>
        </w:tc>
        <w:tc>
          <w:tcPr>
            <w:tcW w:w="640" w:type="dxa"/>
            <w:vAlign w:val="bottom"/>
            <w:vMerge w:val="restart"/>
          </w:tcPr>
          <w:p>
            <w:pPr>
              <w:ind w:left="80"/>
              <w:spacing w:after="0" w:line="136" w:lineRule="exact"/>
              <w:rPr>
                <w:sz w:val="20"/>
                <w:szCs w:val="20"/>
                <w:color w:val="auto"/>
              </w:rPr>
            </w:pPr>
            <w:r>
              <w:rPr>
                <w:rFonts w:ascii="Arial" w:cs="Arial" w:eastAsia="Arial" w:hAnsi="Arial"/>
                <w:sz w:val="12"/>
                <w:szCs w:val="12"/>
                <w:color w:val="0000FF"/>
              </w:rPr>
              <w:t>4,276.454</w:t>
            </w:r>
          </w:p>
        </w:tc>
        <w:tc>
          <w:tcPr>
            <w:tcW w:w="280" w:type="dxa"/>
            <w:vAlign w:val="bottom"/>
          </w:tcPr>
          <w:p>
            <w:pPr>
              <w:spacing w:after="0"/>
              <w:rPr>
                <w:sz w:val="6"/>
                <w:szCs w:val="6"/>
                <w:color w:val="auto"/>
              </w:rPr>
            </w:pP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ind w:left="80"/>
              <w:spacing w:after="0" w:line="136" w:lineRule="exact"/>
              <w:rPr>
                <w:sz w:val="20"/>
                <w:szCs w:val="20"/>
                <w:color w:val="auto"/>
              </w:rPr>
            </w:pPr>
            <w:r>
              <w:rPr>
                <w:rFonts w:ascii="Arial" w:cs="Arial" w:eastAsia="Arial" w:hAnsi="Arial"/>
                <w:sz w:val="12"/>
                <w:szCs w:val="12"/>
                <w:color w:val="0000FF"/>
                <w:w w:val="99"/>
              </w:rPr>
              <w:t>01/15/2033</w:t>
            </w:r>
          </w:p>
        </w:tc>
        <w:tc>
          <w:tcPr>
            <w:tcW w:w="72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Convertible</w:t>
            </w:r>
          </w:p>
        </w:tc>
        <w:tc>
          <w:tcPr>
            <w:tcW w:w="760" w:type="dxa"/>
            <w:vAlign w:val="bottom"/>
            <w:vMerge w:val="continue"/>
          </w:tcPr>
          <w:p>
            <w:pPr>
              <w:spacing w:after="0"/>
              <w:rPr>
                <w:sz w:val="6"/>
                <w:szCs w:val="6"/>
                <w:color w:val="auto"/>
              </w:rPr>
            </w:pPr>
          </w:p>
        </w:tc>
        <w:tc>
          <w:tcPr>
            <w:tcW w:w="660" w:type="dxa"/>
            <w:vAlign w:val="bottom"/>
            <w:vMerge w:val="restart"/>
          </w:tcPr>
          <w:p>
            <w:pPr>
              <w:ind w:left="280"/>
              <w:spacing w:after="0"/>
              <w:rPr>
                <w:sz w:val="20"/>
                <w:szCs w:val="20"/>
                <w:color w:val="auto"/>
              </w:rPr>
            </w:pPr>
            <w:r>
              <w:rPr>
                <w:rFonts w:ascii="Arial" w:cs="Arial" w:eastAsia="Arial" w:hAnsi="Arial"/>
                <w:sz w:val="10"/>
                <w:szCs w:val="10"/>
                <w:color w:val="008000"/>
              </w:rPr>
              <w:t>(3)</w:t>
            </w:r>
          </w:p>
        </w:tc>
        <w:tc>
          <w:tcPr>
            <w:tcW w:w="900" w:type="dxa"/>
            <w:vAlign w:val="bottom"/>
            <w:vMerge w:val="restart"/>
          </w:tcPr>
          <w:p>
            <w:pPr>
              <w:ind w:left="200"/>
              <w:spacing w:after="0" w:line="136" w:lineRule="exact"/>
              <w:rPr>
                <w:sz w:val="20"/>
                <w:szCs w:val="20"/>
                <w:color w:val="auto"/>
              </w:rPr>
            </w:pPr>
            <w:r>
              <w:rPr>
                <w:rFonts w:ascii="Arial" w:cs="Arial" w:eastAsia="Arial" w:hAnsi="Arial"/>
                <w:sz w:val="12"/>
                <w:szCs w:val="12"/>
                <w:color w:val="0000FF"/>
              </w:rPr>
              <w:t>4,276.454</w:t>
            </w:r>
          </w:p>
        </w:tc>
        <w:tc>
          <w:tcPr>
            <w:tcW w:w="700" w:type="dxa"/>
            <w:vAlign w:val="bottom"/>
            <w:vMerge w:val="restart"/>
          </w:tcPr>
          <w:p>
            <w:pPr>
              <w:ind w:left="300"/>
              <w:spacing w:after="0" w:line="136" w:lineRule="exact"/>
              <w:rPr>
                <w:sz w:val="20"/>
                <w:szCs w:val="20"/>
                <w:color w:val="auto"/>
              </w:rPr>
            </w:pPr>
            <w:r>
              <w:rPr>
                <w:rFonts w:ascii="Arial" w:cs="Arial" w:eastAsia="Arial" w:hAnsi="Arial"/>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(Right to</w:t>
            </w:r>
          </w:p>
        </w:tc>
        <w:tc>
          <w:tcPr>
            <w:tcW w:w="7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66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ind w:left="120"/>
              <w:spacing w:after="0" w:line="85" w:lineRule="exact"/>
              <w:rPr>
                <w:sz w:val="20"/>
                <w:szCs w:val="20"/>
                <w:color w:val="auto"/>
              </w:rPr>
            </w:pPr>
            <w:r>
              <w:rPr>
                <w:rFonts w:ascii="Arial" w:cs="Arial" w:eastAsia="Arial" w:hAnsi="Arial"/>
                <w:sz w:val="9"/>
                <w:szCs w:val="9"/>
                <w:color w:val="0000FF"/>
              </w:rPr>
              <w:t>Preferred</w:t>
            </w: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3460" w:type="dxa"/>
            <w:vAlign w:val="bottom"/>
          </w:tcPr>
          <w:p>
            <w:pPr>
              <w:spacing w:after="0"/>
              <w:rPr>
                <w:sz w:val="20"/>
                <w:szCs w:val="20"/>
                <w:color w:val="auto"/>
              </w:rPr>
            </w:pPr>
            <w:r>
              <w:rPr>
                <w:rFonts w:ascii="Arial" w:cs="Arial" w:eastAsia="Arial" w:hAnsi="Arial"/>
                <w:sz w:val="12"/>
                <w:szCs w:val="12"/>
                <w:color w:val="0000FF"/>
              </w:rPr>
              <w:t>Buy)</w:t>
            </w:r>
          </w:p>
        </w:tc>
        <w:tc>
          <w:tcPr>
            <w:tcW w:w="3640" w:type="dxa"/>
            <w:vAlign w:val="bottom"/>
            <w:vMerge w:val="restart"/>
          </w:tcPr>
          <w:p>
            <w:pPr>
              <w:ind w:left="3240"/>
              <w:spacing w:after="0"/>
              <w:rPr>
                <w:sz w:val="20"/>
                <w:szCs w:val="20"/>
                <w:color w:val="auto"/>
              </w:rPr>
            </w:pPr>
            <w:r>
              <w:rPr>
                <w:rFonts w:ascii="Arial" w:cs="Arial" w:eastAsia="Arial" w:hAnsi="Arial"/>
                <w:sz w:val="12"/>
                <w:szCs w:val="12"/>
                <w:color w:val="0000FF"/>
                <w:w w:val="81"/>
              </w:rPr>
              <w:t>Stock</w:t>
            </w:r>
            <w:r>
              <w:rPr>
                <w:rFonts w:ascii="Arial" w:cs="Arial" w:eastAsia="Arial" w:hAnsi="Arial"/>
                <w:sz w:val="20"/>
                <w:szCs w:val="20"/>
                <w:color w:val="008000"/>
                <w:w w:val="81"/>
                <w:vertAlign w:val="superscript"/>
              </w:rPr>
              <w:t>(2)</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3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3"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4"/>
          <w:szCs w:val="24"/>
          <w:color w:val="auto"/>
        </w:rPr>
      </w:pPr>
    </w:p>
    <w:p>
      <w:pPr>
        <w:ind w:left="40" w:right="260" w:hanging="4"/>
        <w:spacing w:after="0" w:line="267"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Option is currently exercisable for 2,539.177 shares of Series A Non-Voting Convertible Preferred Stock of the issuer ("Series A Preferred Stock") and becomes exercisable for an additional 89.093 shares each month until it is fully exercisable.</w:t>
      </w:r>
    </w:p>
    <w:p>
      <w:pPr>
        <w:spacing w:after="0" w:line="14" w:lineRule="exact"/>
        <w:rPr>
          <w:rFonts w:ascii="Arial" w:cs="Arial" w:eastAsia="Arial" w:hAnsi="Arial"/>
          <w:sz w:val="12"/>
          <w:szCs w:val="12"/>
          <w:color w:val="008000"/>
        </w:rPr>
      </w:pPr>
    </w:p>
    <w:p>
      <w:pPr>
        <w:ind w:left="40" w:right="260" w:hanging="4"/>
        <w:spacing w:after="0" w:line="246"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Following the approval by the stockholders of the issuer of the conversion of the Series A Preferred Stock into shares of common stock of the issuer ("Common Stock"), each share of Series A Preferred Stock will be convertible into 1,000 shares of Common Stock, subject to certain limitations, including that a holder of Series A Preferred Stock is prohibited from converting shares of Series Preferred Stock into shares of Common Stock if, as a result of such conversion, such holder, together with its affiliates, would beneficially own more than 19.9% of the total number of shares of Common Stock issued and outstanding immediately after giving effect to such conversion.</w:t>
      </w:r>
    </w:p>
    <w:p>
      <w:pPr>
        <w:spacing w:after="0" w:line="27" w:lineRule="exact"/>
        <w:rPr>
          <w:rFonts w:ascii="Arial" w:cs="Arial" w:eastAsia="Arial" w:hAnsi="Arial"/>
          <w:sz w:val="12"/>
          <w:szCs w:val="12"/>
          <w:color w:val="008000"/>
        </w:rPr>
      </w:pPr>
    </w:p>
    <w:p>
      <w:pPr>
        <w:ind w:left="40" w:right="480" w:hanging="4"/>
        <w:spacing w:after="0" w:line="267"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November 13, 2023, the issuer acquired Cartesian Therapeutics, Inc. ("Cartesian") in accordance with the terms of an Agreement and Plan of Merger, dated November 13, 2023. Options to purchase Cartesian common stock held by the reporting person were converted into options to purchase shares of Series A Preferred Stock in connection with the acquisition.</w:t>
      </w:r>
    </w:p>
    <w:p>
      <w:pPr>
        <w:spacing w:after="0" w:line="2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62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91"/>
              </w:rPr>
              <w:t>/s/ Christopher M. Jewell</w:t>
            </w:r>
          </w:p>
        </w:tc>
        <w:tc>
          <w:tcPr>
            <w:tcW w:w="58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87"/>
              </w:rPr>
              <w:t>11/15/2023</w:t>
            </w:r>
          </w:p>
        </w:tc>
      </w:tr>
      <w:tr>
        <w:trPr>
          <w:trHeight w:val="214"/>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4"/>
          <w:szCs w:val="24"/>
          <w:color w:val="auto"/>
        </w:rPr>
      </w:pPr>
    </w:p>
    <w:p>
      <w:pPr>
        <w:jc w:val="both"/>
        <w:ind w:left="40" w:right="3920" w:hanging="4"/>
        <w:spacing w:after="0" w:line="320"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2000226"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2023-11-15T15:52:06Z</dcterms:created>
  <dcterms:modified xsi:type="dcterms:W3CDTF">2023-11-15T15:52:06Z</dcterms:modified>
</cp:coreProperties>
</file>