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5"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680" w:hanging="422"/>
        <w:spacing w:after="0"/>
        <w:tabs>
          <w:tab w:leader="none" w:pos="6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6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001-37798</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Cartesian Therapeutics,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478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25"/>
        </w:trPr>
        <w:tc>
          <w:tcPr>
            <w:tcW w:w="47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7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800" w:type="dxa"/>
            <w:vAlign w:val="bottom"/>
          </w:tcPr>
          <w:p>
            <w:pPr>
              <w:spacing w:after="0"/>
              <w:rPr>
                <w:sz w:val="20"/>
                <w:szCs w:val="20"/>
                <w:color w:val="auto"/>
              </w:rPr>
            </w:pPr>
          </w:p>
        </w:tc>
      </w:tr>
      <w:tr>
        <w:trPr>
          <w:trHeight w:val="351"/>
        </w:trPr>
        <w:tc>
          <w:tcPr>
            <w:tcW w:w="478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rPr>
              <w:t>704 Quince Orchard Road, Gaithersburg, MD</w:t>
            </w:r>
          </w:p>
        </w:tc>
        <w:tc>
          <w:tcPr>
            <w:tcW w:w="28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20878</w:t>
            </w:r>
          </w:p>
        </w:tc>
      </w:tr>
      <w:tr>
        <w:trPr>
          <w:trHeight w:val="256"/>
        </w:trPr>
        <w:tc>
          <w:tcPr>
            <w:tcW w:w="47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(Zip Code)</w:t>
            </w:r>
          </w:p>
        </w:tc>
      </w:tr>
      <w:tr>
        <w:trPr>
          <w:trHeight w:val="365"/>
        </w:trPr>
        <w:tc>
          <w:tcPr>
            <w:tcW w:w="4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(617) 923-1400</w:t>
            </w:r>
          </w:p>
        </w:tc>
        <w:tc>
          <w:tcPr>
            <w:tcW w:w="280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2343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31750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Contingent Value Rights</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0" w:firstLine="324"/>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68" w:right="359" w:bottom="1440" w:gutter="0" w:footer="0" w:header="0"/>
        </w:sectPr>
      </w:pPr>
    </w:p>
    <w:p>
      <w:pPr>
        <w:spacing w:after="0" w:line="10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1" w:lineRule="exact"/>
        <w:rPr>
          <w:sz w:val="24"/>
          <w:szCs w:val="24"/>
          <w:color w:val="auto"/>
        </w:rPr>
      </w:pPr>
    </w:p>
    <w:p>
      <w:pPr>
        <w:sectPr>
          <w:pgSz w:w="11900" w:h="16838" w:orient="portrait"/>
          <w:cols w:equalWidth="0" w:num="4">
            <w:col w:w="3280" w:space="80"/>
            <w:col w:w="2300" w:space="720"/>
            <w:col w:w="1780" w:space="80"/>
            <w:col w:w="2980"/>
          </w:cols>
          <w:pgMar w:left="320" w:top="1168" w:right="359" w:bottom="1440" w:gutter="0" w:footer="0" w:header="0"/>
          <w:type w:val="continuous"/>
        </w:sectPr>
      </w:pPr>
    </w:p>
    <w:p>
      <w:pPr>
        <w:spacing w:after="0" w:line="30" w:lineRule="exact"/>
        <w:rPr>
          <w:sz w:val="24"/>
          <w:szCs w:val="24"/>
          <w:color w:val="auto"/>
        </w:rPr>
      </w:pPr>
    </w:p>
    <w:p>
      <w:pPr>
        <w:ind w:right="16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8" w:right="359" w:bottom="1440" w:gutter="0" w:footer="0" w:header="0"/>
          <w:type w:val="continuous"/>
        </w:sectPr>
      </w:pPr>
    </w:p>
    <w:bookmarkStart w:id="1" w:name="page2"/>
    <w:bookmarkEnd w:id="1"/>
    <w:p>
      <w:pPr>
        <w:ind w:right="65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3, 2024, the registrant had 17,796,053 shares of common stock, par value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64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gridSpan w:val="9"/>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729"/>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39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March 31, 2024 and December 31, 2023</w:t>
            </w:r>
          </w:p>
        </w:tc>
        <w:tc>
          <w:tcPr>
            <w:tcW w:w="4520" w:type="dxa"/>
            <w:vAlign w:val="bottom"/>
            <w:gridSpan w:val="7"/>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12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Three Months ended March 31, 2024 and</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6</w:t>
            </w:r>
          </w:p>
        </w:tc>
      </w:tr>
      <w:tr>
        <w:trPr>
          <w:trHeight w:val="156"/>
        </w:trPr>
        <w:tc>
          <w:tcPr>
            <w:tcW w:w="9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2023</w:t>
            </w: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980" w:type="dxa"/>
            <w:vAlign w:val="bottom"/>
          </w:tcPr>
          <w:p>
            <w:pPr>
              <w:spacing w:after="0"/>
              <w:rPr>
                <w:sz w:val="19"/>
                <w:szCs w:val="19"/>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Changes in Convertible Preferred Stock and Stockholders’ Equity (Deficit) for the Three Months</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7</w:t>
            </w:r>
          </w:p>
        </w:tc>
      </w:tr>
      <w:tr>
        <w:trPr>
          <w:trHeight w:val="155"/>
        </w:trPr>
        <w:tc>
          <w:tcPr>
            <w:tcW w:w="98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ended March 31, 2024 and 2023</w:t>
            </w:r>
          </w:p>
        </w:tc>
        <w:tc>
          <w:tcPr>
            <w:tcW w:w="6640" w:type="dxa"/>
            <w:vAlign w:val="bottom"/>
            <w:tcBorders>
              <w:top w:val="single" w:sz="8" w:color="0000FF"/>
            </w:tcBorders>
            <w:gridSpan w:val="11"/>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980" w:type="dxa"/>
            <w:vAlign w:val="bottom"/>
          </w:tcPr>
          <w:p>
            <w:pPr>
              <w:spacing w:after="0"/>
              <w:rPr>
                <w:sz w:val="19"/>
                <w:szCs w:val="19"/>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2024 and 2023</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660" w:type="dxa"/>
            <w:vAlign w:val="bottom"/>
            <w:gridSpan w:val="7"/>
          </w:tcPr>
          <w:p>
            <w:pPr>
              <w:spacing w:after="0"/>
              <w:rPr>
                <w:sz w:val="18"/>
                <w:szCs w:val="18"/>
                <w:color w:val="auto"/>
              </w:rPr>
            </w:pPr>
          </w:p>
        </w:tc>
        <w:tc>
          <w:tcPr>
            <w:tcW w:w="3140" w:type="dxa"/>
            <w:vAlign w:val="bottom"/>
            <w:gridSpan w:val="3"/>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520" w:type="dxa"/>
            <w:vAlign w:val="bottom"/>
            <w:gridSpan w:val="4"/>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0" w:type="dxa"/>
            <w:vAlign w:val="bottom"/>
            <w:gridSpan w:val="8"/>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120" w:type="dxa"/>
            <w:vAlign w:val="bottom"/>
          </w:tcPr>
          <w:p>
            <w:pPr>
              <w:spacing w:after="0"/>
              <w:rPr>
                <w:sz w:val="18"/>
                <w:szCs w:val="18"/>
                <w:color w:val="auto"/>
              </w:rPr>
            </w:pPr>
          </w:p>
        </w:tc>
      </w:tr>
      <w:tr>
        <w:trPr>
          <w:trHeight w:val="480"/>
        </w:trPr>
        <w:tc>
          <w:tcPr>
            <w:tcW w:w="9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4080" w:type="dxa"/>
            <w:vAlign w:val="bottom"/>
            <w:gridSpan w:val="6"/>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20" w:type="dxa"/>
            <w:vAlign w:val="bottom"/>
            <w:gridSpan w:val="15"/>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120" w:type="dxa"/>
            <w:vAlign w:val="bottom"/>
          </w:tcPr>
          <w:p>
            <w:pPr>
              <w:spacing w:after="0"/>
              <w:rPr>
                <w:sz w:val="24"/>
                <w:szCs w:val="24"/>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600" w:type="dxa"/>
            <w:vAlign w:val="bottom"/>
            <w:gridSpan w:val="8"/>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8"/>
                <w:szCs w:val="18"/>
                <w:color w:val="auto"/>
              </w:rPr>
            </w:pPr>
          </w:p>
        </w:tc>
        <w:tc>
          <w:tcPr>
            <w:tcW w:w="7640" w:type="dxa"/>
            <w:vAlign w:val="bottom"/>
            <w:gridSpan w:val="13"/>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640" w:type="dxa"/>
            <w:vAlign w:val="bottom"/>
            <w:gridSpan w:val="16"/>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0" w:type="dxa"/>
            <w:vAlign w:val="bottom"/>
            <w:gridSpan w:val="18"/>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020"/>
        </w:trPr>
        <w:tc>
          <w:tcPr>
            <w:tcW w:w="9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680" w:type="dxa"/>
            <w:vAlign w:val="bottom"/>
            <w:gridSpan w:val="11"/>
          </w:tcPr>
          <w:p>
            <w:pPr>
              <w:jc w:val="right"/>
              <w:ind w:right="76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resurgence of the COVID-19 pandemic or emergence of another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8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payouts under the contingent value right, or CVR, issued to our holders of record as of the close of business on December 4, 2023;</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or opportunities and related timing with respect to the Merger (as defined below) or to monetize any of our legacy assets;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business strategy, and the length of time that we believe our existing cash resources will fund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size and our potential growth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and future clinical development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therapeutic benefits and economic value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macroeconomic conditions, including inflation, increasing interest rates and volatile market conditions, current or potential bank failures;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events, including the ongoing conflicts between Russia and Ukraine and between Hamas and Israel and geopolitical tensions in China on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timing of potential regulatory designations, approvals and commercialization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related to the Merger (as defined below) instituted against us or our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minimize the effects of litigation and other contingencies;</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preclinical and development-stage company and our expectation to incur losses in the future, and the possibility that we never achieve or maintain profitability;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our ability to access future capital;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value of our pipeline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our manufacturing capabilities and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which in some cases are manufactured on a patient-by-patient basis;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 and to seek new collaborations, licenses or partnerships;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resurgence of the COVID-19 pandemic on our operations, the continuity of our business, including our preclinical studies and clinical trials, and general economic conditions;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U.S. Food and Drug Administration, or FDA, regulation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retain qualified personnel;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may emerge from time to time, and it is not possible for management to predict all risk and uncertainties.</w:t>
      </w:r>
    </w:p>
    <w:p>
      <w:pPr>
        <w:spacing w:after="0" w:line="5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76,911</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Unbilled receivables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111,109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90,729</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325,207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15,572</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15,983</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 contract liabilities</w:t>
            </w:r>
          </w:p>
        </w:tc>
        <w:tc>
          <w:tcPr>
            <w:tcW w:w="2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0" w:type="dxa"/>
            <w:vAlign w:val="bottom"/>
          </w:tcPr>
          <w:p>
            <w:pPr>
              <w:spacing w:after="0"/>
              <w:rPr>
                <w:sz w:val="1"/>
                <w:szCs w:val="1"/>
                <w:color w:val="auto"/>
              </w:rPr>
            </w:pPr>
          </w:p>
        </w:tc>
      </w:tr>
      <w:tr>
        <w:trPr>
          <w:trHeight w:val="20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68,209</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8,789</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2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 net of current portion</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 net of current portion</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342,617</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442,007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444,680</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18)</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Series A Preferred Stock, $0.0001 par value; no and 548,375 shares authorized as of March 31, 2024 and December 31, 2023, respectively;</w:t>
            </w:r>
          </w:p>
        </w:tc>
        <w:tc>
          <w:tcPr>
            <w:tcW w:w="28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296,851</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 and 435,120.513 shares issued and outstanding as of March 31, 2024 and December 31, 2023, respectively</w:t>
            </w: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for Series A Preferred Stock</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Series A Preferred Stock, $0.0001 par value; 548,375 and no shares authorized as of March 31, 2024 and December 31, 2023, respectively;</w:t>
            </w:r>
          </w:p>
        </w:tc>
        <w:tc>
          <w:tcPr>
            <w:tcW w:w="2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534,260.839 and no shares issued and outstanding as of March 31, 2024 and December 31, 2023, respectively</w:t>
            </w:r>
          </w:p>
        </w:tc>
        <w:tc>
          <w:tcPr>
            <w:tcW w:w="28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Preferred stock, $0.0001 par value; 9,451,625 shares authorized as of March 31, 2024 and December 31, 2023, respectively; no shares</w:t>
            </w:r>
          </w:p>
        </w:tc>
        <w:tc>
          <w:tcPr>
            <w:tcW w:w="28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issued and outstanding as of March 31, 2024 and December 31, 2023</w:t>
            </w: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March 31, 2024 and December 31, 2023; 5,515,836 and 5,397,597</w:t>
            </w:r>
          </w:p>
        </w:tc>
        <w:tc>
          <w:tcPr>
            <w:tcW w:w="2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and outstanding as of March 31, 2024 and December 31, 2023, respectively</w:t>
            </w:r>
          </w:p>
        </w:tc>
        <w:tc>
          <w:tcPr>
            <w:tcW w:w="28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559,275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179,062</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(614,647)</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(116,800)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(440,184)</w:t>
            </w:r>
          </w:p>
        </w:tc>
        <w:tc>
          <w:tcPr>
            <w:tcW w:w="0" w:type="dxa"/>
            <w:vAlign w:val="bottom"/>
          </w:tcPr>
          <w:p>
            <w:pPr>
              <w:spacing w:after="0"/>
              <w:rPr>
                <w:sz w:val="1"/>
                <w:szCs w:val="1"/>
                <w:color w:val="auto"/>
              </w:rPr>
            </w:pPr>
          </w:p>
        </w:tc>
      </w:tr>
      <w:tr>
        <w:trPr>
          <w:trHeight w:val="202"/>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convertible preferred stock, and stockholders’ deficit</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325,207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5,938</w:t>
            </w: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18,624</w:t>
            </w:r>
          </w:p>
        </w:tc>
      </w:tr>
      <w:tr>
        <w:trPr>
          <w:trHeight w:val="196"/>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5,695</w:t>
            </w:r>
          </w:p>
        </w:tc>
      </w:tr>
      <w:tr>
        <w:trPr>
          <w:trHeight w:val="20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24,319</w:t>
            </w:r>
          </w:p>
        </w:tc>
      </w:tr>
      <w:tr>
        <w:trPr>
          <w:trHeight w:val="189"/>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(18,381)</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net</w:t>
            </w:r>
          </w:p>
        </w:tc>
        <w:tc>
          <w:tcPr>
            <w:tcW w:w="3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8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(21,663)</w:t>
            </w:r>
          </w:p>
        </w:tc>
      </w:tr>
      <w:tr>
        <w:trPr>
          <w:trHeight w:val="203"/>
        </w:trPr>
        <w:tc>
          <w:tcPr>
            <w:tcW w:w="8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6"/>
        </w:trPr>
        <w:tc>
          <w:tcPr>
            <w:tcW w:w="8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gain (loss) on marketable securities</w:t>
            </w:r>
          </w:p>
        </w:tc>
        <w:tc>
          <w:tcPr>
            <w:tcW w:w="3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28"/>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75"/>
        </w:trPr>
        <w:tc>
          <w:tcPr>
            <w:tcW w:w="8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 and Diluted</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03"/>
        </w:trPr>
        <w:tc>
          <w:tcPr>
            <w:tcW w:w="8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 and Diluted</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5,414,020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5,111,518</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7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38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for</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16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00" w:type="dxa"/>
            <w:vAlign w:val="bottom"/>
          </w:tcPr>
          <w:p>
            <w:pPr>
              <w:spacing w:after="0"/>
              <w:rPr>
                <w:sz w:val="16"/>
                <w:szCs w:val="16"/>
                <w:color w:val="auto"/>
              </w:rPr>
            </w:pPr>
          </w:p>
        </w:tc>
        <w:tc>
          <w:tcPr>
            <w:tcW w:w="72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16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7"/>
                <w:szCs w:val="17"/>
                <w:color w:val="auto"/>
              </w:rPr>
            </w:pPr>
          </w:p>
        </w:tc>
        <w:tc>
          <w:tcPr>
            <w:tcW w:w="72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5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15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Balance at December 31,</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435,120.513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296,851</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3,703</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5,397,597</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179,062</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(614,647)</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(440,184)</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6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Series A</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 in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connection with private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placement and settlement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75,197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related forward contract</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5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Transfer of Series A</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 and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options for series A</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Preferred Stock to</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(534,260.839)</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534,260.839</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375,751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375,751</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equity</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52,558</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9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upon exercise of options</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5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upon exercise of warrants</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9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5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Currency translation</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0" w:type="dxa"/>
            <w:vAlign w:val="bottom"/>
          </w:tcPr>
          <w:p>
            <w:pPr>
              <w:spacing w:after="0"/>
              <w:rPr>
                <w:sz w:val="1"/>
                <w:szCs w:val="1"/>
                <w:color w:val="auto"/>
              </w:rPr>
            </w:pPr>
          </w:p>
        </w:tc>
      </w:tr>
      <w:tr>
        <w:trPr>
          <w:trHeight w:val="121"/>
        </w:trPr>
        <w:tc>
          <w:tcPr>
            <w:tcW w:w="15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Balance at March 31,</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534,260.839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5,515,836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559,275</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(671,471)</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(116,800)</w:t>
            </w:r>
          </w:p>
        </w:tc>
        <w:tc>
          <w:tcPr>
            <w:tcW w:w="0" w:type="dxa"/>
            <w:vAlign w:val="bottom"/>
          </w:tcPr>
          <w:p>
            <w:pPr>
              <w:spacing w:after="0"/>
              <w:rPr>
                <w:sz w:val="1"/>
                <w:szCs w:val="1"/>
                <w:color w:val="auto"/>
              </w:rPr>
            </w:pPr>
          </w:p>
        </w:tc>
      </w:tr>
      <w:tr>
        <w:trPr>
          <w:trHeight w:val="196"/>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right="240"/>
        <w:spacing w:after="0" w:line="263" w:lineRule="auto"/>
        <w:rPr>
          <w:sz w:val="20"/>
          <w:szCs w:val="20"/>
          <w:color w:val="auto"/>
        </w:rPr>
      </w:pPr>
      <w:r>
        <w:rPr>
          <w:rFonts w:ascii="Times New Roman" w:cs="Times New Roman" w:eastAsia="Times New Roman" w:hAnsi="Times New Roman"/>
          <w:sz w:val="16"/>
          <w:szCs w:val="16"/>
          <w:color w:val="auto"/>
        </w:rPr>
        <w:t>On April 4, 2024, the Company effected a 1-for-30 reverse split of its issued and outstanding shares of common stock, or the Reverse Stock Split. As a result of the Reverse Stock Split, all figures in this Quarterly Report on Form 10-Q relating to shares of the Company’s common stock (such as share amounts, per share amounts, and conversion rates and prices), including but not limited to, the consolidated financial statements and footnotes included herein, have been adjusted to reflect the Reverse Stock Split for all periods presented.</w:t>
      </w:r>
    </w:p>
    <w:p>
      <w:pPr>
        <w:spacing w:after="0" w:line="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17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2"/>
                <w:szCs w:val="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2"/>
                <w:szCs w:val="2"/>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2"/>
                <w:szCs w:val="2"/>
                <w:color w:val="auto"/>
              </w:rPr>
            </w:pPr>
          </w:p>
        </w:tc>
        <w:tc>
          <w:tcPr>
            <w:tcW w:w="7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5,101,459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493,322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(394,937)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93,828</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(21,663)</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5,114,269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495,747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(416,600)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74,579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81"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0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(21,663)</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premiums and discounts on marketable securities</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interest expense</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liabilities revaluation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Contingent value right liability revaluation</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Forward contract liabilities revaluation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Unbilled receivable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deposits and other assets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w:t>
            </w: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(5,359)</w:t>
            </w:r>
          </w:p>
        </w:tc>
      </w:tr>
      <w:tr>
        <w:trPr>
          <w:trHeight w:val="189"/>
        </w:trPr>
        <w:tc>
          <w:tcPr>
            <w:tcW w:w="80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(8,765)</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28,254</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89"/>
        </w:trPr>
        <w:tc>
          <w:tcPr>
            <w:tcW w:w="80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28,124</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warrants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Series A Preferred Stock, gross in private placement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90"/>
        </w:trPr>
        <w:tc>
          <w:tcPr>
            <w:tcW w:w="804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43,031</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0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9"/>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19,487</w:t>
            </w:r>
          </w:p>
        </w:tc>
      </w:tr>
      <w:tr>
        <w:trPr>
          <w:trHeight w:val="20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108,038</w:t>
            </w:r>
          </w:p>
        </w:tc>
      </w:tr>
      <w:tr>
        <w:trPr>
          <w:trHeight w:val="203"/>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96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104,795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127,525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bl>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Cartesian Therapeutics, Inc. </w:t>
      </w:r>
      <w:r>
        <w:rPr>
          <w:rFonts w:ascii="Times New Roman" w:cs="Times New Roman" w:eastAsia="Times New Roman" w:hAnsi="Times New Roman"/>
          <w:sz w:val="17"/>
          <w:szCs w:val="17"/>
          <w:b w:val="1"/>
          <w:bCs w:val="1"/>
          <w:color w:val="auto"/>
        </w:rPr>
        <w:t>and Subsidiaries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08" w:lineRule="exact"/>
        <w:rPr>
          <w:sz w:val="20"/>
          <w:szCs w:val="20"/>
          <w:color w:val="auto"/>
        </w:rPr>
      </w:pPr>
    </w:p>
    <w:p>
      <w:pPr>
        <w:ind w:right="100" w:firstLine="324"/>
        <w:spacing w:after="0" w:line="241" w:lineRule="auto"/>
        <w:rPr>
          <w:sz w:val="20"/>
          <w:szCs w:val="20"/>
          <w:color w:val="auto"/>
        </w:rPr>
      </w:pPr>
      <w:r>
        <w:rPr>
          <w:rFonts w:ascii="Times New Roman" w:cs="Times New Roman" w:eastAsia="Times New Roman" w:hAnsi="Times New Roman"/>
          <w:sz w:val="18"/>
          <w:szCs w:val="18"/>
          <w:color w:val="auto"/>
        </w:rPr>
        <w:t>Cartesian Therapeutics, Inc., or the Company, (formerly known as Selecta Biosciences, Inc., or Selecta) was incorporated in Delaware on December 10, 2007, and is headquartered in Gaithersburg, Maryland. The Company is a clinical-stage biotechnology company developing mRNA cell therapies for the treatment of autoimmune diseases leveraging its proprietary technology and manufacturing platform to introduce one or more mRNA molecules into cells to enhance their function. The Company believes its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3. The transaction was structured as a stock-for-stock transaction pursuant to which all of Old Cartesian’s outstanding shares of capital stock were exchanged based on a fixed exchange ratio for consideration of 224,099 shares of the common stock, par value $0.0001 per share, of the Company and 384,930.724 shares of the newly designated Series A Non-Voting Convertible Preferred Stock, par value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 For additional information, see Note 3.</w:t>
      </w:r>
    </w:p>
    <w:p>
      <w:pPr>
        <w:spacing w:after="0" w:line="8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Merger, the Company entered into a definitive agreement, or the Securities Purchase Agreement, for a private investment in public equity transaction, or the November 2023 Private Placement, with the Investors (as defined below). The Securities Purchase Agreement provides for the issuance to the Investors of an aggregate of 149,330.115 shares of Series A Preferred Stock for an aggregate purchase price of approximately $60.25 million. For additional information, see Note 10.</w:t>
      </w:r>
    </w:p>
    <w:p>
      <w:pPr>
        <w:spacing w:after="0" w:line="7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Merger, a contractual contingent value right, or CVR, was distributed to the holders of record of the Company's common stock and 2022 Warrants (as defined below)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5.</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27, 2024, the Company's stockholders approved the Conversion Proposal (as defined below). For additional information, see Note 10.</w:t>
      </w:r>
    </w:p>
    <w:p>
      <w:pPr>
        <w:spacing w:after="0" w:line="104"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Additionally, on March 27, 2024, the Company’s stockholders approved an amendment to the Company’s restated certificate of incorporation, as amended, or the Charter, to effect a reverse stock split of the Company’s issued and outstanding common stock, at a ratio in the range of 1-for-20 and 1-for-30, with such ratio to be determined at the discretion of the Company’s board of directors, or the Board of Directors. The Board of Directors subsequently approved a final reverse stock split ratio of 1-for-30, and the Company effected the Reverse Stock Split on April 4, 2024. As a result of the Reverse Stock Split, all figures in this Quarterly Report on Form 10-Q relating to shares of the Company’s common stock (such as share amounts, per share amounts, and conversion rates and prices), have been adjusted to reflect the Reverse Stock Split for all periods presented, including reclassifying an amount equal to the reduction in par value of common stock to additional paid-in capital. Shares of common stock underlying outstanding stock options, restricted stock units and warrants were proportionately reduced and the respective exercise prices, if applicable, were proportionately increased in accordance with their terms. Additionally, the conversion ratio of the Company’s Series A Preferred Stock was proportionally adjusted. Stockholders entitled to fractional shares as a result of the Reverse Stock Split received a cash payment in lieu of receiving fractional shares.</w:t>
      </w:r>
    </w:p>
    <w:p>
      <w:pPr>
        <w:spacing w:after="0" w:line="9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5"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for the three months ended March 31, 2024 and 2023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2023 included in the Company’s Annual Report on Form 10-K that was filed with the SEC on March 7, 2024.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March 31, 2024, the consolidated results of operations for the three months ended March 31, 2024, and cash flows for the three months ended March 31, 2024. Such adjustments are of a normal and recurring nature. The results of operations for the three months ended March 31, 2024 are not necessarily indicative of the results of operations that may be expected for the year ending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Management’s Plan</w:t>
      </w:r>
    </w:p>
    <w:p>
      <w:pPr>
        <w:spacing w:after="0" w:line="121"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7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March 31, 2024, the Company’s cash, cash equivalents, and restricted cash were $104.8 million, of which $1.4 million was restricted cash related to lease commitments and $0.2 million was held by its Russian subsidiary designated solely for use in its operations. The Company believes the cash, cash equivalents and restricted cash as of March 31, 2024 will enable it to fund its current planned operations for at least the next twelve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5.</w:t>
      </w:r>
    </w:p>
    <w:p>
      <w:pPr>
        <w:spacing w:after="0" w:line="7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As of March 31, 2024, the Company had an accumulated deficit of $671.5 million. The Company anticipates operating losses to continue for the foreseeable future due to, among other things, costs related to research and development of its product candidates and its administrative organization.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Indemnifications</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Through March 31,</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2024,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disclosed its significant accounting policies in Note 2 – Summary of Significant Accounting Policies included in the Company’s Annual Report on Form 10-K for the year ended December 31, 2023. There have been no material changes to the Company’s significant accounting policies during the three months ended March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requires an enhanced disclosure of significant segment expenses on an 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does not expect the adoption of this guidance to have a material impact on its consolidated financial statements.</w:t>
      </w:r>
    </w:p>
    <w:p>
      <w:pPr>
        <w:spacing w:after="0" w:line="75" w:lineRule="exact"/>
        <w:rPr>
          <w:sz w:val="20"/>
          <w:szCs w:val="20"/>
          <w:color w:val="auto"/>
        </w:rPr>
      </w:pPr>
    </w:p>
    <w:p>
      <w:pPr>
        <w:ind w:right="24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Merger</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p>
    <w:p>
      <w:pPr>
        <w:spacing w:after="0" w:line="7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Merger was intended to qualify as a tax-free reorganization for U.S. federal income tax purposes. As a result of the Merger, Selecta changed its corporate name to Cartesian Therapeutics, Inc. and its common stock began trading on the Nasdaq Global Market under the new trading symbol “RNAC” beginning on November 14, 2023.</w:t>
      </w:r>
    </w:p>
    <w:p>
      <w:pPr>
        <w:spacing w:after="0" w:line="6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Merger Agreement was unanimously approved by the board of directors of Selecta and the board of directors of Old Cartesian. The Merger was consummated substantially concurrently with the entry into the Merger Agreement and was not subject to approval of the Company's stockholders.</w:t>
      </w:r>
    </w:p>
    <w:p>
      <w:pPr>
        <w:spacing w:after="0" w:line="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following the consummation of the Merger on November 13, 2023, or the Closing Date, in exchange for 100% of the outstanding shares of capital stock of Old Cartesian immediately prior to the effective time of the First Merger, the Company agreed to issue to the stockholders of Old Cartesian (i) 224,099 shares of the Company’s common stock and (ii) 384,930.724 shares of Series A Preferred Stock. The issuance of the shares of common stock and Series A Preferred Stock occurred on December 5, 2023 which was after the December 4, 2023 record date for the distribution of the CVRs (see Note 5); as such, the Old Cartesian stockholders did not have rights as holders of common stock or holders of Series A Preferred Stock until such issuance on December 5, 2023. In addition, all outstanding stock options to purchase Old Cartesian common stock were assumed by the Company and converted into stock options to purchase (i) shares of the Company’s common stock or (ii) shares of the Company’s Series A Preferred Stock on terms substantially identical to those in effect prior to Merger Agreement, except for adjustments to the underlying number of shares and the exercise price based on the Merger Agreement exchange ratio.</w:t>
      </w:r>
    </w:p>
    <w:p>
      <w:pPr>
        <w:spacing w:after="0" w:line="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the Company agreed to hold a stockholders’ meeting, or the Special Meeting, to submit the following proposals to a vote of its stockholders: (i) the approval of the conversion of shares of Series A Preferred Stock into shares of common stock, or the Conversion Proposal, and (ii) either or both of (A) the approval of an amendment to the Company’s Charter to increase the number of shares of common stock authorized under the Charter and (B) the approval of an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 The Special Meeting was held on March 27, 2024 in which the Company’s stockholders approved the Conversion Proposal, among other matters (see Note 10).</w:t>
      </w:r>
    </w:p>
    <w:p>
      <w:pPr>
        <w:spacing w:after="0" w:line="36"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 xml:space="preserve">The Company concluded the acquisition resulted in the Company obtaining a controlling financial interest in a variable interest entity, or VIE, in accordance with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or ASC 810. The Company determined that Old Cartesian was considered to be a VIE as it did not have sufficient equity to finance its activities without additional subordinated financial support. Prior to the Closing Date, the primary source of funding for Old Cartesian had been preferred stock financings. The Company acquired all of the outstanding shares of Old Cartesian and, therefore, is the sole equity holder and primary beneficiary. The Company has the obligation to the absorb the losses and right to receive the benefits of Old Cartesian, and the power to direct the activities that most significantly affect the economic performance of Old Cartesian which the Company considers to be its development activities. Therefore, the Company is the primary beneficiary. Further, the Company concluded the VIE qualified as a business and accounted for the transaction as the acquisition of a business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or ASC 805. As the primary beneficiary, the Company was the acquirer in the transaction.</w:t>
      </w:r>
    </w:p>
    <w:p>
      <w:pPr>
        <w:spacing w:after="0" w:line="9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exchanged the right to receive shares of common stock and Series A Preferred Stock for all of the outstanding equity of Old Cartesian. The Company determined the rights to receive shares exchanged in the Merger represent a forward contract. The fair value of the forward contracts was determined based on the fair value of shares of common stock and Series A Preferred Stock underlying the forward contracts as of the acquisition date. The total purchase price consists of the fair value of the forward contracts in addition to a portion of the fair value of options exchanged in the transaction related to prior service. Under the acquisition method, the total purchase price of the acquisition was allocated to the net tangible and identifiable intangible assets acquired and liabilities assumed based on their estimated fair values as of the date of the acquisition.</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the consideration of $168.5 million as of the Closing Date is summarized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contract to issue common stock</w:t>
            </w:r>
          </w:p>
        </w:tc>
        <w:tc>
          <w:tcPr>
            <w:tcW w:w="1240" w:type="dxa"/>
            <w:vAlign w:val="bottom"/>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w:t>
            </w: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 contract to issue Series A Preferred Stock</w:t>
            </w:r>
          </w:p>
        </w:tc>
        <w:tc>
          <w:tcPr>
            <w:tcW w:w="1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155,308</w:t>
            </w:r>
          </w:p>
        </w:tc>
      </w:t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allocated to consideration paid</w:t>
            </w:r>
          </w:p>
        </w:tc>
        <w:tc>
          <w:tcPr>
            <w:tcW w:w="12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10,444</w:t>
            </w:r>
          </w:p>
        </w:tc>
      </w:tr>
      <w:tr>
        <w:trPr>
          <w:trHeight w:val="203"/>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consideration</w:t>
            </w:r>
          </w:p>
        </w:tc>
        <w:tc>
          <w:tcPr>
            <w:tcW w:w="1240" w:type="dxa"/>
            <w:vAlign w:val="bottom"/>
            <w:tcBorders>
              <w:bottom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168,465</w:t>
            </w:r>
          </w:p>
        </w:tc>
      </w:tr>
      <w:tr>
        <w:trPr>
          <w:trHeight w:val="20"/>
        </w:trPr>
        <w:tc>
          <w:tcPr>
            <w:tcW w:w="8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the assets acquired and liabilities assumed as of the Closing Date based on the information available at that date. The following table presents the allocation of the purchase price to the estimated fair values of the assets acquired and liabilities assumed as of the Closing Date (in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acquired:</w:t>
            </w:r>
          </w:p>
        </w:tc>
        <w:tc>
          <w:tcPr>
            <w:tcW w:w="400" w:type="dxa"/>
            <w:vAlign w:val="bottom"/>
          </w:tcPr>
          <w:p>
            <w:pPr>
              <w:spacing w:after="0"/>
              <w:rPr>
                <w:sz w:val="16"/>
                <w:szCs w:val="16"/>
                <w:color w:val="auto"/>
              </w:rPr>
            </w:pPr>
          </w:p>
        </w:tc>
        <w:tc>
          <w:tcPr>
            <w:tcW w:w="25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As of November 13, 2023</w:t>
            </w: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0" w:type="dxa"/>
            <w:vAlign w:val="bottom"/>
          </w:tcPr>
          <w:p>
            <w:pPr>
              <w:spacing w:after="0"/>
              <w:rPr>
                <w:sz w:val="1"/>
                <w:szCs w:val="1"/>
                <w:color w:val="auto"/>
              </w:rPr>
            </w:pPr>
          </w:p>
        </w:tc>
      </w:tr>
      <w:tr>
        <w:trPr>
          <w:trHeight w:val="195"/>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5"/>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 net</w:t>
            </w:r>
          </w:p>
        </w:tc>
        <w:tc>
          <w:tcPr>
            <w:tcW w:w="40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0" w:type="dxa"/>
            <w:vAlign w:val="bottom"/>
          </w:tcPr>
          <w:p>
            <w:pPr>
              <w:spacing w:after="0"/>
              <w:rPr>
                <w:sz w:val="1"/>
                <w:szCs w:val="1"/>
                <w:color w:val="auto"/>
              </w:rPr>
            </w:pPr>
          </w:p>
        </w:tc>
      </w:tr>
      <w:tr>
        <w:trPr>
          <w:trHeight w:val="221"/>
        </w:trPr>
        <w:tc>
          <w:tcPr>
            <w:tcW w:w="8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206,763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3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0" w:type="dxa"/>
            <w:vAlign w:val="bottom"/>
          </w:tcPr>
          <w:p>
            <w:pPr>
              <w:spacing w:after="0"/>
              <w:rPr>
                <w:sz w:val="1"/>
                <w:szCs w:val="1"/>
                <w:color w:val="auto"/>
              </w:rPr>
            </w:pPr>
          </w:p>
        </w:tc>
      </w:tr>
      <w:tr>
        <w:trPr>
          <w:trHeight w:val="195"/>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 liability</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Deferred tax liability</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34,853</w:t>
            </w:r>
          </w:p>
        </w:tc>
        <w:tc>
          <w:tcPr>
            <w:tcW w:w="0" w:type="dxa"/>
            <w:vAlign w:val="bottom"/>
          </w:tcPr>
          <w:p>
            <w:pPr>
              <w:spacing w:after="0"/>
              <w:rPr>
                <w:sz w:val="1"/>
                <w:szCs w:val="1"/>
                <w:color w:val="auto"/>
              </w:rPr>
            </w:pPr>
          </w:p>
        </w:tc>
      </w:tr>
      <w:tr>
        <w:trPr>
          <w:trHeight w:val="221"/>
        </w:trPr>
        <w:tc>
          <w:tcPr>
            <w:tcW w:w="8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168,465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The fair value of the in-process research and development, or IPR&amp;D, assets were capitalized as of the Closing Date and will be accounted for as indefinite-lived intangible assets until completion or disposition of the assets or abandonment of the associated research and development efforts. Upon successful completion of the development efforts, the carrying value of each respective IPR&amp;D asset will be amortized over its estimated useful life. Until that time, the IPR&amp;D assets will be subject to impairment testing and will not be amortized. The goodwill recorded related to the Merger is the excess of the fair value of the consideration transferred by the acquirer over the fair value of tangible assets, identifiable intangible assets and assumed liabilities as of the Closing Date and is not deductible for tax purposes. The goodwill balance is primarily attributable to the value of the assembled workforce and deferred tax liabilities associated with the transaction.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Company’s intangible assets acquired in the Merger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95"/>
        </w:trPr>
        <w:tc>
          <w:tcPr>
            <w:tcW w:w="9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1"/>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Descartes-08 for MG</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93,900</w:t>
            </w:r>
          </w:p>
        </w:tc>
      </w:tr>
      <w:tr>
        <w:trPr>
          <w:trHeight w:val="196"/>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Descartes-08 for SLE</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56,700</w:t>
            </w:r>
          </w:p>
        </w:tc>
      </w:tr>
      <w:tr>
        <w:trPr>
          <w:trHeight w:val="22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in-process research and development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150,600</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intangible assets was estimated using the income approach in which the after-tax cash flows were discounted to present value. The cash flows are based on estimates used to price the transaction, and the discount rates applied were benchmarked with reference to the implied rate of return from the transaction model as well as the weighted average cost of capital.</w:t>
      </w:r>
    </w:p>
    <w:p>
      <w:pPr>
        <w:spacing w:after="0" w:line="68" w:lineRule="exact"/>
        <w:rPr>
          <w:sz w:val="20"/>
          <w:szCs w:val="20"/>
          <w:color w:val="auto"/>
        </w:rPr>
      </w:pPr>
    </w:p>
    <w:p>
      <w:pPr>
        <w:ind w:right="120" w:firstLine="324"/>
        <w:spacing w:after="0" w:line="273" w:lineRule="auto"/>
        <w:rPr>
          <w:sz w:val="20"/>
          <w:szCs w:val="20"/>
          <w:color w:val="auto"/>
        </w:rPr>
      </w:pPr>
      <w:r>
        <w:rPr>
          <w:rFonts w:ascii="Times New Roman" w:cs="Times New Roman" w:eastAsia="Times New Roman" w:hAnsi="Times New Roman"/>
          <w:sz w:val="18"/>
          <w:szCs w:val="18"/>
          <w:color w:val="auto"/>
        </w:rPr>
        <w:t>The forward contract related to the common stock was recorded as additional paid-in capital as the instrument is indexed to the Company’s common stock. The forward contract related to the Series A Preferred Stock was recorded as a liability as the underlying Series A Preferred Stock has a redemption</w:t>
      </w:r>
    </w:p>
    <w:p>
      <w:pPr>
        <w:spacing w:after="0" w:line="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feature that may require the Company to settle the instrument by transferring an asset. The forward contract was measured at fair value through the date of settlement through the issuance of the shares of Series A Preferred Stock on December 5,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Share</w:t>
      </w:r>
    </w:p>
    <w:p>
      <w:pPr>
        <w:spacing w:after="0" w:line="121"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three months ended March 31, 2024 and 2023 (in thousands, except share and per-share data):</w:t>
      </w:r>
    </w:p>
    <w:p>
      <w:pPr>
        <w:spacing w:after="0" w:line="8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6"/>
        </w:trPr>
        <w:tc>
          <w:tcPr>
            <w:tcW w:w="8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 allocable to shares of common stock - basic and diluted</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(21,663)</w:t>
            </w:r>
          </w:p>
        </w:tc>
      </w:tr>
      <w:tr>
        <w:trPr>
          <w:trHeight w:val="21"/>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r>
      <w:tr>
        <w:trPr>
          <w:trHeight w:val="190"/>
        </w:trPr>
        <w:tc>
          <w:tcPr>
            <w:tcW w:w="8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Weighted-average common shares outstanding - basic and diluted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5,414,020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5,111,518</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r>
      <w:tr>
        <w:trPr>
          <w:trHeight w:val="190"/>
        </w:trPr>
        <w:tc>
          <w:tcPr>
            <w:tcW w:w="8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 and Diluted</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27"/>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potential dilutive shares of common stock excluded from the computation of the diluted net loss per share for all periods presented, as the effect would have been anti-dilutive:</w:t>
      </w:r>
    </w:p>
    <w:p>
      <w:pPr>
        <w:spacing w:after="0" w:line="80"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options, restricted stock units and ESPP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1,811,636</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773,488</w:t>
            </w:r>
          </w:p>
        </w:tc>
      </w:tr>
      <w:tr>
        <w:trPr>
          <w:trHeight w:val="195"/>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975,132</w:t>
            </w:r>
          </w:p>
        </w:tc>
        <w:tc>
          <w:tcPr>
            <w:tcW w:w="1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1,040,942</w:t>
            </w:r>
          </w:p>
        </w:tc>
      </w:tr>
      <w:tr>
        <w:trPr>
          <w:trHeight w:val="21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17,808,670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Series A Preferred Stock options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470,403</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21,065,841</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1,814,430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Company’s assets and liabilities that are measured at fair value on a recurring basis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38,672</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38,672</w:t>
            </w:r>
          </w:p>
        </w:tc>
        <w:tc>
          <w:tcPr>
            <w:tcW w:w="10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5,352</w:t>
            </w:r>
          </w:p>
        </w:tc>
      </w:tr>
      <w:tr>
        <w:trPr>
          <w:trHeight w:val="21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397,900</w:t>
            </w: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403,252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403,252</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6,394</w:t>
            </w:r>
          </w:p>
        </w:tc>
      </w:tr>
      <w:tr>
        <w:trPr>
          <w:trHeight w:val="21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358,600</w:t>
            </w: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Forward contract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364,994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right="1040"/>
        <w:spacing w:after="0" w:line="375" w:lineRule="auto"/>
        <w:rPr>
          <w:sz w:val="20"/>
          <w:szCs w:val="20"/>
          <w:color w:val="auto"/>
        </w:rPr>
      </w:pPr>
      <w:r>
        <w:rPr>
          <w:rFonts w:ascii="Times New Roman" w:cs="Times New Roman" w:eastAsia="Times New Roman" w:hAnsi="Times New Roman"/>
          <w:sz w:val="18"/>
          <w:szCs w:val="18"/>
          <w:color w:val="auto"/>
        </w:rPr>
        <w:t xml:space="preserve">There were no transfers within the fair value hierarchy during the three months ended March 31, 2024 or year ended December 31, 2023. </w:t>
      </w:r>
      <w:r>
        <w:rPr>
          <w:rFonts w:ascii="Times New Roman" w:cs="Times New Roman" w:eastAsia="Times New Roman" w:hAnsi="Times New Roman"/>
          <w:sz w:val="18"/>
          <w:szCs w:val="18"/>
          <w:i w:val="1"/>
          <w:iCs w:val="1"/>
          <w:color w:val="auto"/>
        </w:rPr>
        <w:t>Cash, Cash Equivalents, and Restricted Cash</w:t>
      </w:r>
    </w:p>
    <w:p>
      <w:pPr>
        <w:spacing w:after="0" w:line="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money market funds were classified as cash and cash equivalents on the accompanying consolidated balance sheets as they mature within 90 days from the date of purchase.</w:t>
      </w:r>
    </w:p>
    <w:p>
      <w:pPr>
        <w:spacing w:after="0" w:line="40" w:lineRule="exact"/>
        <w:rPr>
          <w:sz w:val="20"/>
          <w:szCs w:val="20"/>
          <w:color w:val="auto"/>
        </w:rPr>
      </w:pPr>
    </w:p>
    <w:p>
      <w:pPr>
        <w:ind w:right="220" w:firstLine="324"/>
        <w:spacing w:after="0" w:line="250" w:lineRule="auto"/>
        <w:rPr>
          <w:sz w:val="20"/>
          <w:szCs w:val="20"/>
          <w:color w:val="auto"/>
        </w:rPr>
      </w:pPr>
      <w:r>
        <w:rPr>
          <w:rFonts w:ascii="Times New Roman" w:cs="Times New Roman" w:eastAsia="Times New Roman" w:hAnsi="Times New Roman"/>
          <w:sz w:val="18"/>
          <w:szCs w:val="18"/>
          <w:color w:val="auto"/>
        </w:rPr>
        <w:t>As of March 31, 2024, the Company had a restricted cash balance relating to a secured letter of credit in connection with its lease for the Company’s prior headquarters. Short-term restricted cash is included within prepaid expenses and other current assets in the consolidated balance sheets. The Company’s consolidated statements of cash flows include the following as of March 31, 2024 and 2023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125,925</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restricted cash</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20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r>
      <w:tr>
        <w:trPr>
          <w:trHeight w:val="20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104,795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127,525</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Warrants to Purchase Common Stock</w:t>
      </w:r>
    </w:p>
    <w:p>
      <w:pPr>
        <w:spacing w:after="0" w:line="106"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In December 2019, the Company issued warrants to purchase common stock in connection with a private placement, or the 2019 Warrants. Pursuant to the terms of the 2019 Warrants, the Company could be required to settle the 2019 Warrants in cash in the event of certain acquisitions of the Company and, as a result, the 2019 Warrants are required to be measured at fair value and reported as a liability on the balance sheet. On December 20, 2022, the Company amended the terms of the outstanding 2019 Warrants held by certain members of the Board of Directors, or the Amended 2019 Warrants, to remove the cash settlement provision. As a result, the Amended 2019 Warrants were remeasured at fair value on December 20, 2022 and reclassified from a liability to equity on the balance sheet. See Note 12 to the consolidated financial statements included in the Company’s Annual Report on Form 10-K for the year ended December 31, 2023 for further discussion on the equity-classified Amended 2019 Warrants.</w:t>
      </w:r>
    </w:p>
    <w:p>
      <w:pPr>
        <w:spacing w:after="0" w:line="9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In April 2022, the Company issued warrants in connection with an underwritten offering, or the 2022 Warrants. Pursuant to the terms of the 2022 Warrants, the Company could be required to settle the 2022 Warrants in cash in the event of 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acquisition of the Company under certain circumstances and, as a result, the 2022 Warrants are required to be measured at fair value and reported as a liability on the balance sheet.</w:t>
      </w:r>
    </w:p>
    <w:p>
      <w:pPr>
        <w:spacing w:after="0" w:line="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w:t>
      </w:r>
    </w:p>
    <w:p>
      <w:pPr>
        <w:spacing w:after="0" w:line="7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2019 Warrants and the 2022 Warrants were determined using the following inputs to the Black-Scholes simulation valuation:</w:t>
      </w:r>
    </w:p>
    <w:p>
      <w:pPr>
        <w:spacing w:after="0" w:line="52"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Estimated fair value of the underlying stock</w:t>
      </w:r>
      <w:r>
        <w:rPr>
          <w:rFonts w:ascii="Times New Roman" w:cs="Times New Roman" w:eastAsia="Times New Roman" w:hAnsi="Times New Roman"/>
          <w:sz w:val="18"/>
          <w:szCs w:val="18"/>
          <w:color w:val="auto"/>
        </w:rPr>
        <w:t>. The Company estimates the fair value of the common stock based on the closing stock price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each reporting period.</w:t>
      </w:r>
    </w:p>
    <w:p>
      <w:pPr>
        <w:spacing w:after="0" w:line="50"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at the valuation date commensurate with the expected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assumption.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 The dividend rate is based on the historical rate, which the Company anticipates will remain at zero.</w:t>
      </w:r>
    </w:p>
    <w:p>
      <w:pPr>
        <w:spacing w:after="0" w:line="104" w:lineRule="exact"/>
        <w:rPr>
          <w:sz w:val="20"/>
          <w:szCs w:val="20"/>
          <w:color w:val="auto"/>
        </w:rPr>
      </w:pPr>
    </w:p>
    <w:p>
      <w:pPr>
        <w:ind w:left="660" w:right="440"/>
        <w:spacing w:after="0" w:line="268"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the 2019 Warrants and the 2022 Warrants is assumed to be equivalent to their remaining contractual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expire on December 23, 2024 and April 11, 2027, respectively.</w:t>
      </w:r>
    </w:p>
    <w:p>
      <w:pPr>
        <w:spacing w:after="0" w:line="64" w:lineRule="exact"/>
        <w:rPr>
          <w:sz w:val="20"/>
          <w:szCs w:val="20"/>
          <w:color w:val="auto"/>
        </w:rPr>
      </w:pPr>
    </w:p>
    <w:p>
      <w:pPr>
        <w:ind w:left="660" w:right="200"/>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 The Company estimates stock price volatility based on the Company’s historical volatility for a period of time commensurate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remaining life of the warrants.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pricing model assumptions used to record the fair value of the 2019 Warrants liability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300" w:type="dxa"/>
            <w:vAlign w:val="bottom"/>
          </w:tcPr>
          <w:p>
            <w:pPr>
              <w:spacing w:after="0"/>
              <w:rPr>
                <w:sz w:val="17"/>
                <w:szCs w:val="17"/>
                <w:color w:val="auto"/>
              </w:rPr>
            </w:pPr>
          </w:p>
        </w:tc>
        <w:tc>
          <w:tcPr>
            <w:tcW w:w="14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5.38 %</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4.79 %</w:t>
            </w: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4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0.73</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0.98</w:t>
            </w:r>
          </w:p>
        </w:tc>
      </w:tr>
      <w:tr>
        <w:trPr>
          <w:trHeight w:val="188"/>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96.03 %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83.67 %</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pricing model assumptions used to record the fair value of the 2022 Warrants liability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300" w:type="dxa"/>
            <w:vAlign w:val="bottom"/>
          </w:tcPr>
          <w:p>
            <w:pPr>
              <w:spacing w:after="0"/>
              <w:rPr>
                <w:sz w:val="17"/>
                <w:szCs w:val="17"/>
                <w:color w:val="auto"/>
              </w:rPr>
            </w:pPr>
          </w:p>
        </w:tc>
        <w:tc>
          <w:tcPr>
            <w:tcW w:w="14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4.40 %</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4.01 %</w:t>
            </w: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4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3.28</w:t>
            </w:r>
          </w:p>
        </w:tc>
      </w:tr>
      <w:tr>
        <w:trPr>
          <w:trHeight w:val="188"/>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82.72 %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84.09 %</w:t>
            </w:r>
          </w:p>
        </w:tc>
      </w:tr>
    </w:tbl>
    <w:p>
      <w:pPr>
        <w:spacing w:after="0" w:line="18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warrant liabilities (see Note 11 to these unaudited consolidated financial statements) for the three months ended March 31, 2024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23"/>
        </w:trPr>
        <w:tc>
          <w:tcPr>
            <w:tcW w:w="99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6,394</w:t>
            </w:r>
          </w:p>
        </w:tc>
      </w:tr>
      <w:tr>
        <w:trPr>
          <w:trHeight w:val="196"/>
        </w:trPr>
        <w:tc>
          <w:tcPr>
            <w:tcW w:w="9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color w:val="auto"/>
              </w:rPr>
              <w:t>(1,042)</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March 31, 2024</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5,352</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Value Right</w:t>
      </w:r>
    </w:p>
    <w:p>
      <w:pPr>
        <w:spacing w:after="0" w:line="1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December 6, 2023, as contemplated by the Merger Agreement, the Company entered into a contingent value rights agreement, or the CVR Agreement, pursuant to which each holder of common stock or a 2022 Warrant as of December 4, 2023 was distributed a CVR, issued by the Company for each share of common stock held directly or underlying a 2022 Warrant held by such holder as of December 4, 2023. Holders of warrants other than the 2022 Warrants will be entitled to receive, upon exercise of such warrants and in accordance with the terms of the warrants, one CVR per each share of common stock underlying such warrants.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CVR entitles its holder to distributions of the following, pro-rated on a per-CVR basis, during the period ending on the date on which the Royalty Term (as defined in the Sobi License) ends, or the Termination Date:</w:t>
      </w:r>
    </w:p>
    <w:p>
      <w:pPr>
        <w:spacing w:after="0" w:line="94" w:lineRule="exact"/>
        <w:rPr>
          <w:sz w:val="20"/>
          <w:szCs w:val="20"/>
          <w:color w:val="auto"/>
        </w:rPr>
      </w:pPr>
    </w:p>
    <w:p>
      <w:pPr>
        <w:ind w:left="660" w:right="180" w:hanging="328"/>
        <w:spacing w:after="0" w:line="239"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132" w:lineRule="exact"/>
        <w:rPr>
          <w:rFonts w:ascii="Arial" w:cs="Arial" w:eastAsia="Arial" w:hAnsi="Arial"/>
          <w:sz w:val="22"/>
          <w:szCs w:val="22"/>
          <w:color w:val="auto"/>
        </w:rPr>
      </w:pPr>
    </w:p>
    <w:p>
      <w:pPr>
        <w:ind w:left="660" w:right="40" w:hanging="328"/>
        <w:spacing w:after="0" w:line="243"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w:t>
      </w:r>
    </w:p>
    <w:p>
      <w:pPr>
        <w:spacing w:after="0" w:line="7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CVRs represent financial instruments that are accounted for under the fair value option election in ASC 825</w:t>
      </w:r>
      <w:r>
        <w:rPr>
          <w:rFonts w:ascii="Times New Roman" w:cs="Times New Roman" w:eastAsia="Times New Roman" w:hAnsi="Times New Roman"/>
          <w:sz w:val="18"/>
          <w:szCs w:val="18"/>
          <w:i w:val="1"/>
          <w:iCs w:val="1"/>
          <w:color w:val="auto"/>
        </w:rPr>
        <w:t>, Financial Instruments</w:t>
      </w:r>
      <w:r>
        <w:rPr>
          <w:rFonts w:ascii="Times New Roman" w:cs="Times New Roman" w:eastAsia="Times New Roman" w:hAnsi="Times New Roman"/>
          <w:sz w:val="18"/>
          <w:szCs w:val="18"/>
          <w:color w:val="auto"/>
        </w:rPr>
        <w:t>. Under the fair value option election, the CVRs are initially measured at the aggregate 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a discounted cash flow methodology as of December 31, 2023 and a Monte Carlo simulation model as of March 31,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expected volatility of future revenues (Monte Carlo simulation model) and risk-adjustment discount rates (discounted cash flow methodology),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03"/>
        </w:trPr>
        <w:tc>
          <w:tcPr>
            <w:tcW w:w="980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98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cash flow dates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2024-2038</w:t>
            </w:r>
          </w:p>
        </w:tc>
      </w:tr>
      <w:tr>
        <w:trPr>
          <w:trHeight w:val="195"/>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probability of success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w:t>
            </w:r>
          </w:p>
        </w:tc>
      </w:tr>
      <w:tr>
        <w:trPr>
          <w:trHeight w:val="21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 of future revenues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25.0 %</w:t>
            </w: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980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98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cash flow dates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2024 - 2038</w:t>
            </w:r>
          </w:p>
        </w:tc>
      </w:tr>
      <w:tr>
        <w:trPr>
          <w:trHeight w:val="195"/>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probability of success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w:t>
            </w:r>
          </w:p>
        </w:tc>
      </w:tr>
      <w:tr>
        <w:trPr>
          <w:trHeight w:val="21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13.7 %</w:t>
            </w:r>
          </w:p>
        </w:tc>
      </w:tr>
    </w:tbl>
    <w:p>
      <w:pPr>
        <w:spacing w:after="0" w:line="184"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CVR liability for the three months ended March 31, 2024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CVR liability</w:t>
            </w:r>
          </w:p>
        </w:tc>
      </w:tr>
      <w:tr>
        <w:trPr>
          <w:trHeight w:val="23"/>
        </w:trPr>
        <w:tc>
          <w:tcPr>
            <w:tcW w:w="9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2023</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358,600</w:t>
            </w:r>
          </w:p>
        </w:tc>
      </w:tr>
      <w:tr>
        <w:trPr>
          <w:trHeight w:val="196"/>
        </w:trPr>
        <w:tc>
          <w:tcPr>
            <w:tcW w:w="9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39,300</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March 31, 2024</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Forward Contract Liabilities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Merger Consideration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entered into a contract for the issuance of 384,930.724 shares of Series A Preferred Stock as part of the consideration transferred. The fair value of the forward contract at the Closing Date was $155.3 million. The non-cash settlement of this liability occurred on December 5, 2023 with the issuance of the Series A Preferred Stock for $261.8 million.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November 2023 Private Placement</w:t>
      </w:r>
    </w:p>
    <w:p>
      <w:pPr>
        <w:spacing w:after="0" w:line="104"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color w:val="auto"/>
        </w:rPr>
        <w:t>The Company entered into a contract for the issuance of 149,330.115 shares of Series A Preferred Stock as part of the November 2023 Private Placement which was settled in multiple tranches. The Company determined the obligation to issue 148,710.488 shares of Series A Preferred Stock to Dr. Timothy A. Springer, a member of the Company’s Board of Directors, and TAS Partners LLC, an affiliate of Dr. Springer, represented a forward contract. See Note 10. The initial fair value of the forward contract liability on November 13, 2023 was insignificant as the fair value of the underlying Series A Preferred Stock was equal to the purchase price of the Series A Preferred Stock as agreed upon in the November 2023 Private Placement. Subsequent measurement of the fair value of the forward contract liability was based on the market price of the Company’s common stock, which represented the redemption and conversion value of the Series A Preferred Stock, less the purchase price, on an as-converted basis. The non-cash settlement of a portion of the liability occurred on December 13, 2023 with the issuance of the first tranche of the Series A Preferred Stock for $14.8 million. The non-cash settlement of the remaining second and third tranches occurred on January 12, 2024 and February 11, 2024, respectively, for a total of $35.2 million.</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forward contract liabilities for the periods presented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Forward contract</w:t>
            </w:r>
          </w:p>
        </w:tc>
      </w:tr>
      <w:tr>
        <w:trPr>
          <w:trHeight w:val="195"/>
        </w:trPr>
        <w:tc>
          <w:tcPr>
            <w:tcW w:w="99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01"/>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28,307</w:t>
            </w:r>
          </w:p>
        </w:tc>
      </w:tr>
      <w:tr>
        <w:trPr>
          <w:trHeight w:val="195"/>
        </w:trPr>
        <w:tc>
          <w:tcPr>
            <w:tcW w:w="9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Settlements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(35,197)</w:t>
            </w:r>
          </w:p>
        </w:tc>
      </w:tr>
      <w:tr>
        <w:trPr>
          <w:trHeight w:val="203"/>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r>
      <w:tr>
        <w:trPr>
          <w:trHeight w:val="203"/>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as of March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9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6,280</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20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7,841</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(5,728)</w:t>
            </w:r>
          </w:p>
        </w:tc>
      </w:tr>
      <w:tr>
        <w:trPr>
          <w:trHeight w:val="22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$0.2 million for each of the three months ended March 31, 2024 and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4,390</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patent fees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external research and development costs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r>
      <w:tr>
        <w:trPr>
          <w:trHeight w:val="20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r>
      <w:tr>
        <w:trPr>
          <w:trHeight w:val="20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14,733</w:t>
            </w: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65 Grove Street Lease</w:t>
      </w:r>
    </w:p>
    <w:p>
      <w:pPr>
        <w:spacing w:after="0" w:line="106" w:lineRule="exact"/>
        <w:rPr>
          <w:sz w:val="20"/>
          <w:szCs w:val="20"/>
          <w:color w:val="auto"/>
        </w:rPr>
      </w:pPr>
    </w:p>
    <w:p>
      <w:pPr>
        <w:ind w:right="140" w:firstLine="324"/>
        <w:spacing w:after="0" w:line="241" w:lineRule="auto"/>
        <w:rPr>
          <w:sz w:val="20"/>
          <w:szCs w:val="20"/>
          <w:color w:val="auto"/>
        </w:rPr>
      </w:pPr>
      <w:r>
        <w:rPr>
          <w:rFonts w:ascii="Times New Roman" w:cs="Times New Roman" w:eastAsia="Times New Roman" w:hAnsi="Times New Roman"/>
          <w:sz w:val="18"/>
          <w:szCs w:val="18"/>
          <w:color w:val="auto"/>
        </w:rPr>
        <w:t>In July 2019, the Company entered into a lease with BRE-BMR Grove LLC for 25,078 square feet of laboratory and office space located at 65 Grove Street, Watertown, Massachusetts, or the Watertown Lease. On September 1, 2022, the Company entered into an amendment to the Watertown Lease, or the Lease Agreement Amendment, to expand the Company’s laboratory and office space located at 65 Grove Street, Watertown, Massachusetts by approximately 7,216 square feet. In connection with the Lease Agreement Amendment, the Company secured a letter of credit for the Watertown Lease from Silicon Valley Bank, a division of First-Citizens Bank &amp; Trust Company (successor by purchase to the Federal Deposit Insurance Corporation as Receiver for Silicon Valley Bridge Bank, N.A. (as successor to Silicon Valley Bank)), or SVB, for $1.6 million as of December 31, 2022.</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2023, the Company received notice from BRE-BMR Grove LLC that the requirements to reduce the amount of the letter of credit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Lease had been met. In connection therewith, in June 2023, the Company secured a letter of credit from JPMorgan Chase Bank, N.A.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million, which is recognized as long-term restricted cash as of March 31, 2024 and December 31, 2023, and renews automatically each year.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million letter of credit with SVB was released from restriction and returned to the Company on July 17, 2023, and therefore was reclassified into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cash equivalents in the consolidated balance sheets.</w:t>
      </w:r>
    </w:p>
    <w:p>
      <w:pPr>
        <w:spacing w:after="0" w:line="85"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On October 6, 2022, the Company entered into a sublease agreement to sublease 7,216 square feet of space currently rented by the Company at 65 Grove Street, Watertown, Massachusetts. The sublease commenced on October 24, 2022, and the term expired on March 31, 2024. On October 31, 2023, in connection with entering into Amendment No. 1 to the Sobi License as described in Note 13,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expires on November 5, 2024 with no option to extend the sublease term. As of March 31, 2024 and December 31, 2023, deferred rent of $0.6 million and $0.8 million is included within accrued expenses and other current liabilities in the consolidated balance sheets. Sublease income is included within other income, net in the consolidated statements of operations and comprehensive income (loss).</w:t>
      </w:r>
    </w:p>
    <w:p>
      <w:pPr>
        <w:spacing w:after="0" w:line="9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in the fourth quarter of 2023.</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704 Quince Orchard Road Leases</w:t>
      </w:r>
    </w:p>
    <w:p>
      <w:pPr>
        <w:spacing w:after="0" w:line="11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7495 New Horizon Way Lease</w:t>
      </w:r>
    </w:p>
    <w:p>
      <w:pPr>
        <w:spacing w:after="0" w:line="11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initial term of the Frederick Lease Agreement is expected to commence once the Landlord has obtained legal possession of the premises free of the existing tenant and delivered full possession of the premises to the Company, or the Commencement Date, which had not occurred as of March 31, 2024. Upon the Commencement Date, which was determined to be May 1, 2024, the Company will assess the classification of the lease and measure the right-of-use asset and lease liability. The Frederick Lease Agreement will terminate approximately seven years following the Commencement Date. The Company will have one option to extend the term of the Frederick Lease Agreement for a period of five years at a cost of 100% of the then-fair market value, not to exceed 103% of the then-current base rent. The base rent for the initial term is $0.1 million per month. The Company paid first month’s rent of $0.1 million upon execution of the Frederick Lease Agreement and paid a cash security deposit of $0.3 million, both of which are classified as prepaid expenses and other current assets on the consolidated balance sheet.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2024 and 2023, the components of lease costs were as follows (in thousands):</w:t>
      </w:r>
    </w:p>
    <w:p>
      <w:pPr>
        <w:spacing w:after="0" w:line="15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Sublease income</w:t>
            </w: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March 31, 2024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03"/>
        </w:trPr>
        <w:tc>
          <w:tcPr>
            <w:tcW w:w="9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9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(remainder)</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12,691</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2,234</w:t>
            </w:r>
          </w:p>
        </w:tc>
      </w:tr>
      <w:tr>
        <w:trPr>
          <w:trHeight w:val="228"/>
        </w:trPr>
        <w:tc>
          <w:tcPr>
            <w:tcW w:w="9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10,457</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supplemental disclosure for the statement of cash flows related to operating leases was as follows (in thousands):</w:t>
      </w:r>
    </w:p>
    <w:p>
      <w:pPr>
        <w:spacing w:after="0" w:line="15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r>
    </w:tbl>
    <w:p>
      <w:pPr>
        <w:spacing w:after="0" w:line="200" w:lineRule="exact"/>
        <w:rPr>
          <w:sz w:val="20"/>
          <w:szCs w:val="20"/>
          <w:color w:val="auto"/>
        </w:rPr>
      </w:pPr>
    </w:p>
    <w:p>
      <w:pPr>
        <w:spacing w:after="0" w:line="24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Company’s right-of-use assets and lease liabilities for the three months ended March 31, 2024 and 2023 are reflected in the non-cash lease expense and accrued expenses and other liabilities, respectively, in the consolidated statements of cash flows.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operating leases:</w:t>
      </w:r>
    </w:p>
    <w:p>
      <w:pPr>
        <w:spacing w:after="0" w:line="151"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years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years</w:t>
            </w:r>
          </w:p>
        </w:tc>
      </w:tr>
      <w:tr>
        <w:trPr>
          <w:trHeight w:val="188"/>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Term Loan</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2020 Term Loan.</w:t>
      </w:r>
    </w:p>
    <w:p>
      <w:pPr>
        <w:spacing w:after="0" w:line="81"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principal amount due of $19.8 million, the final payment fee of $2.3 million, the prepayment penalty of $0.2 million, and less than $0.1 million of accrued interest.</w:t>
      </w:r>
    </w:p>
    <w:p>
      <w:pPr>
        <w:spacing w:after="0" w:line="54"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During the third quarter of 2023, the Company recorded a loss of $0.7 million on the extinguishment of the 2020 Term Loan, consisting of the prepayment penalty of $0.2 million and the write-off of $0.5 million of unamortized debt issuance costs and venture debt termination fee.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and December 31, 2023, the Company had no outstanding borrowings.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Series A Preferred Stock</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Certificate of Designation of Preferences, Rights, and Limitations of the Series A Non-Voting Convertible Preferred Stock, or the Certificate of Designation, was filed on November 13, 2023, which provided for the designation of shares of the Series A Preferred Stock and authorized the issuance of 548,375 shares of Series A Preferred Stock.</w:t>
      </w:r>
    </w:p>
    <w:p>
      <w:pPr>
        <w:spacing w:after="0" w:line="6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Additionally on November 13, 2023, the Company entered into the Securities Purchase Agreement with (i) Dr. Timothy A. Springer, a member of the Company’s Board of Directors; (ii) TAS Partners LLC, an affiliate of Dr. Springer, and (iii) Seven One Eight Three Four Irrevocable Trust, a trust associated with Dr. Murat Kalayoglu, a co-founder and the former chief executive officer of Old Cartesian, who joined the Company’s Board of Directors effective immediately after the effective time of the Merger, or the Investors. Pursuant to the Securities Purchase Agreement, the Company agreed to issue and sell an aggregate of 149,330.115 shares of Series A Preferred Stock for an aggregate purchase price of $60.25 million in the November 2023 Private Placement.</w:t>
      </w:r>
    </w:p>
    <w:p>
      <w:pPr>
        <w:spacing w:after="0" w:line="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November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the Company issued 619.627 shares of Series A Preferred Stock to Seven One Eight Three Four Irrevocable Trust for $0.25 million.</w:t>
      </w:r>
    </w:p>
    <w:p>
      <w:pPr>
        <w:spacing w:after="0" w:line="70"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The remaining portion of the forward contract liability was settled upon the issuance of 49,570.163 shares of Series A Preferred Stock each on January 12, 2024 and February 11, 2024, respectively (see Note 5).</w:t>
      </w:r>
    </w:p>
    <w:p>
      <w:pPr>
        <w:spacing w:after="0" w:line="8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On December 5, 2023, the Company issued 384,930.724 shares of Series A Preferred Stock as part of its consideration transferred in connection with the Merger which settled the related forward contract liability (see Note 5).</w:t>
      </w:r>
    </w:p>
    <w:p>
      <w:pPr>
        <w:spacing w:after="0" w:line="40" w:lineRule="exact"/>
        <w:rPr>
          <w:sz w:val="20"/>
          <w:szCs w:val="20"/>
          <w:color w:val="auto"/>
        </w:rPr>
      </w:pPr>
    </w:p>
    <w:p>
      <w:pPr>
        <w:ind w:right="80" w:firstLine="324"/>
        <w:spacing w:after="0" w:line="236" w:lineRule="auto"/>
        <w:rPr>
          <w:sz w:val="20"/>
          <w:szCs w:val="20"/>
          <w:color w:val="auto"/>
        </w:rPr>
      </w:pPr>
      <w:r>
        <w:rPr>
          <w:rFonts w:ascii="Times New Roman" w:cs="Times New Roman" w:eastAsia="Times New Roman" w:hAnsi="Times New Roman"/>
          <w:sz w:val="18"/>
          <w:szCs w:val="18"/>
          <w:color w:val="auto"/>
        </w:rPr>
        <w:t>On March 26, 2024, the Company, with the consent of the requisite holders of Series A Preferred Stock, amended the Certificate of Designation such that the automatic conversion of the Series A Preferred Stock into common stock, or the Automatic Conversion, will occur eight business days following stockholder approval of the Conversion Proposal. Upon such date, each share of Series A Preferred Stock will automatically convert into 33.333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Dr. Springer, TAS Partners LLC, or any of their respective affiliates. Each share of Series A Preferred Stock outstanding that is not otherwise automatically converted into common stock as a result of the beneficial ownership limitation shall be convertible at any time at the option of the holder following stockholder approval of the Conversion Proposal, only to the extent the beneficial ownership limitation does not apply to the shares of Series A Preferred Stock to be converted.</w:t>
      </w:r>
    </w:p>
    <w:p>
      <w:pPr>
        <w:spacing w:after="0" w:line="98"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On March 27, 2024, the Company's stockholders approved the Conversion Proposal, among other matters, at the Special Meeting. As a result of the approval of the Conversion Proposal, all conditions that could have required cash redemption of the Series A Preferred Stock were satisfied. Since the Series A Preferred Stock is no longer redeemable, the associated balances of the Series A Preferred Stock were reclassified from mezzanine equity to permanent equity during the first quarter of 2024.</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the Company had 534,260.839 shares of Series A Preferred Stock issued and outstanding.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240" w:firstLine="324"/>
        <w:spacing w:after="0" w:line="290" w:lineRule="auto"/>
        <w:rPr>
          <w:sz w:val="20"/>
          <w:szCs w:val="20"/>
          <w:color w:val="auto"/>
        </w:rPr>
      </w:pPr>
      <w:r>
        <w:rPr>
          <w:rFonts w:ascii="Times New Roman" w:cs="Times New Roman" w:eastAsia="Times New Roman" w:hAnsi="Times New Roman"/>
          <w:sz w:val="17"/>
          <w:szCs w:val="17"/>
          <w:color w:val="auto"/>
        </w:rPr>
        <w:t>On April 8, 2024, pursuant to the terms of the Certificate of Designation, as amended, 367,919.247 shares of Series A Preferred Stock automatically converted into 12,263,951 shares of common stock; 166,341.592 shares of Series A Preferred Stock did not automatically convert due to beneficial</w:t>
      </w:r>
    </w:p>
    <w:p>
      <w:pPr>
        <w:ind w:right="460"/>
        <w:spacing w:after="0" w:line="266" w:lineRule="auto"/>
        <w:rPr>
          <w:sz w:val="20"/>
          <w:szCs w:val="20"/>
          <w:color w:val="auto"/>
        </w:rPr>
      </w:pPr>
      <w:r>
        <w:rPr>
          <w:rFonts w:ascii="Times New Roman" w:cs="Times New Roman" w:eastAsia="Times New Roman" w:hAnsi="Times New Roman"/>
          <w:sz w:val="18"/>
          <w:szCs w:val="18"/>
          <w:color w:val="auto"/>
        </w:rPr>
        <w:t>ownership limitations. The 166,341.592 shares of Series A Preferred Stock that did not automatically convert are convertible into 5,544,719 shares of common stock. Based on the 17,779,787 shares of common stock outstanding on April 8, 2024, there would be 23,324,506 shares of common stock outstanding if all shares of Series A Preferred Stock converted into common stock on such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1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October 25, 2021, the Company entered into a sales agreement, or the 2021 Sales Agreement, with Leerink Partners LLC (then known as SVB Leerink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if any, would be issued and sold pursuant to a registration statement to be filed by the Company with the SEC, for aggregate remaining gross sales proceeds of up to $51.0 million.</w:t>
      </w:r>
    </w:p>
    <w:p>
      <w:pPr>
        <w:spacing w:after="0" w:line="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the year ended December 31, 2023, the Company sold no shares of its common stock pursuant to the 2021 Sales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warrant activity for the three months ended March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14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4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14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1"/>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74,420</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966,393</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1,040,813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12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0" w:type="dxa"/>
            <w:vAlign w:val="bottom"/>
          </w:tcPr>
          <w:p>
            <w:pPr>
              <w:spacing w:after="0"/>
              <w:rPr>
                <w:sz w:val="1"/>
                <w:szCs w:val="1"/>
                <w:color w:val="auto"/>
              </w:rPr>
            </w:pPr>
          </w:p>
        </w:tc>
      </w:tr>
      <w:tr>
        <w:trPr>
          <w:trHeight w:val="22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2024</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966,393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975,132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380"/>
        <w:spacing w:after="0" w:line="312" w:lineRule="auto"/>
        <w:rPr>
          <w:sz w:val="20"/>
          <w:szCs w:val="20"/>
          <w:color w:val="auto"/>
        </w:rPr>
      </w:pPr>
      <w:r>
        <w:rPr>
          <w:rFonts w:ascii="Times New Roman" w:cs="Times New Roman" w:eastAsia="Times New Roman" w:hAnsi="Times New Roman"/>
          <w:sz w:val="17"/>
          <w:szCs w:val="17"/>
          <w:color w:val="auto"/>
        </w:rPr>
        <w:t>See Note 14 for further discussion on the exercise of the 65,681 warrants. See Note 12 to the consolidated financial statements included in the Company’s Annual Report on Form 10-K for the year ended December 31, 2023 for further discussion of the terms related to the Company’s warrants.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authorized shares of common stock for future issuance as of March 31, 2024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975,132</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202,875</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464,018</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1,347,618</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17,808,670</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Outstanding Series A Preferred Stock options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470,403</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21,268,716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Incentive Plans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of Directors. In connection with the Merger, all outstanding awards issued under the 2008 Plan were cancelled, and the Board of Directors formally terminated the 2008 Plan.</w:t>
      </w:r>
    </w:p>
    <w:p>
      <w:pPr>
        <w:spacing w:after="0" w:line="6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June 2016, the Company’s stockholders approved the 2016 Incentive Award Plan, or the 2016 Plan, which authorized 40,341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7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Additionally, pursuant to the terms of the 2016 Plan, the Board of Directors is authorized to grant awards with respect to common stock, and may delegate to a committee of one or more members of the Board of Directors or executive officers of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Company the authority to grant options and restricted stock units. On December 9, 2020, the Board of Directors established a Stock Option Committee authorized to grant awards to certain employees and consultants subject to conditions and limitations within the 2016 Plan. In January 2024, the number of shares of common stock that may be issued under the 2016 Plan was increased by 215,903. As of March 31, 2024, 19,446 shares remain available for future issuance under the 2016 Plan.</w:t>
      </w:r>
    </w:p>
    <w:p>
      <w:pPr>
        <w:spacing w:after="0" w:line="7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September 2018, the Company’s 2018 Employment Inducement Incentive Award Plan, or the 2018 Inducement Incentive Award Plan, was adopted by the Board of Directors without stockholder approval pursuant to Rule 5635(c)(4) of the Nasdaq Stock Market LLC listing rules, which authorized 39,166 shares of its common stock for issuance. In March 2019, the Board of Directors approved an amendment and restatement of the 2018 Inducement Incentive Award Plan to reserve an additional 66,667 shares of the Company’s common stock for issuance thereunder. In December 2023, the Board of Directors approved an amendment and restatement of the 2018 Inducement Incentive Award Plan to reserve an additional 60,833 shares of the Company’s common stock for issuance thereunder. As of March 31, 2024, there are 113,927 shares available for future grant under the 2018 Inducement Incentive Award Plan.</w:t>
      </w:r>
    </w:p>
    <w:p>
      <w:pPr>
        <w:spacing w:after="0" w:line="8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March 31, 2024, there are 23,707 shares available for future grant under the Old Cartesian Plan.</w:t>
      </w:r>
    </w:p>
    <w:p>
      <w:pPr>
        <w:spacing w:after="0" w:line="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Merger, the outstanding stock options to purchase Old Cartesian common stock were converted into stock options to purchase 776,865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$0.4 million was recognized as research and development expense in the consolidated statements of operations and comprehensive income (loss) during the three months ended March 31, 2024. Following the Automatic Conversion, the options exercisable for shares of Series A Preferred Stock became exercisable for shares of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by classification included within the consolidated statements of operations and comprehensive income (loss) was as follows (in thousands):</w:t>
      </w:r>
    </w:p>
    <w:p>
      <w:pPr>
        <w:spacing w:after="0" w:line="88"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r>
      <w:tr>
        <w:trPr>
          <w:trHeight w:val="196"/>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w:t>
            </w: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stock option awards granted under the 2016 Plan and the 2018 Inducement Incentive Award Plan were calculated using the Black-Scholes option pricing model based on the following weighted-average assumptions:</w:t>
      </w:r>
    </w:p>
    <w:p>
      <w:pPr>
        <w:spacing w:after="0" w:line="8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r>
      <w:tr>
        <w:trPr>
          <w:trHeight w:val="19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900" w:type="dxa"/>
            <w:vAlign w:val="bottom"/>
          </w:tcPr>
          <w:p>
            <w:pPr>
              <w:spacing w:after="0"/>
              <w:rPr>
                <w:sz w:val="16"/>
                <w:szCs w:val="16"/>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5.94</w:t>
            </w:r>
          </w:p>
        </w:tc>
      </w:tr>
      <w:tr>
        <w:trPr>
          <w:trHeight w:val="19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95.37 %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94.64 %</w:t>
            </w: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34.50</w:t>
            </w:r>
          </w:p>
        </w:tc>
      </w:tr>
    </w:tbl>
    <w:p>
      <w:pPr>
        <w:spacing w:after="0" w:line="184"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was $15.79 and $26.87 during the three months ended March 31, 2024 and 2023, respectively.</w:t>
      </w:r>
    </w:p>
    <w:p>
      <w:pPr>
        <w:spacing w:after="0" w:line="5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expense related to unvested common stock options and Series A Preferred Stock options was $8.3 million and $0.8 million, respectively, which is expected to be recognized over a weighted average period of 3.4 years and 1.4 years, respectively.</w:t>
      </w:r>
    </w:p>
    <w:p>
      <w:pPr>
        <w:spacing w:after="0" w:line="200" w:lineRule="exact"/>
        <w:rPr>
          <w:sz w:val="20"/>
          <w:szCs w:val="20"/>
          <w:color w:val="auto"/>
        </w:rPr>
      </w:pPr>
    </w:p>
    <w:p>
      <w:pPr>
        <w:spacing w:after="0" w:line="20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under the 2016 Plan, the 2018 Inducement Incentive Award Plan, and Old Cartesian Plan for options for common stock:</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13,760</w:t>
            </w: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641,089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6"/>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r>
      <w:tr>
        <w:trPr>
          <w:trHeight w:val="22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1,347,618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55"/>
        </w:trPr>
        <w:tc>
          <w:tcPr>
            <w:tcW w:w="48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at March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583,183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9,633</w:t>
            </w:r>
          </w:p>
        </w:tc>
      </w:tr>
      <w:tr>
        <w:trPr>
          <w:trHeight w:val="188"/>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March 31,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1,200,826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11,827</w:t>
            </w:r>
          </w:p>
        </w:tc>
      </w:tr>
    </w:tbl>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Old Cartesian Plan for options for Series A Preferred Stock: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14,112.299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8,601</w:t>
            </w:r>
          </w:p>
        </w:tc>
      </w:tr>
      <w:tr>
        <w:trPr>
          <w:trHeight w:val="108"/>
        </w:trPr>
        <w:tc>
          <w:tcPr>
            <w:tcW w:w="4820" w:type="dxa"/>
            <w:vAlign w:val="bottom"/>
            <w:tcBorders>
              <w:bottom w:val="single" w:sz="8" w:color="CCEEFF"/>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3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5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320" w:type="dxa"/>
            <w:vAlign w:val="bottom"/>
            <w:tcBorders>
              <w:bottom w:val="single" w:sz="8" w:color="CCEEFF"/>
            </w:tcBorders>
          </w:tcPr>
          <w:p>
            <w:pPr>
              <w:spacing w:after="0"/>
              <w:rPr>
                <w:sz w:val="9"/>
                <w:szCs w:val="9"/>
                <w:color w:val="auto"/>
              </w:rPr>
            </w:pPr>
          </w:p>
        </w:tc>
      </w:tr>
      <w:tr>
        <w:trPr>
          <w:trHeight w:val="22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14,112.299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55"/>
        </w:trPr>
        <w:tc>
          <w:tcPr>
            <w:tcW w:w="48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at March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11,323.762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73.14</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w:t>
            </w:r>
          </w:p>
        </w:tc>
      </w:tr>
      <w:tr>
        <w:trPr>
          <w:trHeight w:val="188"/>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March 31,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14,112.299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8,043</w:t>
            </w:r>
          </w:p>
        </w:tc>
      </w:tr>
    </w:tbl>
    <w:p>
      <w:pPr>
        <w:spacing w:after="0" w:line="198" w:lineRule="exact"/>
        <w:rPr>
          <w:sz w:val="20"/>
          <w:szCs w:val="20"/>
          <w:color w:val="auto"/>
        </w:rPr>
      </w:pPr>
    </w:p>
    <w:p>
      <w:pPr>
        <w:ind w:right="280" w:firstLine="324"/>
        <w:spacing w:after="0" w:line="289" w:lineRule="auto"/>
        <w:rPr>
          <w:sz w:val="20"/>
          <w:szCs w:val="20"/>
          <w:color w:val="auto"/>
        </w:rPr>
      </w:pPr>
      <w:r>
        <w:rPr>
          <w:rFonts w:ascii="Times New Roman" w:cs="Times New Roman" w:eastAsia="Times New Roman" w:hAnsi="Times New Roman"/>
          <w:sz w:val="17"/>
          <w:szCs w:val="17"/>
          <w:color w:val="auto"/>
        </w:rPr>
        <w:t>As a result of the approval of the Conversion Proposal on March 27, 2024, all conditions that could have required cash redemption of the Series A Preferred Stock underlying the stock options were satisfied. Since the Series A Preferred Stock is no longer redeemable, the associated balances of the stock options to purchase Series A Preferred Stock were reclassified from mezzanine equity to additional paid-in capital during the first quarter of 2024.</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granted 471,104 restricted stock unit awards with a weighted-average fair value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$19.80 per share based on the closing price of the Company’s common stock on the date of grant under the 2016 Plan and the Old Cartesian Plan,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vest over a four-year term. Forfeitures are estimated at the time of grant and are adjusted, if necessary, in subsequent periods if actual forfeitures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 from those estimates. The Company has estimated a forfeiture rate of 10% for restricted stock unit awards based on historical experience.</w:t>
      </w:r>
    </w:p>
    <w:p>
      <w:pPr>
        <w:spacing w:after="0" w:line="9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the restricted stock units was $6.5 million as of March 31, 2024, which is expected to be recognized over a weighted-average period of 3.7 years.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restricted stock units under the 2016 Plan, the 2018 Inducement Incentive Award Plan, and the Old Cartesian Plan: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8080" w:type="dxa"/>
            <w:vAlign w:val="bottom"/>
          </w:tcPr>
          <w:p>
            <w:pPr>
              <w:spacing w:after="0"/>
              <w:rPr>
                <w:sz w:val="12"/>
                <w:szCs w:val="12"/>
                <w:color w:val="auto"/>
              </w:rPr>
            </w:pPr>
          </w:p>
        </w:tc>
        <w:tc>
          <w:tcPr>
            <w:tcW w:w="1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38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fair value ($)</w:t>
            </w:r>
          </w:p>
        </w:tc>
        <w:tc>
          <w:tcPr>
            <w:tcW w:w="0" w:type="dxa"/>
            <w:vAlign w:val="bottom"/>
          </w:tcPr>
          <w:p>
            <w:pPr>
              <w:spacing w:after="0"/>
              <w:rPr>
                <w:sz w:val="1"/>
                <w:szCs w:val="1"/>
                <w:color w:val="auto"/>
              </w:rPr>
            </w:pPr>
          </w:p>
        </w:tc>
      </w:tr>
      <w:tr>
        <w:trPr>
          <w:trHeight w:val="202"/>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0" w:type="dxa"/>
            <w:vAlign w:val="bottom"/>
          </w:tcPr>
          <w:p>
            <w:pPr>
              <w:spacing w:after="0"/>
              <w:rPr>
                <w:sz w:val="1"/>
                <w:szCs w:val="1"/>
                <w:color w:val="auto"/>
              </w:rPr>
            </w:pPr>
          </w:p>
        </w:tc>
      </w:tr>
      <w:tr>
        <w:trPr>
          <w:trHeight w:val="203"/>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at March 31,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464,018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June 2016, the Company approved the 2016 Employee Stock Purchase Plan, or the ESPP, which authorized 5,769 shares of common stock for future issuance under the ESPP to participating employees. As of March 31, 2024, 45,795 shares remain available for future issuance under the ESPP. In connection with the Merger, the Board of Directors suspended the offerings under the ESPP.</w:t>
      </w:r>
    </w:p>
    <w:p>
      <w:pPr>
        <w:spacing w:after="0" w:line="6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no and less than $0.1 million stock-based compensation expense under the ESPP for the three months ended March 31, 2024 and March 31, 2023, respectively.</w:t>
      </w:r>
    </w:p>
    <w:p>
      <w:pPr>
        <w:spacing w:after="0" w:line="200" w:lineRule="exact"/>
        <w:rPr>
          <w:sz w:val="20"/>
          <w:szCs w:val="20"/>
          <w:color w:val="auto"/>
        </w:rPr>
      </w:pPr>
    </w:p>
    <w:p>
      <w:pPr>
        <w:spacing w:after="0" w:line="201" w:lineRule="exact"/>
        <w:rPr>
          <w:sz w:val="20"/>
          <w:szCs w:val="20"/>
          <w:color w:val="auto"/>
        </w:rPr>
      </w:pPr>
    </w:p>
    <w:p>
      <w:pPr>
        <w:ind w:right="9140" w:firstLine="8"/>
        <w:spacing w:after="0" w:line="378" w:lineRule="auto"/>
        <w:tabs>
          <w:tab w:leader="none" w:pos="27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Arrangements Astellas Gene Therapies</w:t>
      </w: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January 2023, the Company entered into a License and Development Agreement, or the Astellas Agreement, with Audentes Therapeutics, Inc., doing business as Astellas Gene Therapies, or Astellas. Under the Astellas Agreement, the Company granted Astellas an exclusive license to the Company’s IdeXork technology arising from Xork (defined below), to develop and commercialize Xork for use in Pompe disease in combination with an Astellas gene therapy investigational or authorized product. Xork, Genovis’ IgG Protease, is licensed by the Genovis Agreement, as described in Note 15 to these consolidated financial statements. Astellas paid a $10.0 million upfront payment to the Company upon signing of the Astellas Agreement, and the Company is entitled to receive up to $340.0 million in future additional payments over the course of the partnership that are contingent on the achievement of various development and regulatory milestones and, if commercialized, sales thresholds for annual net sales where Xork is used as a pre-treatment for an Astellas investigational or authorized product. The Company is also eligible for tiered royalty payments ranging from low to high single digits. Any proceeds received from milestone payments or royalties relating to Xork would be required to be distributed to holders of CVRs, net of certain deductions. A more detailed description of the Astellas Agreement and the Company's evaluation of this agreement under ASC 606 can be found in Note 14 to the consolidated financial statements in the Company’s Annual Report on Form 10-K for the year ended December 31, 2023.</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2024, the Company was notified by Astellas of its intention to terminate the Astellas Agreement, effective June 6, 2024.</w:t>
      </w:r>
    </w:p>
    <w:p>
      <w:pPr>
        <w:spacing w:after="0" w:line="117"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As of March 31, 2024 and December 31, 2023, the Company recorded $0.4 million and $2.3 million as a short-term contract liability, respectively, and no and $3.5 million long-term contract liability, respectively, representing deferred revenue associated with the Astellas Agreement. As of March 31, 2024 and December 31, 2023, the Company recorded a receivable of $0.4 million and $0.3 million, respectively, representing billings for the Xork Development Services (as defined in the Astellas Agreement) that are subject to reimbursement by Astellas. Revenue of $5.8 million and $0.6 million related to the Astellas Agreement was recognized during the three months ended March 31, 2024 and 2023, respectively, inclusive of $3.2 million of revenue recognized from performance obligations related to prior periods as a result of the change in transaction price during the three months ended March 31, 2024.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Takeda Pharmaceuticals USA,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06"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In October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 A more detailed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description of the Takeda Agreement and the Company's evaluation of this agreement under ASC 606 can be found in Note 14 to the consolidated financial statements in the Company’s Annual Report on Form 10-K for the year ended December 31, 2023.</w:t>
      </w:r>
    </w:p>
    <w:p>
      <w:pPr>
        <w:spacing w:after="0" w:line="68"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On March 9, 2023, the Company was notified by Takeda of the achievement of the milestone event related to the completion of a non-clinical milestone for one of the specified disease indications within the field of lysosomal storage disorders under the Takeda Agreement. Accordingly, the Company received a milestone payment of $0.5 million during the three months ended June 30, 2023.</w:t>
      </w:r>
    </w:p>
    <w:p>
      <w:pPr>
        <w:spacing w:after="0" w:line="6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Takeda Agreement was terminated effective July 25, 2023, following Takeda’s decision to discontinue discovery and pre-clinical activities in adeno-associated virus, or AAV, gene therapy.</w:t>
      </w:r>
    </w:p>
    <w:p>
      <w:pPr>
        <w:spacing w:after="0" w:line="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both March 31, 2024 and December 31, 2023, the Company recorded no contract liability related to the Takeda Agreement. No revenue related to the Takeda Agreement was recognized during the three months ended March 31, 2024. Revenue of $0.5 million related to the Takeda Agreement was recognized during the three months ended March 31, 2023, all from performance obligations related to prior periods as a result of the change in transaction price.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Swedish Orphan Biovitrum AB (publ.)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June 2020, the Company and Sobi entered into the Sobi License, which was subsequently amended.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 more detailed description of the Sobi License and the Company's evaluation of this agreement under ASC 606 can be found in Note 14 to the consolidated financial statements in the Company’s Annual Report on Form 10-K for the year ended December 31, 2023.</w:t>
      </w:r>
    </w:p>
    <w:p>
      <w:pPr>
        <w:spacing w:after="0" w:line="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October 31, 2023, the Company and Sobi entered into Amendment No. 1 to the Sobi License, pursuant to which the Company granted Sobi an exclusive license to manufacture ImmTOR solely in connection with Sobi’s development of SEL-212 under the License and Development Agreement and transferred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7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Company recorded a total outstanding receivable of $0.6 million and $4.6 million, respectively, representing billings for the Phase 3 DISSOLVE program that are subject to reimbursement by Sobi. Additionally, as of March 31, 2024 and December 31, 2023, the Company recorded a total unbilled receivable of $2.4 million and $3.0 million, respectively, representing revenue earned but not yet billed for the Phase 3 DISSOLVE program. No revenue and revenue of $4.4 million related to the Sobi License was recognized during the three months ended March 31, 2024 and 2023,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License and Option Agreement</w:t>
      </w:r>
    </w:p>
    <w:p>
      <w:pPr>
        <w:spacing w:after="0" w:line="11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agreed to supply ImmTOR to Sarepta for clinical supply on a cost-plus basis under the Sarepta Agreement. A more detailed description of the Sarepta Agreement and the Company's evaluation of this agreement under ASC 606 can be found in Note 14 to the consolidated financial statements in the Company’s Annual Report on Form 10-K for the year ended December 31, 2023.</w:t>
      </w:r>
    </w:p>
    <w:p>
      <w:pPr>
        <w:spacing w:after="0" w:line="80"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On March 13, 2023, the Company was notified by Sarepta that Sarepta would not be exercising its exclusive option under the Sarepta Agreement. Therefore, the remaining deferred revenue balance as of December 31, 2022 of $0.5 million was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recognized as revenue during the three months ended March 31, 2023. No revenue related to the Sarepta Agreement was recognized during the three months ended March 31,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21" w:lineRule="exact"/>
        <w:rPr>
          <w:sz w:val="20"/>
          <w:szCs w:val="20"/>
          <w:color w:val="auto"/>
        </w:rPr>
      </w:pPr>
    </w:p>
    <w:p>
      <w:pPr>
        <w:jc w:val="both"/>
        <w:ind w:right="720" w:firstLine="324"/>
        <w:spacing w:after="0" w:line="282"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contracts for which work has not been performed, or has been partially performed. As of March 31, 2024, the aggregate amount of the transaction price allocated to remaining performance obligations was $0.4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from Contracts with Customers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liabilities during the three months ended March 31, 2024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7"/>
                <w:szCs w:val="17"/>
                <w:color w:val="auto"/>
              </w:rPr>
            </w:pP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Pr>
          <w:p>
            <w:pPr>
              <w:spacing w:after="0"/>
              <w:rPr>
                <w:sz w:val="17"/>
                <w:szCs w:val="17"/>
                <w:color w:val="auto"/>
              </w:rPr>
            </w:pPr>
          </w:p>
        </w:tc>
        <w:tc>
          <w:tcPr>
            <w:tcW w:w="128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(5,437)</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22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Related-Party Transactions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November 2023 Securities Purchase Agreement</w:t>
      </w:r>
    </w:p>
    <w:p>
      <w:pPr>
        <w:spacing w:after="0" w:line="106"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On November 13, 2023, the Company entered into the Securities Purchase Agreement with (i) Dr. Timothy A. Springer, (ii) TAS Partners LLC, an affiliate of Dr. Springer, and (iii) Seven One Eight Three Four Irrevocable Trust, a trust associated with Dr. Murat Kalayoglu, in which the Company agreed to issue and sell an aggregate of 149,330.115 shares of Series A Preferred Stock for an aggregate purchase price of $60.25 million (see Note 10). The November 2023 Private Placement includes a delayed settlement mechanism, and as a result, the below issuances and sales to related parties of the Company were made during the three months ended March 31,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80" w:type="dxa"/>
            <w:vAlign w:val="bottom"/>
          </w:tcPr>
          <w:p>
            <w:pPr>
              <w:spacing w:after="0"/>
              <w:rPr>
                <w:sz w:val="13"/>
                <w:szCs w:val="13"/>
                <w:color w:val="auto"/>
              </w:rPr>
            </w:pPr>
          </w:p>
        </w:tc>
        <w:tc>
          <w:tcPr>
            <w:tcW w:w="13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48"/>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80" w:type="dxa"/>
            <w:vAlign w:val="bottom"/>
            <w:gridSpan w:val="2"/>
            <w:vMerge w:val="continue"/>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7"/>
                <w:szCs w:val="17"/>
                <w:color w:val="auto"/>
              </w:rPr>
            </w:pPr>
          </w:p>
        </w:tc>
        <w:tc>
          <w:tcPr>
            <w:tcW w:w="13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2"/>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40,000,000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Exercise of Amended 2019 Warrants</w:t>
      </w:r>
    </w:p>
    <w:p>
      <w:pPr>
        <w:spacing w:after="0" w:line="11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On March 26, 2024, TAS Partners LLC, an affiliate of Dr. Springer, exercised 65,681 Amended 2019 Warrants, paid the per-share exercise price of $43.80 in cash for an aggregate exercise price of $2.9 million, and received 65,681 shares of common stock and 1,970,443 CVRs.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2023, there were no related party transactions.</w:t>
      </w:r>
    </w:p>
    <w:p>
      <w:pPr>
        <w:spacing w:after="0" w:line="113" w:lineRule="exact"/>
        <w:rPr>
          <w:sz w:val="20"/>
          <w:szCs w:val="20"/>
          <w:color w:val="auto"/>
        </w:rPr>
      </w:pPr>
    </w:p>
    <w:p>
      <w:pPr>
        <w:ind w:right="7980" w:firstLine="8"/>
        <w:spacing w:after="0" w:line="378"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and License Agreements Biogen MA, Inc.</w:t>
      </w: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Cancer Institute of the National Institutes of Health</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September 16, 2019, the Company entered into a nonexclusive, worldwide license agreement, or the NCI Agreement,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Health and Human Services, represented by the National Cancer Institute of the National Institutes of Health, or NCI.</w:t>
      </w:r>
    </w:p>
    <w:p>
      <w:pPr>
        <w:spacing w:after="0" w:line="99"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7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7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8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6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NCI Agreement terminates upon the expiration of the last to expire of the patent rights licensed thereunder, if not sooner terminated. NCI has the right to terminate this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Ginkgo Bioworks Holdings,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Agreements</w:t>
      </w:r>
    </w:p>
    <w:p>
      <w:pPr>
        <w:spacing w:after="0" w:line="11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October 25, 2021, the Company entered into a Collaboration and License Agreement, or the First Ginkgo Agreement, with Ginkgo Bioworks Holdings, Inc., or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the Company's common stock, clinical and commercial milestone payments of up to $85.0 million in cash. The First Ginkgo Agreement was assessed for collaboration components and was determined not to be within the scope of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 or ASC 808, as the risk and rewards are not shared by both parties. The Company will expense costs related to the First Ginkgo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incurred until regulatory approval is received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or ASC 730. The Company is accounting for the contingently issuable shares to be issued in exchange 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13, 2022, the Company was notified of the achievement of the midpoint of the technical development plan under the First Ginkgo Agreement</w:t>
      </w:r>
    </w:p>
    <w:p>
      <w:pPr>
        <w:spacing w:after="0" w:line="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by Ginkgo. This milestone resulted in the payment of $0.5 million and issuance of 29,761 shares of the Company’s common stock then-valued at $1.0 million to Ginkgo during the year ended December 31, 2022.</w:t>
      </w:r>
    </w:p>
    <w:p>
      <w:pPr>
        <w:spacing w:after="0" w:line="54"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July 19, 2023, the Company and Ginkgo mutually agreed that the completion of the technical development plan’s midpoint task under the Second Ginkgo Agreement had been achieved as of June 30, 2023. This milestone resulted in the payment of $1.0 million and issuance of 44,642 shares of the Company’s common stock then-valued at $1.5 million to Ginkgo during the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Genovis AB (publ.)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1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October 2021, the Company entered into an Exclusive License Agreement, or the Genovis Agreement, with Genovis AB (publ.), or Genovis. Under the Genovis Agreement, the Company paid to Genovis an upfront payment in exchange for an exclusive license to the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80"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In February 2023, the Company made a $4.0 million payment to Genovis as a result of the sublicense of Xork to Astellas. See Note 13 to these unaudited consolidated financial statements for further discussion on the Astellas Agreement.</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2024, the Company notified Genovis of its intention to terminate the Genovis Agreement effective September 13,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Cyrus Biotechnology,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w:t>
      </w:r>
    </w:p>
    <w:p>
      <w:pPr>
        <w:spacing w:after="0" w:line="11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September 2021, the Company and Cyrus Biotechnology, Inc., or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was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was obligated to pay certain discovery, development, and sales-based milestones which could have potentially totaled up to approximately $1.5 billion across multiple programs. The Cyrus Agreement was assessed for collaboration components and was determined not to be within the scope of ASC 808 as the risk and rewards are not shared by both parties. The Company expensed costs related to the Cyrus Agreement as incurred until regulatory approval is received in accordance with ASC 730. The Company assessed the capitalization of costs incurred after the receipt of regulatory approval and, if applicable, would have amortized these payments based on the expected useful life of each asset, typically based on the expected commercial exclusivity period. The Company was also obligated to pay Cyrus tiered royalties ranging from mid-single digit to low-double digit percentages of annual net sales of collaboration products which would have been expensed as commercial sales occur.</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13, 2022, the Company and Cyrus mutually agreed that the preclinical key in-vitro success milestone had been achieved.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2023, the Company notified Cyrus of its termination of the Cyrus Agreement effective December 29, 2023.</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Purchase Agreement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6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no impairment indicators were present and there were no observable price changes. Therefore, the carrying value of the investment in Cyrus is $2.0 million on the accompanying consolidated balance sheets.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Asklepios Biopharmaceutical,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Feasibility Study and License Agreement</w:t>
      </w:r>
    </w:p>
    <w:p>
      <w:pPr>
        <w:spacing w:after="0" w:line="11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August 2019, the Company entered into a feasibility study and license agreement, or the AskBio Collaboration Agreement, with Asklepios Biopharmaceutical, Inc., or AskBio.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methylmalonic acidemia, or MMA, to mitigate the formation of neutralizing anti-AAV capsid antibodies. On April 29, 2021, the Company was notified by AskBio that it intended to opt-out of development of the MMA indication.</w:t>
      </w:r>
    </w:p>
    <w:p>
      <w:pPr>
        <w:spacing w:after="0" w:line="7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 and AskBio shared responsibility for the research, development and commercialization of products developed under the SEL-399 program collaboration. The parties also shared research, development, and commercialization costs equally for all collaboration products, but with a right of either party to opt out of certain products, and thereby not be required to share costs for such products. Each party would have received a percentage of net profits under the collaboration equal to the percentage of shared costs borne by such party in the development of such product. Pursuant to the AskBio Collaboration Agreement, AskBio was responsible for manufacturing the AAV capsids and AAV vectors and the Company was responsible for manufacturing ImmTOR.</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and AskBio mutually agreed to the termination of the AskBio Collaboration Agreement, effective December 13, 2023.</w:t>
      </w:r>
    </w:p>
    <w:p>
      <w:pPr>
        <w:spacing w:after="0" w:line="11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No collaboration expense under the AskBio Collaboration Agreement was recognized during the three months ended March 31, 2024. For the three months ended March 31, 2023, the Company recognized $0.1 million of collaboration expense under the AskBio Collaboration Agreement in which actual costs incurred by both parties approximate a 50% cost share.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Shenyang Sunshine Pharmaceutical Co., Ltd</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March 31, 2024.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08"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we have not recorded any U.S. federal or state income tax benefits for either the net losses we have incurred or our earned research and orphan drug credits, due to the uncertainty of realizing a benefit from those items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Defined Contribution Plan</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Company maintains a defined contribution plan, or the 401(k) Plan, under Section 401(k) of the Internal Revenue Code. The 401(k) Plan covers all employees who meet defined minimum age and service requirements and allows participants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to defer a portion of their annual compensation on a pretax basis. The 401(k) Plan provides for matching contributions on a portion of participant contributions pursuant to the 401(k) Plan’s matching formula. As of January 2022, all matching contributions vest ratably over two years and participant contributions vest immediately. Contributions by the Company totaled less than $0.1 million and $0.1 million during the three months ended March 31, 2024 and 2023,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the Company was not a party to any litigation that could have a material adverse effect on the Company’s business, financial position,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80"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in various other contractual disputes and potential claims arising in the ordinary course of business. The Company does not believe that the resolution of these matters will have a material adverse effect on the Company’s business, financial position, results of operations or cash flows.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Restructuring</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April 2023, in light of current market conditions, the Board of Directors took steps to extend the Company's cash runway by pausing further development of SEL-302 for the treatment of MMA, and conducting a targeted headcount reduction. On August 17, 2023, the Company announced additional steps to extend cash runway and maximize value for stockholders by continuing to prioritize development of SEL-212 and support of its collaboration with Astellas for Xork, and pausing further development of all of the Company’s other clinical and preclinical product candidates that it was no longer actively advancing.</w:t>
      </w:r>
    </w:p>
    <w:p>
      <w:pPr>
        <w:spacing w:after="0" w:line="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a result of these measures, the Company implemented a restructuring plan resulting in an approximate 79% reduction of the Company's existing headcount by March 31, 2024. The Company recognized restructuring expenses consisting of one-time cash severance payments and other employee-related costs of $6.4 million for the year ended December 31, 2023 with $5.6 million and $0.8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$2.5 million were paid as of December 31, 2023.</w:t>
      </w:r>
    </w:p>
    <w:p>
      <w:pPr>
        <w:spacing w:after="0" w:line="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restructuring expenses consisting of one-time cash severance payments and other employee-related costs of $0.3 million, with $0.2 million and $0.1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$3.3 million were paid during the three months ended March 31, 2024.</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 in the Company's accrued restructuring balance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03"/>
        </w:trPr>
        <w:tc>
          <w:tcPr>
            <w:tcW w:w="29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60" w:type="dxa"/>
            <w:vAlign w:val="bottom"/>
          </w:tcPr>
          <w:p>
            <w:pPr>
              <w:spacing w:after="0"/>
              <w:rPr>
                <w:sz w:val="17"/>
                <w:szCs w:val="17"/>
                <w:color w:val="auto"/>
              </w:rPr>
            </w:pPr>
          </w:p>
        </w:tc>
        <w:tc>
          <w:tcPr>
            <w:tcW w:w="1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2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liability</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3,896</w:t>
            </w:r>
          </w:p>
        </w:tc>
        <w:tc>
          <w:tcPr>
            <w:tcW w:w="122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292</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r>
    </w:tbl>
    <w:p>
      <w:pPr>
        <w:spacing w:after="0" w:line="180" w:lineRule="exact"/>
        <w:rPr>
          <w:sz w:val="20"/>
          <w:szCs w:val="20"/>
          <w:color w:val="auto"/>
        </w:rPr>
      </w:pPr>
    </w:p>
    <w:p>
      <w:pPr>
        <w:jc w:val="both"/>
        <w:ind w:left="340" w:right="9500" w:hanging="332"/>
        <w:spacing w:after="0" w:line="400" w:lineRule="auto"/>
        <w:tabs>
          <w:tab w:leader="none" w:pos="286"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i w:val="1"/>
          <w:iCs w:val="1"/>
          <w:color w:val="auto"/>
        </w:rPr>
        <w:t>Reverse Stock Split</w:t>
      </w: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April 4, 2024, the Company implemented the Reverse Stock Split. The Reverse Stock Split became effective at 4:30 p.m. Eastern Time on April 4, 2024. On April 5, 2024, the Company’s common stock began trading on The Nasdaq Global Market on a split-adjusted basis under the symbol “RNAC” with a new CUSIP number, 816212302. As a result of the Reverse Stock Split, every 30 shares of common stock outstanding were combined, automatically and without any action on the part of the Company or its stockholders, into one share of common stock. Stockholders entitled to fractional shares as a result of the Reverse Stock Split received a cash payment in lieu of receiving fractional shares. The Reverse Stock Split did not change the number of authorized shares or par value of the Company’s common or preferred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Series A Preferred Stock Automatic Conversion</w:t>
      </w:r>
    </w:p>
    <w:p>
      <w:pPr>
        <w:spacing w:after="0" w:line="119" w:lineRule="exact"/>
        <w:rPr>
          <w:sz w:val="20"/>
          <w:szCs w:val="20"/>
          <w:color w:val="auto"/>
        </w:rPr>
      </w:pPr>
    </w:p>
    <w:p>
      <w:pPr>
        <w:jc w:val="both"/>
        <w:ind w:firstLine="324"/>
        <w:spacing w:after="0" w:line="290" w:lineRule="auto"/>
        <w:rPr>
          <w:sz w:val="20"/>
          <w:szCs w:val="20"/>
          <w:color w:val="auto"/>
        </w:rPr>
      </w:pPr>
      <w:r>
        <w:rPr>
          <w:rFonts w:ascii="Times New Roman" w:cs="Times New Roman" w:eastAsia="Times New Roman" w:hAnsi="Times New Roman"/>
          <w:sz w:val="17"/>
          <w:szCs w:val="17"/>
          <w:color w:val="auto"/>
        </w:rPr>
        <w:t>The Automatic Conversion of the Series A Preferred Stock occurred on April 8, 2024 at 5:00 p.m. Eastern Time pursuant to the terms of the Certificate of Designation, as amended. As a result, 367,919.247 shares of Series A Preferred Stock automatically converted into 12,263,951 shares of common stock;</w:t>
      </w:r>
    </w:p>
    <w:p>
      <w:pPr>
        <w:ind w:right="40"/>
        <w:spacing w:after="0" w:line="261" w:lineRule="auto"/>
        <w:rPr>
          <w:sz w:val="20"/>
          <w:szCs w:val="20"/>
          <w:color w:val="auto"/>
        </w:rPr>
      </w:pPr>
      <w:r>
        <w:rPr>
          <w:rFonts w:ascii="Times New Roman" w:cs="Times New Roman" w:eastAsia="Times New Roman" w:hAnsi="Times New Roman"/>
          <w:sz w:val="18"/>
          <w:szCs w:val="18"/>
          <w:color w:val="auto"/>
        </w:rPr>
        <w:t>166,341.592 shares of Series A Preferred Stock did not automatically convert due to beneficial ownership limitations. The 166,341.592 shares of Series A Preferred Stock that did not automatically convert are convertible into 5,544,719 shares of common stock. Based on the 17,779,787 shares of common stock outstanding on April 8, 2024, there would be 23,324,506 shares of common stock outstanding if all shares of Series A Preferred Stock converted into common stock on such date.</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7495 New Horizon Way Lease Amendment</w:t>
      </w:r>
    </w:p>
    <w:p>
      <w:pPr>
        <w:spacing w:after="0" w:line="11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Effective May 7, 2024, the Company and the Landlord entered into a First Amendment to the Frederick Lease Agreement, or the Amendment, providing for the expansion of the premises leased pursuant to the Frederick Lease Agreement by approximately 7,842 square feet. In connection with the expansion of the leased premises, the Company will be obligated to pay $0.3 million in additional annual base rent for the first year of the term, which is subject to an annual upward adjustment of 3% of the then-current rental rate.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2023, which we filed with the SEC on March 7, 2024. In addition, you should read the “Risk Factors” and “Information Regarding Forward-Looking Statements” sections of this Quarterly Report and our Annual Report on Form 10-K for the year ended December 31, 2023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140" w:firstLine="324"/>
        <w:spacing w:after="0" w:line="241"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w:t>
      </w:r>
      <w:r>
        <w:rPr>
          <w:rFonts w:ascii="Times New Roman" w:cs="Times New Roman" w:eastAsia="Times New Roman" w:hAnsi="Times New Roman"/>
          <w:sz w:val="18"/>
          <w:szCs w:val="18"/>
          <w:color w:val="231F20"/>
        </w:rPr>
        <w:t>developing mRNA cell therapies for the treatment of autoimmune diseases. We leverage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or MG, a chronic autoimmune disease that causes disabling muscle weakness and fatigue, we observed that our lead product candidate, Descartes-08, generated a deep and durable clinical benefit.</w:t>
      </w:r>
    </w:p>
    <w:p>
      <w:pPr>
        <w:spacing w:after="0" w:line="86" w:lineRule="exact"/>
        <w:rPr>
          <w:sz w:val="20"/>
          <w:szCs w:val="20"/>
          <w:color w:val="auto"/>
        </w:rPr>
      </w:pPr>
    </w:p>
    <w:p>
      <w:pPr>
        <w:ind w:right="140" w:firstLine="324"/>
        <w:spacing w:after="0" w:line="244" w:lineRule="auto"/>
        <w:rPr>
          <w:sz w:val="20"/>
          <w:szCs w:val="20"/>
          <w:color w:val="auto"/>
        </w:rPr>
      </w:pPr>
      <w:r>
        <w:rPr>
          <w:rFonts w:ascii="Times New Roman" w:cs="Times New Roman" w:eastAsia="Times New Roman" w:hAnsi="Times New Roman"/>
          <w:sz w:val="18"/>
          <w:szCs w:val="18"/>
          <w:color w:val="231F20"/>
        </w:rPr>
        <w:t>We are leveraging our proprietary technology and manufacturing platform, RNA Armory</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xml:space="preserve">, to develop mRNA cell therapies for autoimmune diseases across three modalities. Our mRNA CAR-T modality is a personalized approach that collects a patient’s T-cells and uses mRNA to introduce a CAR into the cell. The CAR redirects the T-cells to target and destroy pathogenic self-reactive cells. Our mRNA MSC modality is an allogeneic approach that introduces one or more mRNAs into donor-sourced mesenchymal stem cells, enabling them to produce proteins that target key pathways involved in autoimmunity. These cells are banked and are designed to be administered off-the-shelf to any patient. Our mRNA </w:t>
      </w:r>
      <w:r>
        <w:rPr>
          <w:rFonts w:ascii="Times New Roman" w:cs="Times New Roman" w:eastAsia="Times New Roman" w:hAnsi="Times New Roman"/>
          <w:sz w:val="18"/>
          <w:szCs w:val="18"/>
          <w:i w:val="1"/>
          <w:iCs w:val="1"/>
          <w:color w:val="231F20"/>
        </w:rPr>
        <w:t>in situ</w:t>
      </w:r>
      <w:r>
        <w:rPr>
          <w:rFonts w:ascii="Times New Roman" w:cs="Times New Roman" w:eastAsia="Times New Roman" w:hAnsi="Times New Roman"/>
          <w:sz w:val="18"/>
          <w:szCs w:val="18"/>
          <w:color w:val="231F20"/>
        </w:rPr>
        <w:t xml:space="preserve"> modality is designed to deliver mRNA into a patient’s lymph node to generate CAR-T cells and other proteins that target autoimmunity</w:t>
      </w:r>
      <w:r>
        <w:rPr>
          <w:rFonts w:ascii="Times New Roman" w:cs="Times New Roman" w:eastAsia="Times New Roman" w:hAnsi="Times New Roman"/>
          <w:sz w:val="18"/>
          <w:szCs w:val="18"/>
          <w:color w:val="000000"/>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08" w:lineRule="exact"/>
        <w:rPr>
          <w:sz w:val="20"/>
          <w:szCs w:val="20"/>
          <w:color w:val="auto"/>
        </w:rPr>
      </w:pPr>
    </w:p>
    <w:p>
      <w:pPr>
        <w:ind w:right="80" w:firstLine="324"/>
        <w:spacing w:after="0" w:line="237" w:lineRule="auto"/>
        <w:rPr>
          <w:sz w:val="20"/>
          <w:szCs w:val="20"/>
          <w:color w:val="auto"/>
        </w:rPr>
      </w:pPr>
      <w:r>
        <w:rPr>
          <w:rFonts w:ascii="Times New Roman" w:cs="Times New Roman" w:eastAsia="Times New Roman" w:hAnsi="Times New Roman"/>
          <w:sz w:val="18"/>
          <w:szCs w:val="18"/>
          <w:color w:val="231F20"/>
        </w:rPr>
        <w:t xml:space="preserve">On November 13, 2023, the Company </w:t>
      </w:r>
      <w:r>
        <w:rPr>
          <w:rFonts w:ascii="Times New Roman" w:cs="Times New Roman" w:eastAsia="Times New Roman" w:hAnsi="Times New Roman"/>
          <w:sz w:val="18"/>
          <w:szCs w:val="18"/>
          <w:color w:val="000000"/>
        </w:rPr>
        <w:t>(formerly known as Selecta Biosciences, Inc., or Selecta)</w:t>
      </w:r>
      <w:r>
        <w:rPr>
          <w:rFonts w:ascii="Times New Roman" w:cs="Times New Roman" w:eastAsia="Times New Roman" w:hAnsi="Times New Roman"/>
          <w:sz w:val="18"/>
          <w:szCs w:val="18"/>
          <w:color w:val="231F20"/>
        </w:rPr>
        <w:t xml:space="preserve"> merged with the private Delaware corporation which, immediately prior to the Merger (as defined below), was known as Cartesian Therapeutics, Inc., or Old Cartesian, in accordance with the terms of an Agreement and Plan of Merger, or the Merger Agreement, by and among</w:t>
      </w:r>
    </w:p>
    <w:p>
      <w:pPr>
        <w:spacing w:after="0" w:line="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r>
        <w:rPr>
          <w:rFonts w:ascii="Times New Roman" w:cs="Times New Roman" w:eastAsia="Times New Roman" w:hAnsi="Times New Roman"/>
          <w:sz w:val="18"/>
          <w:szCs w:val="18"/>
          <w:color w:val="231F20"/>
        </w:rPr>
        <w: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connection with the Merger and pursuant to the Merger Agreement, the Company changed its corporate name to Cartesian Therapeutics, Inc. See Note 3 of the accompanying notes to the unaudited consolidated financial statements appearing elsewhere in this </w:t>
      </w:r>
      <w:r>
        <w:rPr>
          <w:rFonts w:ascii="Times New Roman" w:cs="Times New Roman" w:eastAsia="Times New Roman" w:hAnsi="Times New Roman"/>
          <w:sz w:val="18"/>
          <w:szCs w:val="18"/>
          <w:color w:val="000000"/>
        </w:rPr>
        <w:t>Quarterly</w:t>
      </w:r>
      <w:r>
        <w:rPr>
          <w:rFonts w:ascii="Times New Roman" w:cs="Times New Roman" w:eastAsia="Times New Roman" w:hAnsi="Times New Roman"/>
          <w:sz w:val="18"/>
          <w:szCs w:val="18"/>
          <w:color w:val="231F20"/>
        </w:rPr>
        <w:t xml:space="preserve"> Report for additional information regarding the Merger.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68"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Except for the year ended December 31, 2022, we have incurred significant operating losses since our inception. We incurred a net loss of $56.8 million and $21.7 million for the three months ended March 31, 2024 and 2023, respectively. As of March 31, 2024, we had an accumulated deficit of $671.5 million. We expect to continue to incur significant expenses and operating losses for the foreseeable future as we:</w:t>
      </w:r>
    </w:p>
    <w:p>
      <w:pPr>
        <w:spacing w:after="0" w:line="6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Descartes-08 for MG into Phase 3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preclinical and clinical-stage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w:t>
      </w:r>
    </w:p>
    <w:p>
      <w:pPr>
        <w:spacing w:after="0" w:line="11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Merger, we entered into a securities purchase agreement, or the Securities Purchase Agreement, pursuant to which we agreed to issue 149,330.115 shares of Series A Non-Voting Convertible Preferred Stock, par value $0.0001 per share, or the Series A Preferred Stock, in exchange for aggregate gross proceeds of $60.25 million, or the November 2023 Private Placement. We granted customary registration rights to investors in connection with the November 2023 Private Placement.</w:t>
      </w:r>
    </w:p>
    <w:p>
      <w:pPr>
        <w:spacing w:after="0" w:line="7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March 31, 2024 will enable us to fund our operating expenses and capital expenditure requirements into the second half of 2026. We have based this estimate on assumptions that may prove to be wrong, and we could use our capital resources sooner than we currently expect.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seek collaboration partners for the assets in the development programs that we are no longer actively advancing.</w:t>
      </w:r>
    </w:p>
    <w:p>
      <w:pPr>
        <w:spacing w:after="0" w:line="11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information presented below includes the accounts of Cartesian Therapeutics, Inc. and our wholly owned subsidiaries, Selecta (RUS) LLC, a Russian limited liability company, or Selecta (RUS), and Selecta Biosciences Security Corporation, a Massachusetts securities corporation, and Cartesian Bio, LLC, a Delaware limited liability company, which is a variable interest entity for which we are the primary beneficiary. All intercompany accounts and transactions have been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 of the agreements underlying our collaboration and license revenue, see Note 13 to our unaudited consolidated financial statements included elsewhere in this Quarterly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consist of external research and development costs, which we track on a program-by-program basis and primarily include contract manufacturing organization related costs and fees paid to contract research organizations,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7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75"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In June 2020, we and Swedish Orphan Biovitrum AB, or Sobi, entered into a License and Development Agreement, which was amended in October 2023, or, as so amended, the Sobi License. Pursuant to the Sobi License, clinical trial costs incurred to complete development of the product candidate SEL-212, including but not limited to costs incurred while conducting and completing the Phase 3 DISSOLVE trials for SEL-212, were reimbursed by Sobi. These costs, when reimbursed, were recognized as revenue consistent with the revenue recognition methodology disclosed in Note 13 to our unaudited consolidated financial statements included elsewhere in this Quarterly Report. The reimbursable costs exclude any costs of additional development activities required that were related to the ImmTOR platform and were unrelated to SEL-212.</w:t>
      </w:r>
    </w:p>
    <w:p>
      <w:pPr>
        <w:spacing w:after="0" w:line="7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January 2023, we and Audentes Therapeutics, Inc., or Astellas, entered into a License and Development Agreement, or the Astellas Agreement. Pursuant to the Astellas Agreement, Astellas agreed to reimburse us for 25% of all budgeted costs incurred to complete the development of Xork, a bacterial IgG protease licensed from Genovis AB (publ.), or Genovis, for use in Pompe disease with an Astellas gene therapy investigational or authorized product. These costs, when reimbursed, will be recognized as revenue consistent with the revenue recognition methodology disclosed in Note 13 to our unaudited consolidated financial statements included elsewhere in this Quarterly Report. In March 2024, we were notified by Astellas of its intention to terminate the Astellas Agreement, effective June 6,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income consists primarily of interest income earned on our cash,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consists of interest expense on amounts borrowed under our credit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consists primarily of sublease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2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Common warrants classified as liabilities are remeasured quarterly at fair value, utilizing a Black-Scholes valuation methodology, with the change in fair value recognized as a component of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value right liability</w:t>
      </w:r>
    </w:p>
    <w:p>
      <w:pPr>
        <w:spacing w:after="0" w:line="12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contingent value right, or CVR, liability is remeasured quarterly at fair value, utilizing a Monte Carlo simulation, with the change in fair value recognized as a component of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Series A Preferred Stock forward contract liabilities</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forward contract liability associated with the delayed issuance of the Series A Preferred Stock related to the November 2023 Private Placement is remeasured quarterly at fair value, utilizing the market price of our common stock, with the change in fair value recognized as a component of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functional currency of Selecta (RUS) is the Russian ruble. In addition to holding cash denominated in Russian rubles, our Russian bank accounts also hold cash balances denominated in U.S. dollars to facilitate payments to be settled in U.S. dollars or other currencies. As of both March 31, 2024 and December 31, 2023, we maintained cash of $0.2 million in Russian bank accounts in denominations of both Russian rubles and U.S. dollars. The amounts denominated in U.S. dollars and used in</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transacting the day-to-day operations of our Russian subsidiary are subject to transaction gains and losses, which are reported as incurred.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we recognized $5.8 million of collaboration and license revenue, compared to $5.9 million for the three months ended March 31, 2023, a decrease of $0.1 million, or 2%. The decrease was primarily due to a decrease of revenue recognized under the Sobi License resulting from both the shipment of clinical supply and the reimbursement of costs incurred for the Phase 3 DISSOLVE clinical program offset by an increase in revenue recognized under the Astellas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w:t>
      </w:r>
      <w:r>
        <w:rPr>
          <w:rFonts w:ascii="Times New Roman" w:cs="Times New Roman" w:eastAsia="Times New Roman" w:hAnsi="Times New Roman"/>
          <w:sz w:val="18"/>
          <w:szCs w:val="18"/>
          <w:color w:val="2C2C2C"/>
        </w:rPr>
        <w:t>, our research and development expenses were $9.7 million compared to $18.6 million for the</w:t>
      </w:r>
      <w:r>
        <w:rPr>
          <w:rFonts w:ascii="Times New Roman" w:cs="Times New Roman" w:eastAsia="Times New Roman" w:hAnsi="Times New Roman"/>
          <w:sz w:val="18"/>
          <w:szCs w:val="18"/>
          <w:color w:val="auto"/>
        </w:rPr>
        <w:t xml:space="preserve"> three months ended March 31, 2023, a decrease of $8.9 million, or 48%. The decrease in cost primarily resulted from reductions in expenses incurred for preclinical and clinical programs due to the strategic reprioritization.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w:t>
      </w:r>
      <w:r>
        <w:rPr>
          <w:rFonts w:ascii="Times New Roman" w:cs="Times New Roman" w:eastAsia="Times New Roman" w:hAnsi="Times New Roman"/>
          <w:sz w:val="18"/>
          <w:szCs w:val="18"/>
          <w:color w:val="2C2C2C"/>
        </w:rPr>
        <w:t>, our</w:t>
      </w:r>
      <w:r>
        <w:rPr>
          <w:rFonts w:ascii="Times New Roman" w:cs="Times New Roman" w:eastAsia="Times New Roman" w:hAnsi="Times New Roman"/>
          <w:sz w:val="18"/>
          <w:szCs w:val="18"/>
          <w:color w:val="auto"/>
        </w:rPr>
        <w:t xml:space="preserve"> general and administrative </w:t>
      </w:r>
      <w:r>
        <w:rPr>
          <w:rFonts w:ascii="Times New Roman" w:cs="Times New Roman" w:eastAsia="Times New Roman" w:hAnsi="Times New Roman"/>
          <w:sz w:val="18"/>
          <w:szCs w:val="18"/>
          <w:color w:val="2C2C2C"/>
        </w:rPr>
        <w:t>expenses were $9.5 million compared to $5.7 million for the</w:t>
      </w:r>
      <w:r>
        <w:rPr>
          <w:rFonts w:ascii="Times New Roman" w:cs="Times New Roman" w:eastAsia="Times New Roman" w:hAnsi="Times New Roman"/>
          <w:sz w:val="18"/>
          <w:szCs w:val="18"/>
          <w:color w:val="auto"/>
        </w:rPr>
        <w:t xml:space="preserve"> three months ended March 31, 2023, an increase of $3.8 million, or 66%. The increase in cost was primarily the result of an increase in professional fees incurred in connection with the Merger.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Investment income for the three months ended March 31, 2024 was $1.2 million, compared to $1.3 million for the three months ended March 31,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investment income was due to decreased investment balance.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recognized de minimis foreign currency fluctuations during each of the three months ended March 31, 2024 and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recognized no interest expense for the three months ended March 31, 2024, compared to $0.8 million for the three months ended March 31, 2023, representing interest expense and amortization of the carrying costs of our credit facilities that were extinguished during the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we recognized $1.0 million of income from the decrease in the fair value of warrant liabilities, compared to a $4.1 million charge from the increase in the fair value of warrant liabilities for the three months ended March 31, 2023, a decrease of $5.1 million, or 126%. Fair value of warrant liabilities was determined utilizing the Black-Scholes valuation methodology. The decrease in warrant value was primarily driven by a decrease in the per-share price of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value right liability</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we recognized $39.3 million of expense associated with the increase in the fair value of the CVR liability. The fair value of the CVR liability as of March 31, 2024 was determined utilizing a Monte Carlo simulation model. The increase in the fair value of CVR liability was primarily driven by the passage of time since December 31, 2023. There was no CVR liability prior to the Merger and as such, no change in the fair value of the CVR liability is reflected in our unaudited consolidated financial statements for the three months ended March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Series A Preferred Stock forward contract liabilities</w:t>
      </w:r>
    </w:p>
    <w:p>
      <w:pPr>
        <w:spacing w:after="0" w:line="108" w:lineRule="exact"/>
        <w:rPr>
          <w:sz w:val="20"/>
          <w:szCs w:val="20"/>
          <w:color w:val="auto"/>
        </w:rPr>
      </w:pPr>
    </w:p>
    <w:p>
      <w:pPr>
        <w:ind w:right="80" w:firstLine="324"/>
        <w:spacing w:after="0" w:line="241" w:lineRule="auto"/>
        <w:rPr>
          <w:sz w:val="20"/>
          <w:szCs w:val="20"/>
          <w:color w:val="auto"/>
        </w:rPr>
      </w:pPr>
      <w:r>
        <w:rPr>
          <w:rFonts w:ascii="Times New Roman" w:cs="Times New Roman" w:eastAsia="Times New Roman" w:hAnsi="Times New Roman"/>
          <w:sz w:val="18"/>
          <w:szCs w:val="18"/>
          <w:color w:val="auto"/>
        </w:rPr>
        <w:t>For the three months ended March 31, 2024, we recognized $6.9 million of expense associated with the increase in the fair value of Series A Preferred Stock forward contract liabilities. The increase in Series A Preferred Stock value was primarily driven by an increase in the per-share price of our common stock since December 31, 2023 through settlement. The remaining Series A Preferred Stock forward contract liability was settled during the three months ended March 31, 2024. There was no Series A Preferred Stock forward contract liability prior to the Merger and as such, no change in the fair value of the Series A Preferred Stock forward contract liability is reflected in our unaudited consolidated financial statements for the three months ended March 31, 2023.</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recognized other income, net of $0.5 million, compared to $0.3 million for the three months ended March 31, 2023, an increase of $0.2 million, or 99%. The increase was primarily driven by sublease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Net loss for the three months ended March 31, 2024 was $56.8 million as compared to net loss of $21.7 million for the three months ended March 31, 2023, a decrease of $35.1 million or 162%. The change was primarily due to expenses associated with the change in the fair value of the CVR liability and Series A Preferred Stock forward contract liability and increased general and administrative expenses, partially offset by decreased research and development expenses and income associated with the change in the fair value of the warrant liabilities.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Except for net income of $35.4 million for the year ended December 31, 2022, 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our cash, cash equivalents, and restricted cash were $104.8 million, of which $1.4 million was restricted cash related to lease commitments and $0.2 million was held by our Russian subsidiary designated solely for use in its operations.</w:t>
      </w:r>
    </w:p>
    <w:p>
      <w:pPr>
        <w:spacing w:after="0" w:line="6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54" w:lineRule="exact"/>
        <w:rPr>
          <w:sz w:val="20"/>
          <w:szCs w:val="20"/>
          <w:color w:val="auto"/>
        </w:rPr>
      </w:pPr>
    </w:p>
    <w:p>
      <w:pPr>
        <w:ind w:right="140" w:firstLine="324"/>
        <w:spacing w:after="0" w:line="242" w:lineRule="auto"/>
        <w:rPr>
          <w:sz w:val="20"/>
          <w:szCs w:val="20"/>
          <w:color w:val="auto"/>
        </w:rPr>
      </w:pPr>
      <w:r>
        <w:rPr>
          <w:rFonts w:ascii="Times New Roman" w:cs="Times New Roman" w:eastAsia="Times New Roman" w:hAnsi="Times New Roman"/>
          <w:sz w:val="18"/>
          <w:szCs w:val="18"/>
          <w:color w:val="auto"/>
        </w:rPr>
        <w:t>The liability associated with the contingent value rights agreement, or CVR Agreement, entered into on December 6, 2023, will be settled solely through cash flow received under the Sobi License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In-licenses</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September 2023, we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15 to our unaudited consolidated financial statements included elsewhere in this Quarterly Report.</w:t>
      </w:r>
    </w:p>
    <w:p>
      <w:pPr>
        <w:spacing w:after="0" w:line="7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Effective September 2019, we entered into a nonexclusive, worldwide license agreement, or the NCI Agreement, with the U.S. Department of Health and Human Services, represented by the National Cancer Institute of the National Institutes of Health, or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15 to our unaudited consolidated financial statements included elsewhere in this Quarterly Report.</w:t>
      </w:r>
    </w:p>
    <w:p>
      <w:pPr>
        <w:spacing w:after="0" w:line="6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In October 2021, we and Ginkgo Bioworks Holdings, Inc., or Ginkgo, entered into a Collaboration and License Agreement, or the First Ginkgo Agreement, and paid Ginkgo a $0.5 million one-time upfront payment. In June 2022, we paid $0.5 million</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and issued 29,761 shares of our common stock then-valued at $1.0 million to Ginkgo for the achievement of certain preclinical milestones under the First Ginkgo Agreement. In January 2022, we entered into a Collaboration and License Agreement, or the Second Ginkgo Agreement, and paid Ginkgo a $1.5 million one-time upfront payment. In July 2023, we paid $1.0 million and issued 44,642 shares of our common stock then-valued at $1.5 million to Ginkgo for the achievement of certain preclinical milestones under the Second Ginkgo Agreement. For further description of the First Ginkgo Agreement and the Second Ginkgo Agreement, see Note 15 to our unaudited consolidated financial statements included elsewhere in this Quarterly Report.</w:t>
      </w:r>
    </w:p>
    <w:p>
      <w:pPr>
        <w:spacing w:after="0" w:line="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Additionally, in October 2021, we entered into an Exclusive License Agreement with Genovis, or the Genovis Agreement, and paid Genovis a $4.0 million one-time upfront payment. In February 2023, as a result of the sublicense of Xork to Astellas, we made a $4.0 million payment to Genovis. In March 2024, we informed Genovis of our intent to terminate the Genovis Agreement, effective September 13, 2024. For further description of the Genovis Agreement, see Note 15 to our unaudited consolidated financial statements included elsewhere in this Quarterly Report.</w:t>
      </w:r>
    </w:p>
    <w:p>
      <w:pPr>
        <w:spacing w:after="0" w:line="72"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On September 7, 2021, we entered into a Collaboration and License Agreement, or the Cyrus Agreement, with Cyrus Biotechnology, Inc., or Cyrus, and purchased 2,326,934 shares of Cyrus’ Series B Preferred Stock, par value $0.0001 per share at a purchase price of $0.8595 per share for an aggregate purchase price of $2.0 million. In October 2023, we notified Cyrus of our termination of the Cyrus Agreement, effective December 29, 2023. For further description of the Cyrus Agreement, see Note 15 to our unaudited consolidated financial statements included elsewhere in this Quarterly Report.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Out-licenses</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January 2023, we entered into the Astellas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 million upfront payment and are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 In March 2024, we were notified by Astellas of their intention to terminate the Astellas Agreement, effective June 6, 2024. For further description of the Astellas Agreement, see Note 13 to our unaudited consolidated financial statements included elsewhere in this Quarterly Report.</w:t>
      </w:r>
    </w:p>
    <w:p>
      <w:pPr>
        <w:spacing w:after="0" w:line="8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October 1, 2021, we entered into a License Agreement, or the Takeda Agreement, with Takeda Pharmaceuticals USA, Inc., or Takeda. We received a $3.0 million upfront payment and were entitled to receive up to $1.124 billion in future additional payments over the course of the partnership that were contingent on the achievement of development or commercial milestones or Takeda’s election to continue its activities at specified development stages. The Takeda Agreement was terminated effective July 25, 2023. For further description of the Takeda Agreement, see Note 13 to our unaudited consolidated financial statements included elsewhere in this Quarterly Report.</w:t>
      </w:r>
    </w:p>
    <w:p>
      <w:pPr>
        <w:spacing w:after="0" w:line="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June 2020, we entered into the Sobi License. Sobi paid us a one-time, upfront payment of $75 million, and upon the closing of a private placement of our common stock to Sobi at a price of $138.468 per share, we received an additional $25 million from Sobi. We are eligible to receive $630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In July 2022, we received $10.0 million for the completion of the enrollment of the DISSOLVE II trial. Proceeds from milestone payments and royalties on sales of SEL-212, if any, are required to be distributed, net of certain agreed deductions, to holders of the CVRs. For further description of the Sobi License, see Note 13 to our unaudited consolidated financial statements included elsewhere in this Quarterly Report.</w:t>
      </w:r>
    </w:p>
    <w:p>
      <w:pPr>
        <w:spacing w:after="0" w:line="84"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Additionally, in June 2020, we and Sarepta Therapeutics, Inc., or Sarepta, entered into a Research License and Option Agreement, or the Sarepta Agreement. Sarepta paid us a $2.0 million upfront payment upon closing and $3.0 million for the achievement of certain pre-clinical milestones in June 2021. In August 2022, we received a payment of $2.0 million in exchange for a nine-month extension to Sarepta's options to both Duchenne muscular dystrophy and certain limb-girdle muscular dystrophies and a payment of $4.0 million for the achievement of certain non-clinical milestones. In March 2023, we were notified by Sarepta that Sarepta would not be exercising its exclusive option under the Sarepta Agreement. The Sarepta Agreement terminated upon the expiration of the option in March 2023. For further description of the Sarepta Agreement, see Note 13 to our unaudited consolidated financial statements included elsewhere in this Quarterly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121" w:lineRule="exact"/>
        <w:rPr>
          <w:sz w:val="20"/>
          <w:szCs w:val="20"/>
          <w:color w:val="auto"/>
        </w:rPr>
      </w:pPr>
    </w:p>
    <w:p>
      <w:pPr>
        <w:ind w:right="80" w:firstLine="324"/>
        <w:spacing w:after="0" w:line="246" w:lineRule="auto"/>
        <w:rPr>
          <w:sz w:val="20"/>
          <w:szCs w:val="20"/>
          <w:color w:val="auto"/>
        </w:rPr>
      </w:pPr>
      <w:r>
        <w:rPr>
          <w:rFonts w:ascii="Times New Roman" w:cs="Times New Roman" w:eastAsia="Times New Roman" w:hAnsi="Times New Roman"/>
          <w:sz w:val="18"/>
          <w:szCs w:val="18"/>
          <w:color w:val="auto"/>
        </w:rPr>
        <w:t>On October 25, 2021, we entered into a Sales Agreement, or the 2021 Sales Agreement, with Leerink Partners LLC, or Leerink Partners (and then known as SVB Leerink LLC), to sell shares of our common stock, from time to time, through an “at the market” equity offering program under which Leerink Partners will act as sales agent. The shares of common stock sold pursuant to the 2021 Sales Agreement, if any, would be issued and sold pursuant to a registration statement filed with the Securities and Exchange Commission, or SEC, for remaining aggregate gross sales proceeds of up to $51.0 million.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the year ended December 31, 2023, we sold no shares of our common stock pursuant to the 2021 Sales Agreement. During the year ended December 31, 2022, we sold 25,818 shares of our common stock pursuant to the 2021 Sales Agreement for aggregate net proceeds of $2.1 million, after deducting commissions and other transaction costs.</w:t>
      </w:r>
    </w:p>
    <w:p>
      <w:pPr>
        <w:spacing w:after="0" w:line="54" w:lineRule="exact"/>
        <w:rPr>
          <w:sz w:val="20"/>
          <w:szCs w:val="20"/>
          <w:color w:val="auto"/>
        </w:rPr>
      </w:pPr>
    </w:p>
    <w:p>
      <w:pPr>
        <w:ind w:right="80" w:firstLine="324"/>
        <w:spacing w:after="0"/>
        <w:rPr>
          <w:sz w:val="20"/>
          <w:szCs w:val="20"/>
          <w:color w:val="auto"/>
        </w:rPr>
      </w:pPr>
      <w:r>
        <w:rPr>
          <w:rFonts w:ascii="Times New Roman" w:cs="Times New Roman" w:eastAsia="Times New Roman" w:hAnsi="Times New Roman"/>
          <w:sz w:val="18"/>
          <w:szCs w:val="18"/>
          <w:color w:val="auto"/>
        </w:rPr>
        <w:t>On November 13, 2023, we entered into the Securities Purchase Agreement with (i) Dr. Timothy A. Springer, a member of our Board of Directors; (ii) TAS Partners LLC, an affiliate of Dr. Springer, and (iii) Seven One Eight Three Four Irrevocable Trust, a trust associated with Dr. Murat Kalayoglu, a co-founder and the former chief executive officer of Old Cartesian, who joined our Board of Directors effective immediately after the effective time of the Merger, providing for the November 2023 Private Placement. In the November 2023 Private Placement, we issued and sold an aggregate of 149,330.115 shares of Series A Preferred Stock for an aggregate purchase price of $60.25 million, of which 50,189.789 shares of Series A Preferred Stock were issued and sold in the year ended December 31, 2023 for gross proceeds of $20.25 million, and 99,140.326 shares of Series A Preferred Stock were issued and sold during the three months ended March 31, 2024 for gross proceeds of $40.0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previously maintained a term loan of up to $35.0 million, of which $25.0 million was funded in August 2020. In September 2023, we entered into a payoff letter with Oxford Finance LLC and Silicon Valley Bank, a division of First-Citizens Bank &amp; Trust Company (successor by purchase to the Federal Deposit Insurance Corporation as Receiver for SVBB (as successor to Silicon Valley Bank)), the lenders under the term loan, pursuant to which we paid all outstanding amounts under such term loan, together with accrued interest and a prepayment penalty, resulting in the full extinguishment of such term loan. The total payoff amount was $22.3 million, consisting of the remaining principal amount due of $19.8 million, the final payment fee of $2.3 million, the prepayment penalty of $0.2 million, and less than $0.1 million of accrued interest.</w:t>
      </w:r>
    </w:p>
    <w:p>
      <w:pPr>
        <w:spacing w:after="0" w:line="7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If in the future we seek debt financing, the terms of such debt could restrict our operating and financial flexibility by imposing liens on our assets and covenants on the operation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8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we had an accumulated deficit of $671.5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7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7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March 31, 2024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curtail, delay, or discontinue one or more of our planned research or development programs or be unable to expand our operations, meet long-term obligations or otherwise capitalize on our commercialization of our product candidates.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our clinical trials, preclinical development, manufacturing, laboratory testing and logistics;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product candidates that we pursue and the speed with which we pursue development;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headcount growth and associated costs;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timing and outcome of regulatory review of our product candidates;</w:t>
      </w:r>
    </w:p>
    <w:p>
      <w:pPr>
        <w:spacing w:after="0" w:line="117"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revenue, if any,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231F20"/>
        </w:rPr>
      </w:pPr>
    </w:p>
    <w:p>
      <w:pPr>
        <w:ind w:left="660" w:right="600" w:hanging="328"/>
        <w:spacing w:after="0" w:line="282" w:lineRule="auto"/>
        <w:tabs>
          <w:tab w:leader="none" w:pos="655"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 of competing technological and market developments; and</w:t>
      </w:r>
    </w:p>
    <w:p>
      <w:pPr>
        <w:spacing w:after="0" w:line="117" w:lineRule="exact"/>
        <w:rPr>
          <w:rFonts w:ascii="Times New Roman" w:cs="Times New Roman" w:eastAsia="Times New Roman" w:hAnsi="Times New Roman"/>
          <w:sz w:val="18"/>
          <w:szCs w:val="18"/>
          <w:color w:val="231F20"/>
        </w:rPr>
      </w:pPr>
    </w:p>
    <w:p>
      <w:pPr>
        <w:ind w:left="660" w:right="120" w:hanging="328"/>
        <w:spacing w:after="0" w:line="282" w:lineRule="auto"/>
        <w:tabs>
          <w:tab w:leader="none" w:pos="655"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we acquire or invest in businesses, products and technologies, including entering into licensing or collaboration arrangements for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2024 and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(used in) and provided by:</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2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activities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(8,765)</w:t>
            </w:r>
          </w:p>
        </w:tc>
        <w:tc>
          <w:tcPr>
            <w:tcW w:w="0" w:type="dxa"/>
            <w:vAlign w:val="bottom"/>
          </w:tcPr>
          <w:p>
            <w:pPr>
              <w:spacing w:after="0"/>
              <w:rPr>
                <w:sz w:val="1"/>
                <w:szCs w:val="1"/>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28,124</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19,487</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$15.9 million compared to $8.8 million for the three months ended March 31, 2023. The increase in net cash used in operating activities of $7.1 million was primarily due to $9.5 million of net loss, adjusted for non-cash items, and approximately $6.4 million cash used in changes in operating assets and liabilities.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$0.6 million compared to net cash provided by investing activities of $28.1 million for the three months ended March 31, 2023, a decrease of $28.7 million. The net cash used in investing activities for the three months ended March 31, 2024 consisted primarily of purchases of property and equipment. The net cash provided by investing activities for the three months ended March 31, 2023 was primarily proceeds from the maturities of marketable securities offset by purchases of property and equipment.</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$43.0 million compared to net cash provided by financing activities of $0.1 million for the three months ended March 31, 2023, an increase of $42.9 million. The net cash provided by financing activities in the three months ended March 31, 2024 was primarily the result of proceeds of the November 2023 Private Placement. The net cash provided by financing activities in the three months ended March 31, 2023 was primarily the result of proceeds from issuance of common stock under the 2016 Employee Stock Purchase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or issued accounting pronouncements please see Note 2 to our unaudited consolidated financial statements included elsewhere in this Quarterly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we did not have any off-balance sheet arrangements as defined in the rules and regulations of the SEC.</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months ended March 31, 2024, there were no material changes to our critical accounting policies from those described in our Annual Report on Form 10-K for the year ended December 31,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21"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March 31, 2024 and December 31, 2023, we had cash, cash equivalents, and restricted cash of $104.8 million and $78.3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policy to hold marketable securities to maturity, an immediate 100 basis point change in interest rates would not have a material effect on the fair market value of our cash equivalents or short-term marketable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not effective at the reasonable assurance level as of March 31, 2024 because of the material weakness in internal control over financial reporting discussed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result of its review of the internal control procedures for the year ended December 31, 2023, management identified a material weakness. 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 There are no material accounting errors or omissions within the consolidated financial statements as a result of this material weakness. Management concluded that it did not design and implement effective internal controls specifically related to the documentation of the assumptions supporting the valuation of the in-process intangible assets in connection with the Old Cartesian material business combination and the initial and ongoing contingent value right obligation issued at the time to legacy Selecta stockholders. This includes a lack of sufficient documentation to provide evidence of the associated management review controls.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Plans for Material Weakness in Internal Control over Financial Reporting</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committed to maintaining a strong internal control environment. In response to the identified material weakness above, we, with the oversight of the Audit Committee, intend to take comprehensive actions to remediate the material weakness in internal control over financial reporting. We expect to re-evaluate the scope and level of precision for conducting and documenting the reviews over significant acquisitions and contingent value rights including the review of prospective financial information used in valuation reports produced by third-party specialists supporting the accounting for business combinations and contingent value rights. The remediation efforts are intended both to address the identified material weakness and to enhance our overall financial control environment.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February 7, 2024, Justin Sloan, a purported stockholder of our Company, filed a putative class action on behalf of himself and similarly situated stockholders of our Company against us and members of our Board of Directors in the Court of Chancery of the State of Delaware, titled Sloan v. Barabe, et al., No. 2024-0105. The complaint alleges that the individual defendants breached their fiduciary duties by failing to disclose purportedly material information to our stockholders in our Preliminary Proxy Statement filed on January 31, 2024 in connection with the solicitation of stockholder approval of the Conversion Proposal. The complaint seeks a temporary injunction against the stockholder vote on the Conversion Proposal, compensatory damages, pre- and post-judgment interest, and attorneys’ fees and costs. At a telephonic hearing on February 28, 2024, the Court denied the Plaintiff’s motion to expedite the proceedings, rejecting Plaintiff's argument that the lawsuit raised colorable disclosure claims warranting expedited treatment. The action was subsequently dismissed on March 13, 2024.</w:t>
      </w:r>
    </w:p>
    <w:p>
      <w:pPr>
        <w:spacing w:after="0" w:line="8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February 21, 2024, Paul Wymer, a purported stockholder of our Company, filed an action against us and members of our Board of Directors in the U.S. District Court for the Southern District of New York, titled Wymer v. Cartesian Therapeutics, Inc., et al., No. 24-cv-01288. The complaint alleges that the defendants violated Sections 14(a) and 20(a) of the Exchange Act by failing to disclose purportedly material information to our stockholders in our Preliminary and Definitive Proxy Statements filed on January 31, 2024, and February 14, 2024, respectively, in connection with the solicitation of stockholder approval of the Conversion Proposal. The complaint seeks injunctive relief enjoining or rescinding the Merger, issuance of an amended proxy statement, and attorneys' fees and costs. This action was voluntarily dismissed on March 11, 2024.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See the risk factors previously disclosed in Item 1A of our Annual Report on Form 10-K for the year ended December 31, 2023. There have been no material changes from the risk factors previously disclosed in such filings.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During the quarter ended March 31, 2024, no director or officer adopted or terminated any contract, instrument or written plan for the purchase or sale of Cartesian securities intended to satisfy the affirmative defense conditions of Rule 10b5-1(c) under the Exchange Act or any non-Rule 10b5-1 trading arrangement as defined in Item 408(c) of Regulation S-K.</w:t>
      </w:r>
    </w:p>
    <w:p>
      <w:pPr>
        <w:spacing w:after="0" w:line="8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Effective May 7, 2024, the Company and the Landlord entered into the Amendment providing for the expansion of the premises leased pursuant to the Frederick Lease Agreement by approximately 7,842 square feet. In connection with the expansion of the leased premises, the Company will be obligated to pay $0.3 million in additional annual base rent for the first year of the term, which is subject to an annual upward adjustment of 3% of the then-current rental rate.</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13"/>
          </w:tcPr>
          <w:p>
            <w:pPr>
              <w:ind w:left="3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960" w:type="dxa"/>
            <w:vAlign w:val="bottom"/>
            <w:gridSpan w:val="9"/>
          </w:tcPr>
          <w:p>
            <w:pPr>
              <w:jc w:val="center"/>
              <w:ind w:right="380"/>
              <w:spacing w:after="0" w:line="16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5560" w:type="dxa"/>
            <w:vAlign w:val="bottom"/>
            <w:gridSpan w:val="18"/>
            <w:vMerge w:val="restart"/>
          </w:tcPr>
          <w:p>
            <w:pPr>
              <w:ind w:left="20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14"/>
                <w:szCs w:val="14"/>
                <w:color w:val="auto"/>
              </w:rPr>
            </w:pPr>
          </w:p>
        </w:tc>
        <w:tc>
          <w:tcPr>
            <w:tcW w:w="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Filing</w:t>
            </w:r>
          </w:p>
        </w:tc>
        <w:tc>
          <w:tcPr>
            <w:tcW w:w="0" w:type="dxa"/>
            <w:vAlign w:val="bottom"/>
          </w:tcPr>
          <w:p>
            <w:pPr>
              <w:spacing w:after="0"/>
              <w:rPr>
                <w:sz w:val="1"/>
                <w:szCs w:val="1"/>
                <w:color w:val="auto"/>
              </w:rPr>
            </w:pPr>
          </w:p>
        </w:tc>
      </w:tr>
      <w:tr>
        <w:trPr>
          <w:trHeight w:val="243"/>
        </w:trPr>
        <w:tc>
          <w:tcPr>
            <w:tcW w:w="1220" w:type="dxa"/>
            <w:vAlign w:val="bottom"/>
            <w:gridSpan w:val="10"/>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560" w:type="dxa"/>
            <w:vAlign w:val="bottom"/>
            <w:gridSpan w:val="18"/>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83"/>
        </w:trPr>
        <w:tc>
          <w:tcPr>
            <w:tcW w:w="760" w:type="dxa"/>
            <w:vAlign w:val="bottom"/>
            <w:tcBorders>
              <w:top w:val="single" w:sz="8" w:color="auto"/>
            </w:tcBorders>
            <w:gridSpan w:val="7"/>
          </w:tcPr>
          <w:p>
            <w:pPr>
              <w:jc w:val="center"/>
              <w:ind w:left="270"/>
              <w:spacing w:after="0" w:line="18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w:t>
            </w: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560" w:type="dxa"/>
            <w:vAlign w:val="bottom"/>
            <w:tcBorders>
              <w:top w:val="single" w:sz="8" w:color="auto"/>
            </w:tcBorders>
            <w:gridSpan w:val="18"/>
          </w:tcPr>
          <w:p>
            <w:pPr>
              <w:spacing w:after="0" w:line="18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Agreement and Plan of Merger, dated November 13, 2023, by and among</w:t>
              </w:r>
            </w:hyperlink>
          </w:p>
        </w:tc>
        <w:tc>
          <w:tcPr>
            <w:tcW w:w="120" w:type="dxa"/>
            <w:vAlign w:val="bottom"/>
          </w:tcPr>
          <w:p>
            <w:pPr>
              <w:spacing w:after="0"/>
              <w:rPr>
                <w:sz w:val="15"/>
                <w:szCs w:val="15"/>
                <w:color w:val="auto"/>
              </w:rPr>
            </w:pPr>
          </w:p>
        </w:tc>
        <w:tc>
          <w:tcPr>
            <w:tcW w:w="780" w:type="dxa"/>
            <w:vAlign w:val="bottom"/>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Selecta Biosciences, Inc., Sakura Merger Sub I, Inc., Sakura Merger Sub</w:t>
              </w:r>
            </w:hyperlink>
          </w:p>
        </w:tc>
        <w:tc>
          <w:tcPr>
            <w:tcW w:w="260" w:type="dxa"/>
            <w:vAlign w:val="bottom"/>
            <w:gridSpan w:val="5"/>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II,</w:t>
              </w:r>
            </w:hyperlink>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LLC, and Cartesian Therapeutics, Inc.</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8"/>
          </w:tcPr>
          <w:p>
            <w:pPr>
              <w:jc w:val="center"/>
              <w:ind w:right="460"/>
              <w:spacing w:after="0"/>
              <w:rPr>
                <w:rFonts w:ascii="Times New Roman" w:cs="Times New Roman" w:eastAsia="Times New Roman" w:hAnsi="Times New Roman"/>
                <w:sz w:val="18"/>
                <w:szCs w:val="18"/>
                <w:color w:val="0000FF"/>
                <w:w w:val="94"/>
              </w:rPr>
            </w:pPr>
            <w:hyperlink r:id="rId58">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1(a)</w:t>
              </w:r>
            </w:hyperlink>
          </w:p>
        </w:tc>
        <w:tc>
          <w:tcPr>
            <w:tcW w:w="5560" w:type="dxa"/>
            <w:vAlign w:val="bottom"/>
            <w:gridSpan w:val="18"/>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Restated Certificate of Incorporation of Selecta Biosciences, Inc.</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6/29/2016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960" w:type="dxa"/>
            <w:vAlign w:val="bottom"/>
            <w:gridSpan w:val="9"/>
          </w:tcPr>
          <w:p>
            <w:pPr>
              <w:jc w:val="center"/>
              <w:ind w:right="360"/>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1(b)</w:t>
              </w:r>
            </w:hyperlink>
          </w:p>
        </w:tc>
        <w:tc>
          <w:tcPr>
            <w:tcW w:w="5560" w:type="dxa"/>
            <w:vAlign w:val="bottom"/>
            <w:gridSpan w:val="18"/>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Certificate of Amendment to the Restated Certificate of Incorporation of</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6/21/2022</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Selecta Biosciences, Inc., dated June 21, 2022</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FF"/>
            </w:tcBorders>
            <w:gridSpan w:val="3"/>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8"/>
          </w:tcPr>
          <w:p>
            <w:pPr>
              <w:jc w:val="center"/>
              <w:ind w:right="460"/>
              <w:spacing w:after="0"/>
              <w:rPr>
                <w:rFonts w:ascii="Times New Roman" w:cs="Times New Roman" w:eastAsia="Times New Roman" w:hAnsi="Times New Roman"/>
                <w:sz w:val="18"/>
                <w:szCs w:val="18"/>
                <w:color w:val="0000FF"/>
                <w:w w:val="94"/>
              </w:rPr>
            </w:pPr>
            <w:hyperlink r:id="rId60">
              <w:r>
                <w:rPr>
                  <w:rFonts w:ascii="Times New Roman" w:cs="Times New Roman" w:eastAsia="Times New Roman" w:hAnsi="Times New Roman"/>
                  <w:sz w:val="18"/>
                  <w:szCs w:val="18"/>
                  <w:color w:val="0000FF"/>
                  <w:w w:val="94"/>
                </w:rPr>
                <w:t>3.</w:t>
              </w:r>
              <w:r>
                <w:rPr>
                  <w:rFonts w:ascii="Times New Roman" w:cs="Times New Roman" w:eastAsia="Times New Roman" w:hAnsi="Times New Roman"/>
                  <w:sz w:val="18"/>
                  <w:szCs w:val="18"/>
                  <w:u w:val="single" w:color="auto"/>
                  <w:color w:val="0000FF"/>
                  <w:w w:val="94"/>
                </w:rPr>
                <w:t>1(c)</w:t>
              </w:r>
            </w:hyperlink>
          </w:p>
        </w:tc>
        <w:tc>
          <w:tcPr>
            <w:tcW w:w="5560" w:type="dxa"/>
            <w:vAlign w:val="bottom"/>
            <w:gridSpan w:val="18"/>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Certificate of Amendment to the Restated Certificate of Incorporation of</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Selecta Biosciences, Inc., dated November 13, 2023</w:t>
              </w:r>
            </w:hyperlink>
          </w:p>
        </w:tc>
        <w:tc>
          <w:tcPr>
            <w:tcW w:w="146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960" w:type="dxa"/>
            <w:vAlign w:val="bottom"/>
            <w:gridSpan w:val="9"/>
          </w:tcPr>
          <w:p>
            <w:pPr>
              <w:jc w:val="center"/>
              <w:ind w:right="360"/>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1(d)</w:t>
              </w:r>
            </w:hyperlink>
          </w:p>
        </w:tc>
        <w:tc>
          <w:tcPr>
            <w:tcW w:w="5560" w:type="dxa"/>
            <w:vAlign w:val="bottom"/>
            <w:gridSpan w:val="18"/>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Certificate of Amendment to the Restated Certificate of Incorporation, as</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amended, of Cartesian Therapeutics, Inc., dated March 28, 2024.</w:t>
              </w:r>
            </w:hyperlink>
          </w:p>
        </w:tc>
        <w:tc>
          <w:tcPr>
            <w:tcW w:w="58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 w:type="dxa"/>
            <w:vAlign w:val="bottom"/>
            <w:gridSpan w:val="4"/>
          </w:tcPr>
          <w:p>
            <w:pPr>
              <w:spacing w:after="0"/>
              <w:rPr>
                <w:sz w:val="19"/>
                <w:szCs w:val="19"/>
                <w:color w:val="auto"/>
              </w:rPr>
            </w:pPr>
          </w:p>
        </w:tc>
        <w:tc>
          <w:tcPr>
            <w:tcW w:w="220" w:type="dxa"/>
            <w:vAlign w:val="bottom"/>
            <w:tcBorders>
              <w:bottom w:val="single" w:sz="8" w:color="0000FF"/>
            </w:tcBorders>
            <w:gridSpan w:val="2"/>
          </w:tcPr>
          <w:p>
            <w:pPr>
              <w:jc w:val="center"/>
              <w:spacing w:after="0"/>
              <w:rPr>
                <w:rFonts w:ascii="Times New Roman" w:cs="Times New Roman" w:eastAsia="Times New Roman" w:hAnsi="Times New Roman"/>
                <w:sz w:val="18"/>
                <w:szCs w:val="18"/>
                <w:color w:val="0000FF"/>
                <w:w w:val="97"/>
              </w:rPr>
            </w:pPr>
            <w:hyperlink r:id="rId6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Amended and Restated By-laws of Cartesian Therapeutics, Inc.</w:t>
              </w:r>
            </w:hyperlink>
          </w:p>
        </w:tc>
        <w:tc>
          <w:tcPr>
            <w:tcW w:w="980" w:type="dxa"/>
            <w:vAlign w:val="bottom"/>
            <w:gridSpan w:val="9"/>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8"/>
          </w:tcPr>
          <w:p>
            <w:pPr>
              <w:jc w:val="center"/>
              <w:ind w:right="460"/>
              <w:spacing w:after="0"/>
              <w:rPr>
                <w:rFonts w:ascii="Times New Roman" w:cs="Times New Roman" w:eastAsia="Times New Roman" w:hAnsi="Times New Roman"/>
                <w:sz w:val="18"/>
                <w:szCs w:val="18"/>
                <w:color w:val="0000FF"/>
                <w:w w:val="94"/>
              </w:rPr>
            </w:pPr>
            <w:hyperlink r:id="rId63">
              <w:r>
                <w:rPr>
                  <w:rFonts w:ascii="Times New Roman" w:cs="Times New Roman" w:eastAsia="Times New Roman" w:hAnsi="Times New Roman"/>
                  <w:sz w:val="18"/>
                  <w:szCs w:val="18"/>
                  <w:color w:val="0000FF"/>
                  <w:w w:val="94"/>
                </w:rPr>
                <w:t>4.</w:t>
              </w:r>
              <w:r>
                <w:rPr>
                  <w:rFonts w:ascii="Times New Roman" w:cs="Times New Roman" w:eastAsia="Times New Roman" w:hAnsi="Times New Roman"/>
                  <w:sz w:val="18"/>
                  <w:szCs w:val="18"/>
                  <w:u w:val="single" w:color="auto"/>
                  <w:color w:val="0000FF"/>
                  <w:w w:val="94"/>
                </w:rPr>
                <w:t>1(a)</w:t>
              </w:r>
            </w:hyperlink>
          </w:p>
        </w:tc>
        <w:tc>
          <w:tcPr>
            <w:tcW w:w="5560" w:type="dxa"/>
            <w:vAlign w:val="bottom"/>
            <w:gridSpan w:val="18"/>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Certificate of Designation of Preferences, Rights and Limitations of Series</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A Non-Voting Convertible Preferred Stock</w:t>
              </w:r>
            </w:hyperlink>
          </w:p>
        </w:tc>
        <w:tc>
          <w:tcPr>
            <w:tcW w:w="2280" w:type="dxa"/>
            <w:vAlign w:val="bottom"/>
            <w:tcBorders>
              <w:top w:val="single" w:sz="8" w:color="0000FF"/>
            </w:tcBorders>
            <w:gridSpan w:val="12"/>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960" w:type="dxa"/>
            <w:vAlign w:val="bottom"/>
            <w:gridSpan w:val="9"/>
          </w:tcPr>
          <w:p>
            <w:pPr>
              <w:jc w:val="center"/>
              <w:ind w:right="360"/>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1(b)</w:t>
              </w:r>
            </w:hyperlink>
          </w:p>
        </w:tc>
        <w:tc>
          <w:tcPr>
            <w:tcW w:w="5560" w:type="dxa"/>
            <w:vAlign w:val="bottom"/>
            <w:gridSpan w:val="18"/>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Amendment to the Certificate of Designation of Series A Non-</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Voting Convertible Preferred Stock, dated March 26, 2024.</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gridSpan w:val="7"/>
          </w:tcPr>
          <w:p>
            <w:pPr>
              <w:jc w:val="center"/>
              <w:ind w:left="270"/>
              <w:spacing w:after="0"/>
              <w:rPr>
                <w:rFonts w:ascii="Times New Roman" w:cs="Times New Roman" w:eastAsia="Times New Roman" w:hAnsi="Times New Roman"/>
                <w:sz w:val="18"/>
                <w:szCs w:val="18"/>
                <w:color w:val="0000FF"/>
                <w:w w:val="98"/>
              </w:rPr>
            </w:pPr>
            <w:hyperlink r:id="rId6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hyperlink>
            <w:r>
              <w:rPr>
                <w:rFonts w:ascii="Times New Roman" w:cs="Times New Roman" w:eastAsia="Times New Roman" w:hAnsi="Times New Roman"/>
                <w:sz w:val="18"/>
                <w:szCs w:val="18"/>
                <w:color w:val="000000"/>
                <w:w w:val="98"/>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60" w:type="dxa"/>
            <w:vAlign w:val="bottom"/>
            <w:gridSpan w:val="18"/>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Employment Agreement, dated as of March 26, 2024, by and between the</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4/1/2024</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Registrant and Christopher Jewell, Ph.D.</w:t>
              </w:r>
            </w:hyperlink>
          </w:p>
        </w:tc>
        <w:tc>
          <w:tcPr>
            <w:tcW w:w="2360" w:type="dxa"/>
            <w:vAlign w:val="bottom"/>
            <w:tcBorders>
              <w:top w:val="single" w:sz="8" w:color="0000FF"/>
            </w:tcBorders>
            <w:gridSpan w:val="12"/>
          </w:tcPr>
          <w:p>
            <w:pPr>
              <w:spacing w:after="0"/>
              <w:rPr>
                <w:sz w:val="13"/>
                <w:szCs w:val="13"/>
                <w:color w:val="auto"/>
              </w:rPr>
            </w:pPr>
          </w:p>
        </w:tc>
        <w:tc>
          <w:tcPr>
            <w:tcW w:w="240" w:type="dxa"/>
            <w:vAlign w:val="bottom"/>
            <w:gridSpan w:val="4"/>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gridSpan w:val="7"/>
          </w:tcPr>
          <w:p>
            <w:pPr>
              <w:jc w:val="center"/>
              <w:ind w:left="270"/>
              <w:spacing w:after="0"/>
              <w:rPr>
                <w:rFonts w:ascii="Times New Roman" w:cs="Times New Roman" w:eastAsia="Times New Roman" w:hAnsi="Times New Roman"/>
                <w:sz w:val="18"/>
                <w:szCs w:val="18"/>
                <w:color w:val="0000FF"/>
                <w:w w:val="98"/>
              </w:rPr>
            </w:pPr>
            <w:hyperlink r:id="rId6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w:t>
              </w:r>
            </w:hyperlink>
            <w:r>
              <w:rPr>
                <w:rFonts w:ascii="Times New Roman" w:cs="Times New Roman" w:eastAsia="Times New Roman" w:hAnsi="Times New Roman"/>
                <w:sz w:val="18"/>
                <w:szCs w:val="18"/>
                <w:color w:val="000000"/>
                <w:w w:val="98"/>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60" w:type="dxa"/>
            <w:vAlign w:val="bottom"/>
            <w:gridSpan w:val="18"/>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Employment Agreement, dated as of March 28, 2024, by and between the</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4/1/2024</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Registrant and Metin Kurtoglu, M.D., Ph.D.</w:t>
              </w:r>
            </w:hyperlink>
          </w:p>
        </w:tc>
        <w:tc>
          <w:tcPr>
            <w:tcW w:w="2120" w:type="dxa"/>
            <w:vAlign w:val="bottom"/>
            <w:tcBorders>
              <w:top w:val="single" w:sz="8" w:color="0000FF"/>
            </w:tcBorders>
            <w:gridSpan w:val="10"/>
          </w:tcPr>
          <w:p>
            <w:pPr>
              <w:spacing w:after="0"/>
              <w:rPr>
                <w:sz w:val="13"/>
                <w:szCs w:val="13"/>
                <w:color w:val="auto"/>
              </w:rPr>
            </w:pPr>
          </w:p>
        </w:tc>
        <w:tc>
          <w:tcPr>
            <w:tcW w:w="240" w:type="dxa"/>
            <w:vAlign w:val="bottom"/>
            <w:gridSpan w:val="4"/>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20" w:type="dxa"/>
            <w:vAlign w:val="bottom"/>
            <w:gridSpan w:val="10"/>
          </w:tcPr>
          <w:p>
            <w:pPr>
              <w:jc w:val="center"/>
              <w:ind w:right="100"/>
              <w:spacing w:after="0"/>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3(a)</w:t>
              </w:r>
            </w:hyperlink>
            <w:r>
              <w:rPr>
                <w:rFonts w:ascii="Times New Roman" w:cs="Times New Roman" w:eastAsia="Times New Roman" w:hAnsi="Times New Roman"/>
                <w:sz w:val="18"/>
                <w:szCs w:val="18"/>
                <w:color w:val="000000"/>
                <w:w w:val="99"/>
              </w:rPr>
              <w:t>†</w:t>
            </w:r>
          </w:p>
        </w:tc>
        <w:tc>
          <w:tcPr>
            <w:tcW w:w="5560" w:type="dxa"/>
            <w:vAlign w:val="bottom"/>
            <w:gridSpan w:val="18"/>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Lease Agreement by and between 7495 RP, LLC and Cartesian</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3/7/2024</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Therapeutics, Inc. dated February 28, 2024</w:t>
              </w:r>
            </w:hyperlink>
          </w:p>
        </w:tc>
        <w:tc>
          <w:tcPr>
            <w:tcW w:w="1000" w:type="dxa"/>
            <w:vAlign w:val="bottom"/>
            <w:gridSpan w:val="10"/>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220" w:right="180" w:hanging="979"/>
        <w:spacing w:after="0" w:line="237"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10.3(b)</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u w:val="single" w:color="auto"/>
          <w:color w:val="0000FF"/>
        </w:rPr>
        <w:t>First Amendment to Lease Agreement by and between 7495 RP, LLC and Cartesian Therapeutics, Inc. dated May 7, 2024</w:t>
      </w:r>
    </w:p>
    <w:p>
      <w:pPr>
        <w:spacing w:after="0" w:line="10" w:lineRule="exact"/>
        <w:rPr>
          <w:sz w:val="20"/>
          <w:szCs w:val="20"/>
          <w:color w:val="auto"/>
        </w:rPr>
      </w:pPr>
    </w:p>
    <w:p>
      <w:pPr>
        <w:ind w:left="1220" w:hanging="829"/>
        <w:spacing w:after="0" w:line="222"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Rule 13a-14(a) or Rule 15d-14(a) of the Securities Exchange Act of 1934, as adopted pursuant</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0000FF"/>
        </w:rPr>
        <w:t>to Section 302 of the Sarbanes-Oxley Act of 2002</w:t>
      </w:r>
    </w:p>
    <w:p>
      <w:pPr>
        <w:spacing w:after="0" w:line="7" w:lineRule="exact"/>
        <w:rPr>
          <w:sz w:val="20"/>
          <w:szCs w:val="20"/>
          <w:color w:val="auto"/>
        </w:rPr>
      </w:pPr>
    </w:p>
    <w:p>
      <w:pPr>
        <w:ind w:left="1220" w:hanging="829"/>
        <w:spacing w:after="0" w:line="220"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pursuant to Rule 13a-14(a) or Rule 15d-14(a) of the Securities Exchange Act of 1934, as adopted pursuant</w:t>
      </w:r>
    </w:p>
    <w:p>
      <w:pPr>
        <w:ind w:left="1220"/>
        <w:spacing w:after="0"/>
        <w:rPr>
          <w:sz w:val="20"/>
          <w:szCs w:val="20"/>
          <w:color w:val="auto"/>
        </w:rPr>
      </w:pPr>
      <w:r>
        <w:rPr>
          <w:rFonts w:ascii="Times New Roman" w:cs="Times New Roman" w:eastAsia="Times New Roman" w:hAnsi="Times New Roman"/>
          <w:sz w:val="18"/>
          <w:szCs w:val="18"/>
          <w:u w:val="single" w:color="auto"/>
          <w:color w:val="0000FF"/>
        </w:rPr>
        <w:t>to Section 302 of the Sarbanes-Oxley Act of 2002</w:t>
      </w:r>
    </w:p>
    <w:p>
      <w:pPr>
        <w:spacing w:after="0" w:line="7" w:lineRule="exact"/>
        <w:rPr>
          <w:sz w:val="20"/>
          <w:szCs w:val="20"/>
          <w:color w:val="auto"/>
        </w:rPr>
      </w:pPr>
    </w:p>
    <w:p>
      <w:pPr>
        <w:jc w:val="right"/>
        <w:ind w:left="400" w:right="100"/>
        <w:spacing w:after="0" w:line="220" w:lineRule="auto"/>
        <w:rPr>
          <w:sz w:val="20"/>
          <w:szCs w:val="20"/>
          <w:color w:val="auto"/>
        </w:rPr>
      </w:pPr>
      <w:r>
        <w:rPr>
          <w:rFonts w:ascii="Times New Roman" w:cs="Times New Roman" w:eastAsia="Times New Roman" w:hAnsi="Times New Roman"/>
          <w:sz w:val="18"/>
          <w:szCs w:val="18"/>
          <w:u w:val="single" w:color="auto"/>
          <w:color w:val="0000FF"/>
        </w:rPr>
        <w:t>32.1      Certification of Principal Executive Officer and Principal Financial Officer pursuant to 18 U.S.C. Section 1350, as adopted pursuant to Section 906 of</w:t>
      </w:r>
    </w:p>
    <w:p>
      <w:pPr>
        <w:ind w:left="1220"/>
        <w:spacing w:after="0"/>
        <w:rPr>
          <w:sz w:val="20"/>
          <w:szCs w:val="20"/>
          <w:color w:val="auto"/>
        </w:rPr>
      </w:pPr>
      <w:r>
        <w:rPr>
          <w:rFonts w:ascii="Times New Roman" w:cs="Times New Roman" w:eastAsia="Times New Roman" w:hAnsi="Times New Roman"/>
          <w:sz w:val="18"/>
          <w:szCs w:val="18"/>
          <w:u w:val="single" w:color="auto"/>
          <w:color w:val="0000FF"/>
        </w:rPr>
        <w:t>the Sarbanes-Oxley Act of 2002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6"/>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Furnished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bl>
    <w:p>
      <w:pPr>
        <w:spacing w:after="0" w:line="177" w:lineRule="exact"/>
        <w:rPr>
          <w:sz w:val="20"/>
          <w:szCs w:val="20"/>
          <w:color w:val="auto"/>
        </w:rPr>
      </w:pPr>
    </w:p>
    <w:p>
      <w:pPr>
        <w:sectPr>
          <w:pgSz w:w="11900" w:h="16838" w:orient="portrait"/>
          <w:cols w:equalWidth="0" w:num="2">
            <w:col w:w="6720" w:space="480"/>
            <w:col w:w="40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06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101.INS</w:t>
            </w:r>
          </w:p>
        </w:tc>
        <w:tc>
          <w:tcPr>
            <w:tcW w:w="5900" w:type="dxa"/>
            <w:vAlign w:val="bottom"/>
          </w:tcPr>
          <w:p>
            <w:pPr>
              <w:ind w:left="160"/>
              <w:spacing w:after="0" w:line="183"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w:t>
            </w:r>
          </w:p>
        </w:tc>
        <w:tc>
          <w:tcPr>
            <w:tcW w:w="820" w:type="dxa"/>
            <w:vAlign w:val="bottom"/>
          </w:tcPr>
          <w:p>
            <w:pPr>
              <w:jc w:val="right"/>
              <w:ind w:right="430"/>
              <w:spacing w:after="0" w:line="18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0"/>
              <w:spacing w:after="0" w:line="18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line="18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590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document)</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5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060" w:type="dxa"/>
            <w:vAlign w:val="bottom"/>
            <w:vMerge w:val="continue"/>
          </w:tcPr>
          <w:p>
            <w:pPr>
              <w:spacing w:after="0"/>
              <w:rPr>
                <w:sz w:val="19"/>
                <w:szCs w:val="19"/>
                <w:color w:val="auto"/>
              </w:rPr>
            </w:pPr>
          </w:p>
        </w:tc>
        <w:tc>
          <w:tcPr>
            <w:tcW w:w="59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5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60" w:type="dxa"/>
            <w:vAlign w:val="bottom"/>
            <w:vMerge w:val="continue"/>
          </w:tcPr>
          <w:p>
            <w:pPr>
              <w:spacing w:after="0"/>
              <w:rPr>
                <w:sz w:val="19"/>
                <w:szCs w:val="19"/>
                <w:color w:val="auto"/>
              </w:rPr>
            </w:pPr>
          </w:p>
        </w:tc>
        <w:tc>
          <w:tcPr>
            <w:tcW w:w="59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5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1060" w:type="dxa"/>
            <w:vAlign w:val="bottom"/>
          </w:tcPr>
          <w:p>
            <w:pPr>
              <w:spacing w:after="0"/>
              <w:rPr>
                <w:sz w:val="24"/>
                <w:szCs w:val="24"/>
                <w:color w:val="auto"/>
              </w:rPr>
            </w:pP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43</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60" w:type="dxa"/>
            <w:vAlign w:val="bottom"/>
            <w:vMerge w:val="continue"/>
          </w:tcPr>
          <w:p>
            <w:pPr>
              <w:spacing w:after="0"/>
              <w:rPr>
                <w:sz w:val="19"/>
                <w:szCs w:val="19"/>
                <w:color w:val="auto"/>
              </w:rPr>
            </w:pPr>
          </w:p>
        </w:tc>
        <w:tc>
          <w:tcPr>
            <w:tcW w:w="58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8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60" w:type="dxa"/>
            <w:vAlign w:val="bottom"/>
            <w:vMerge w:val="continue"/>
          </w:tcPr>
          <w:p>
            <w:pPr>
              <w:spacing w:after="0"/>
              <w:rPr>
                <w:sz w:val="15"/>
                <w:szCs w:val="15"/>
                <w:color w:val="auto"/>
              </w:rPr>
            </w:pPr>
          </w:p>
        </w:tc>
        <w:tc>
          <w:tcPr>
            <w:tcW w:w="58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 Exhibit 101)</w:t>
            </w: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6"/>
                <w:szCs w:val="6"/>
                <w:color w:val="auto"/>
              </w:rPr>
            </w:pPr>
          </w:p>
        </w:tc>
        <w:tc>
          <w:tcPr>
            <w:tcW w:w="586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8"/>
        <w:spacing w:after="0" w:line="282" w:lineRule="auto"/>
        <w:tabs>
          <w:tab w:leader="none" w:pos="1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schedules and exhibits have been omitted pursuant to Item 601(a)(5) of Regulation S-K. The Company agrees to furnish supplementally a copy of any omitted attachment to the SEC on a confidential basis upon request.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117" w:lineRule="exact"/>
        <w:rPr>
          <w:sz w:val="20"/>
          <w:szCs w:val="20"/>
          <w:color w:val="auto"/>
        </w:rPr>
      </w:pPr>
    </w:p>
    <w:p>
      <w:pPr>
        <w:ind w:right="460" w:firstLine="8"/>
        <w:spacing w:after="0" w:line="266" w:lineRule="auto"/>
        <w:tabs>
          <w:tab w:leader="none" w:pos="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exhibit, marked by brackets and asterisks, has been omitted pursuant to Item 601(b)(10)(iv) of Regulation S-K because the information (i) is not material and (ii) is the type of information that the Company both customarily and actually treats as private and confidential.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0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r>
      <w:tr>
        <w:trPr>
          <w:trHeight w:val="45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7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r>
      <w:tr>
        <w:trPr>
          <w:trHeight w:val="229"/>
        </w:trPr>
        <w:tc>
          <w:tcPr>
            <w:tcW w:w="35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President and Chief Executive Officer, and Director</w:t>
            </w:r>
          </w:p>
        </w:tc>
      </w:tr>
      <w:tr>
        <w:trPr>
          <w:trHeight w:val="236"/>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715"/>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7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Blaine Davis</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r>
      <w:tr>
        <w:trPr>
          <w:trHeight w:val="229"/>
        </w:trPr>
        <w:tc>
          <w:tcPr>
            <w:tcW w:w="35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10.3(b)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LEASE AGREEMENT</w:t>
      </w:r>
    </w:p>
    <w:p>
      <w:pPr>
        <w:spacing w:after="0" w:line="2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FIRST AMENDMENT TO LEASE AGREEMENT (this “</w:t>
      </w:r>
      <w:r>
        <w:rPr>
          <w:rFonts w:ascii="Times New Roman" w:cs="Times New Roman" w:eastAsia="Times New Roman" w:hAnsi="Times New Roman"/>
          <w:sz w:val="22"/>
          <w:szCs w:val="22"/>
          <w:b w:val="1"/>
          <w:bCs w:val="1"/>
          <w:u w:val="single" w:color="auto"/>
          <w:color w:val="auto"/>
        </w:rPr>
        <w:t>First Amendment</w:t>
      </w:r>
      <w:r>
        <w:rPr>
          <w:rFonts w:ascii="Times New Roman" w:cs="Times New Roman" w:eastAsia="Times New Roman" w:hAnsi="Times New Roman"/>
          <w:sz w:val="22"/>
          <w:szCs w:val="22"/>
          <w:color w:val="auto"/>
        </w:rPr>
        <w:t>”) is made and entered into this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2024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7495 RP, LLC,</w:t>
      </w:r>
      <w:r>
        <w:rPr>
          <w:rFonts w:ascii="Times New Roman" w:cs="Times New Roman" w:eastAsia="Times New Roman" w:hAnsi="Times New Roman"/>
          <w:sz w:val="22"/>
          <w:szCs w:val="22"/>
          <w:color w:val="auto"/>
        </w:rPr>
        <w:t xml:space="preserve"> a Maryland limited liability company, having an address at 5377 Jackson Mountain Road, Frederick, Maryland 21702 (“</w:t>
      </w: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CARTESIAN THERAPEUTICS, INC.</w:t>
      </w:r>
      <w:r>
        <w:rPr>
          <w:rFonts w:ascii="Times New Roman" w:cs="Times New Roman" w:eastAsia="Times New Roman" w:hAnsi="Times New Roman"/>
          <w:sz w:val="22"/>
          <w:szCs w:val="22"/>
          <w:color w:val="auto"/>
        </w:rPr>
        <w:t>, a Delaware corporation, having a headquarters address at 704 Quince Orchard Road (Suite 140), Gaithersburg, Maryland 20878 (“</w:t>
      </w: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This First Amendment is made and entered with respect to the following:</w:t>
      </w:r>
    </w:p>
    <w:p>
      <w:pPr>
        <w:spacing w:after="0" w:line="25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R-1. Landlord and Tenant are the current parties to that certain Lease dated February 28, 2024 (the “</w:t>
      </w:r>
      <w:r>
        <w:rPr>
          <w:rFonts w:ascii="Times New Roman" w:cs="Times New Roman" w:eastAsia="Times New Roman" w:hAnsi="Times New Roman"/>
          <w:sz w:val="22"/>
          <w:szCs w:val="22"/>
          <w:b w:val="1"/>
          <w:bCs w:val="1"/>
          <w:u w:val="single" w:color="auto"/>
          <w:color w:val="auto"/>
        </w:rPr>
        <w:t>Lease</w:t>
      </w:r>
      <w:r>
        <w:rPr>
          <w:rFonts w:ascii="Times New Roman" w:cs="Times New Roman" w:eastAsia="Times New Roman" w:hAnsi="Times New Roman"/>
          <w:sz w:val="22"/>
          <w:szCs w:val="22"/>
          <w:color w:val="auto"/>
        </w:rPr>
        <w:t>”), pursuant to which Landlord has agreed to lease to Tenant approximately 19,199 square feet of Rentable Area on the first floor (the “</w:t>
      </w:r>
      <w:r>
        <w:rPr>
          <w:rFonts w:ascii="Times New Roman" w:cs="Times New Roman" w:eastAsia="Times New Roman" w:hAnsi="Times New Roman"/>
          <w:sz w:val="22"/>
          <w:szCs w:val="22"/>
          <w:b w:val="1"/>
          <w:bCs w:val="1"/>
          <w:u w:val="single" w:color="auto"/>
          <w:color w:val="auto"/>
        </w:rPr>
        <w:t>Existing Premises</w:t>
      </w:r>
      <w:r>
        <w:rPr>
          <w:rFonts w:ascii="Times New Roman" w:cs="Times New Roman" w:eastAsia="Times New Roman" w:hAnsi="Times New Roman"/>
          <w:sz w:val="22"/>
          <w:szCs w:val="22"/>
          <w:color w:val="auto"/>
        </w:rPr>
        <w:t>”) of the building located at 7495 New Horizon Way, Frederick, Maryland 21702 (“</w:t>
      </w:r>
      <w:r>
        <w:rPr>
          <w:rFonts w:ascii="Times New Roman" w:cs="Times New Roman" w:eastAsia="Times New Roman" w:hAnsi="Times New Roman"/>
          <w:sz w:val="22"/>
          <w:szCs w:val="22"/>
          <w:b w:val="1"/>
          <w:bCs w:val="1"/>
          <w:u w:val="single" w:color="auto"/>
          <w:color w:val="auto"/>
        </w:rPr>
        <w:t>Building</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R-2. Landlord desires to lease to Tenant and Tenant desires to lease from Landlord on the terms set forth herein, in addition to the Existing Premises, approximately 7,842 square feet of Rentable Area designated as Suite 220 and Suite 230 (the “</w:t>
      </w:r>
      <w:r>
        <w:rPr>
          <w:rFonts w:ascii="Times New Roman" w:cs="Times New Roman" w:eastAsia="Times New Roman" w:hAnsi="Times New Roman"/>
          <w:sz w:val="22"/>
          <w:szCs w:val="22"/>
          <w:b w:val="1"/>
          <w:bCs w:val="1"/>
          <w:u w:val="single" w:color="auto"/>
          <w:color w:val="auto"/>
        </w:rPr>
        <w:t>Expansion Premises</w:t>
      </w:r>
      <w:r>
        <w:rPr>
          <w:rFonts w:ascii="Times New Roman" w:cs="Times New Roman" w:eastAsia="Times New Roman" w:hAnsi="Times New Roman"/>
          <w:sz w:val="22"/>
          <w:szCs w:val="22"/>
          <w:color w:val="auto"/>
        </w:rPr>
        <w:t>”) located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floor of the Building. The Expansion Premises is more particularly shown on Exhibit “A” which is attached hereto and made a part hereof.</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R-3. Landlord and Tenant desire to expand the Existing Premises to include the Expansion Premises, and to otherwise modify the Lease as set forth herein in this First Amendment.</w:t>
      </w:r>
    </w:p>
    <w:p>
      <w:pPr>
        <w:spacing w:after="0" w:line="158"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NOW, THEREFORE, in consideration of the sum of Ten Dollars ($10.00) and other good and valuable consideration, the receipt and sufficiency of which are acknowledged by Landlord and Tenant, Landlord and Tenant covenant and agree as follows:</w:t>
      </w:r>
    </w:p>
    <w:p>
      <w:pPr>
        <w:spacing w:after="0" w:line="145" w:lineRule="exact"/>
        <w:rPr>
          <w:sz w:val="20"/>
          <w:szCs w:val="20"/>
          <w:color w:val="auto"/>
        </w:rPr>
      </w:pPr>
    </w:p>
    <w:p>
      <w:pPr>
        <w:jc w:val="both"/>
        <w:ind w:firstLine="656"/>
        <w:spacing w:after="0" w:line="259"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RECITALS; CAPITALIZED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above-mentioned Recitals are incorporated herein by this reference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though fully set forth at length. Capitalized terms used in this First Amendment but not defined herein shall have the meanings ascribed to them in the Lease.</w:t>
      </w:r>
    </w:p>
    <w:p>
      <w:pPr>
        <w:spacing w:after="0" w:line="16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The term of the Lease with respect to the Expansion Premises (“</w:t>
      </w:r>
      <w:r>
        <w:rPr>
          <w:rFonts w:ascii="Times New Roman" w:cs="Times New Roman" w:eastAsia="Times New Roman" w:hAnsi="Times New Roman"/>
          <w:sz w:val="22"/>
          <w:szCs w:val="22"/>
          <w:b w:val="1"/>
          <w:bCs w:val="1"/>
          <w:u w:val="single" w:color="auto"/>
          <w:color w:val="auto"/>
        </w:rPr>
        <w:t>Expansion Premises Term</w:t>
      </w:r>
      <w:r>
        <w:rPr>
          <w:rFonts w:ascii="Times New Roman" w:cs="Times New Roman" w:eastAsia="Times New Roman" w:hAnsi="Times New Roman"/>
          <w:sz w:val="22"/>
          <w:szCs w:val="22"/>
          <w:color w:val="auto"/>
        </w:rPr>
        <w: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commence as of the Effective Date (the “</w:t>
      </w:r>
      <w:r>
        <w:rPr>
          <w:rFonts w:ascii="Times New Roman" w:cs="Times New Roman" w:eastAsia="Times New Roman" w:hAnsi="Times New Roman"/>
          <w:sz w:val="22"/>
          <w:szCs w:val="22"/>
          <w:b w:val="1"/>
          <w:bCs w:val="1"/>
          <w:u w:val="single" w:color="auto"/>
          <w:color w:val="auto"/>
        </w:rPr>
        <w:t>Expansion Premises Lease Commencement Date</w:t>
      </w:r>
      <w:r>
        <w:rPr>
          <w:rFonts w:ascii="Times New Roman" w:cs="Times New Roman" w:eastAsia="Times New Roman" w:hAnsi="Times New Roman"/>
          <w:sz w:val="22"/>
          <w:szCs w:val="22"/>
          <w:color w:val="auto"/>
        </w:rPr>
        <w:t>”) and shall expire at the expiration of the Term of the Lease (it being the intent of the parties that the term of Tenant’s leasing of the Existing Premises and the term of Tenant’s leasing of the Expansion Premises shall be coterminous). The first “Expansion Premises Lease Year” (or “</w:t>
      </w:r>
      <w:r>
        <w:rPr>
          <w:rFonts w:ascii="Times New Roman" w:cs="Times New Roman" w:eastAsia="Times New Roman" w:hAnsi="Times New Roman"/>
          <w:sz w:val="22"/>
          <w:szCs w:val="22"/>
          <w:b w:val="1"/>
          <w:bCs w:val="1"/>
          <w:u w:val="single" w:color="auto"/>
          <w:color w:val="auto"/>
        </w:rPr>
        <w:t>EPLY</w:t>
      </w:r>
      <w:r>
        <w:rPr>
          <w:rFonts w:ascii="Times New Roman" w:cs="Times New Roman" w:eastAsia="Times New Roman" w:hAnsi="Times New Roman"/>
          <w:sz w:val="22"/>
          <w:szCs w:val="22"/>
          <w:color w:val="auto"/>
        </w:rPr>
        <w:t>”) shall commence on the Expansion Premises Commencement Date and shall end on the last day of the first Lease Year (as defined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1.1 of the Lease). Each subsequent year shall be coterminous with the corresponding Lease Year as provided for in the Lease.</w:t>
      </w:r>
    </w:p>
    <w:p>
      <w:pPr>
        <w:spacing w:after="0" w:line="216"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DELIVERY; ALLOWANCE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accept the Expansion Premises in its “as is” condition on the Expansion Premises Commencement Date; provided, however, that Landlord will deliver the Expansion Premises with all fixtures, equipment and Building systems servicing the Expansion Premises in good repair and working order. Tenant has had an opportunity to inspect the Expansion Premises and has determined that the same is sufficient for Tenant’s use thereof.</w:t>
      </w:r>
    </w:p>
    <w:p>
      <w:pPr>
        <w:spacing w:after="0" w:line="176" w:lineRule="exact"/>
        <w:rPr>
          <w:sz w:val="20"/>
          <w:szCs w:val="20"/>
          <w:color w:val="auto"/>
        </w:rPr>
      </w:pPr>
    </w:p>
    <w:p>
      <w:pPr>
        <w:jc w:val="both"/>
        <w:ind w:firstLine="1304"/>
        <w:spacing w:after="0" w:line="256" w:lineRule="auto"/>
        <w:tabs>
          <w:tab w:leader="none" w:pos="194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repair with reasonable promptness any latent defects in said Building systems reported by Tenant to Landlord in writing within 360 days of the Commencement Date. If identified in writing, Landlord shall, at Landlord’s sole cost and expense, commence to repair or replace said item(s) within a commercially-reasonable period of time following receipt of such notice.</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does not deliver possession of the Expansion Premises on the Expansion Premises Commencement Date or any other date targeted therefor, Landlord shall not have any liability whatsoever to Tenant on account of such failure to deliver possession of the Expansion Premises to Tenant and neither this First Amendment nor the Lease shall be rendered void or voidable as a result of such delay. However, under such circumstances, the Expansion Premises Commencement Date shall be postponed until Landlord has delivered possession of the Expansion Premises to Tenant.</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provide Tenant a tenant improvement allowance of up to Seventy-Eight Thousand Four Hundred and Twenty Dollars ($</w:t>
      </w:r>
      <w:r>
        <w:rPr>
          <w:rFonts w:ascii="Times New Roman" w:cs="Times New Roman" w:eastAsia="Times New Roman" w:hAnsi="Times New Roman"/>
          <w:sz w:val="22"/>
          <w:szCs w:val="22"/>
          <w:b w:val="1"/>
          <w:bCs w:val="1"/>
          <w:color w:val="auto"/>
        </w:rPr>
        <w:t>78,420.00</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u w:val="single" w:color="auto"/>
          <w:color w:val="auto"/>
        </w:rPr>
        <w:t>Expansion Allowance</w:t>
      </w:r>
      <w:r>
        <w:rPr>
          <w:rFonts w:ascii="Times New Roman" w:cs="Times New Roman" w:eastAsia="Times New Roman" w:hAnsi="Times New Roman"/>
          <w:sz w:val="22"/>
          <w:szCs w:val="22"/>
          <w:color w:val="auto"/>
        </w:rPr>
        <w:t>”) which shall be payable and subject to the same terms and provisions as provided for the disbursement of the Improvement Allowance in Exhibit B-1 of the Lease.</w:t>
      </w:r>
    </w:p>
    <w:p>
      <w:pPr>
        <w:spacing w:after="0" w:line="168"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PREMISES</w:t>
      </w:r>
      <w:r>
        <w:rPr>
          <w:rFonts w:ascii="Times New Roman" w:cs="Times New Roman" w:eastAsia="Times New Roman" w:hAnsi="Times New Roman"/>
          <w:sz w:val="22"/>
          <w:szCs w:val="22"/>
          <w:color w:val="auto"/>
        </w:rPr>
        <w:t>. Beginning on the Expansion Premises Commencement Date, Tenant shall lease the Expansion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Premises from Landlord subject to the terms of the Lease, as modified hereby. Notwithstanding any provision of the Lease to the contrary, from and after the Expansion Premises Commencement Date, except where there is a conflict with the terms of this First Amendment, the “</w:t>
      </w:r>
      <w:r>
        <w:rPr>
          <w:rFonts w:ascii="Times New Roman" w:cs="Times New Roman" w:eastAsia="Times New Roman" w:hAnsi="Times New Roman"/>
          <w:sz w:val="22"/>
          <w:szCs w:val="22"/>
          <w:b w:val="1"/>
          <w:bCs w:val="1"/>
          <w:u w:val="single" w:color="auto"/>
          <w:color w:val="auto"/>
        </w:rPr>
        <w:t>Premises</w:t>
      </w:r>
      <w:r>
        <w:rPr>
          <w:rFonts w:ascii="Times New Roman" w:cs="Times New Roman" w:eastAsia="Times New Roman" w:hAnsi="Times New Roman"/>
          <w:sz w:val="22"/>
          <w:szCs w:val="22"/>
          <w:color w:val="auto"/>
        </w:rPr>
        <w:t xml:space="preserve">,” as such term is used in the Lease, shall include the Existing Premises and the Expansion Premises, containing a total of approximately </w:t>
      </w:r>
      <w:r>
        <w:rPr>
          <w:rFonts w:ascii="Times New Roman" w:cs="Times New Roman" w:eastAsia="Times New Roman" w:hAnsi="Times New Roman"/>
          <w:sz w:val="22"/>
          <w:szCs w:val="22"/>
          <w:b w:val="1"/>
          <w:bCs w:val="1"/>
          <w:color w:val="auto"/>
        </w:rPr>
        <w:t>27,041 square feet of Rentable Area</w:t>
      </w:r>
      <w:r>
        <w:rPr>
          <w:rFonts w:ascii="Times New Roman" w:cs="Times New Roman" w:eastAsia="Times New Roman" w:hAnsi="Times New Roman"/>
          <w:sz w:val="22"/>
          <w:szCs w:val="22"/>
          <w:color w:val="auto"/>
        </w:rPr>
        <w:t>. The Premises (including the Existing Premises and the Expansion Premises) shall be known as 7495 New Horizon Way, Suites 130, 140, 150, 220 and 230, Frederick, Maryland 21702. As of the Effective Date, Section 2.2.1(b) of the Lease is hereby amended to replace “twenty-five and nine tenths percent (25.9%)” with “</w:t>
      </w:r>
      <w:r>
        <w:rPr>
          <w:rFonts w:ascii="Times New Roman" w:cs="Times New Roman" w:eastAsia="Times New Roman" w:hAnsi="Times New Roman"/>
          <w:sz w:val="22"/>
          <w:szCs w:val="22"/>
          <w:b w:val="1"/>
          <w:bCs w:val="1"/>
          <w:color w:val="auto"/>
        </w:rPr>
        <w:t>thirty-six and five tenths percent (36.5%).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48" w:name="page49"/>
    <w:bookmarkEnd w:id="48"/>
    <w:p>
      <w:pPr>
        <w:ind w:left="1300" w:hanging="644"/>
        <w:spacing w:after="0"/>
        <w:tabs>
          <w:tab w:leader="none" w:pos="130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RENT</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b w:val="1"/>
          <w:bCs w:val="1"/>
          <w:color w:val="auto"/>
        </w:rPr>
      </w:pPr>
    </w:p>
    <w:p>
      <w:pPr>
        <w:ind w:right="20" w:firstLine="1304"/>
        <w:spacing w:after="0" w:line="295" w:lineRule="auto"/>
        <w:tabs>
          <w:tab w:leader="none" w:pos="1941"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Expansion Premises Annual Rent</w:t>
      </w:r>
      <w:r>
        <w:rPr>
          <w:rFonts w:ascii="Times New Roman" w:cs="Times New Roman" w:eastAsia="Times New Roman" w:hAnsi="Times New Roman"/>
          <w:sz w:val="21"/>
          <w:szCs w:val="21"/>
          <w:color w:val="auto"/>
        </w:rPr>
        <w:t>. In addition to the Base Rent with respect to the Existing Premises, Tenant shall pay to Landlord Base Rent with respect to the Expansion Premises (“</w:t>
      </w:r>
      <w:r>
        <w:rPr>
          <w:rFonts w:ascii="Times New Roman" w:cs="Times New Roman" w:eastAsia="Times New Roman" w:hAnsi="Times New Roman"/>
          <w:sz w:val="21"/>
          <w:szCs w:val="21"/>
          <w:b w:val="1"/>
          <w:bCs w:val="1"/>
          <w:u w:val="single" w:color="auto"/>
          <w:color w:val="auto"/>
        </w:rPr>
        <w:t>Expansion Premises Base Rent</w:t>
      </w:r>
      <w:r>
        <w:rPr>
          <w:rFonts w:ascii="Times New Roman" w:cs="Times New Roman" w:eastAsia="Times New Roman" w:hAnsi="Times New Roman"/>
          <w:sz w:val="21"/>
          <w:szCs w:val="21"/>
          <w:color w:val="auto"/>
        </w:rPr>
        <w:t>”) as follows: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00" w:type="dxa"/>
            <w:vAlign w:val="bottom"/>
            <w:tcBorders>
              <w:top w:val="single" w:sz="8" w:color="auto"/>
              <w:left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6"/>
              </w:rPr>
              <w:t>Lease Year</w:t>
            </w:r>
          </w:p>
        </w:tc>
        <w:tc>
          <w:tcPr>
            <w:tcW w:w="900" w:type="dxa"/>
            <w:vAlign w:val="bottom"/>
            <w:tcBorders>
              <w:top w:val="single" w:sz="8" w:color="auto"/>
              <w:bottom w:val="single" w:sz="8" w:color="auto"/>
              <w:right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9"/>
              </w:rPr>
              <w:t>Annual Rent</w:t>
            </w:r>
          </w:p>
        </w:tc>
        <w:tc>
          <w:tcPr>
            <w:tcW w:w="820" w:type="dxa"/>
            <w:vAlign w:val="bottom"/>
            <w:tcBorders>
              <w:top w:val="single" w:sz="8" w:color="auto"/>
              <w:bottom w:val="single" w:sz="8" w:color="auto"/>
              <w:right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Monthly Base Rent</w:t>
            </w:r>
          </w:p>
        </w:tc>
        <w:tc>
          <w:tcPr>
            <w:tcW w:w="560" w:type="dxa"/>
            <w:vAlign w:val="bottom"/>
            <w:tcBorders>
              <w:top w:val="single" w:sz="8" w:color="auto"/>
              <w:bottom w:val="single" w:sz="8" w:color="auto"/>
              <w:right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right w:val="single" w:sz="8" w:color="auto"/>
            </w:tcBorders>
            <w:gridSpan w:val="4"/>
          </w:tcPr>
          <w:p>
            <w:pPr>
              <w:jc w:val="center"/>
              <w:ind w:right="820"/>
              <w:spacing w:after="0" w:line="229" w:lineRule="exact"/>
              <w:rPr>
                <w:sz w:val="20"/>
                <w:szCs w:val="20"/>
                <w:color w:val="auto"/>
              </w:rPr>
            </w:pPr>
            <w:r>
              <w:rPr>
                <w:rFonts w:ascii="Times New Roman" w:cs="Times New Roman" w:eastAsia="Times New Roman" w:hAnsi="Times New Roman"/>
                <w:sz w:val="22"/>
                <w:szCs w:val="22"/>
                <w:b w:val="1"/>
                <w:bCs w:val="1"/>
                <w:color w:val="auto"/>
                <w:w w:val="97"/>
              </w:rPr>
              <w:t>Rent Per</w:t>
            </w: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r>
      <w:tr>
        <w:trPr>
          <w:trHeight w:val="223"/>
        </w:trPr>
        <w:tc>
          <w:tcPr>
            <w:tcW w:w="900" w:type="dxa"/>
            <w:vAlign w:val="bottom"/>
            <w:tcBorders>
              <w:lef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gridSpan w:val="5"/>
          </w:tcPr>
          <w:p>
            <w:pPr>
              <w:jc w:val="center"/>
              <w:ind w:right="40"/>
              <w:spacing w:after="0" w:line="224" w:lineRule="exact"/>
              <w:rPr>
                <w:sz w:val="20"/>
                <w:szCs w:val="20"/>
                <w:color w:val="auto"/>
              </w:rPr>
            </w:pPr>
            <w:r>
              <w:rPr>
                <w:rFonts w:ascii="Times New Roman" w:cs="Times New Roman" w:eastAsia="Times New Roman" w:hAnsi="Times New Roman"/>
                <w:sz w:val="22"/>
                <w:szCs w:val="22"/>
                <w:b w:val="1"/>
                <w:bCs w:val="1"/>
                <w:color w:val="auto"/>
                <w:w w:val="96"/>
              </w:rPr>
              <w:t>Square Foot</w:t>
            </w:r>
          </w:p>
        </w:tc>
      </w:tr>
      <w:tr>
        <w:trPr>
          <w:trHeight w:val="48"/>
        </w:trPr>
        <w:tc>
          <w:tcPr>
            <w:tcW w:w="900" w:type="dxa"/>
            <w:vAlign w:val="bottom"/>
            <w:tcBorders>
              <w:left w:val="single" w:sz="8" w:color="auto"/>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r>
      <w:tr>
        <w:trPr>
          <w:trHeight w:val="304"/>
        </w:trPr>
        <w:tc>
          <w:tcPr>
            <w:tcW w:w="2820" w:type="dxa"/>
            <w:vAlign w:val="bottom"/>
            <w:tcBorders>
              <w:left w:val="single" w:sz="8" w:color="auto"/>
              <w:bottom w:val="single" w:sz="8" w:color="auto"/>
              <w:right w:val="single" w:sz="8" w:color="auto"/>
            </w:tcBorders>
            <w:gridSpan w:val="3"/>
          </w:tcPr>
          <w:p>
            <w:pPr>
              <w:jc w:val="center"/>
              <w:spacing w:after="0" w:line="304" w:lineRule="exact"/>
              <w:rPr>
                <w:sz w:val="20"/>
                <w:szCs w:val="20"/>
                <w:color w:val="auto"/>
              </w:rPr>
            </w:pPr>
            <w:r>
              <w:rPr>
                <w:rFonts w:ascii="Times New Roman" w:cs="Times New Roman" w:eastAsia="Times New Roman" w:hAnsi="Times New Roman"/>
                <w:sz w:val="22"/>
                <w:szCs w:val="22"/>
                <w:color w:val="auto"/>
                <w:w w:val="95"/>
              </w:rPr>
              <w:t>EPLY-end of 1</w:t>
            </w:r>
            <w:r>
              <w:rPr>
                <w:rFonts w:ascii="Times New Roman" w:cs="Times New Roman" w:eastAsia="Times New Roman" w:hAnsi="Times New Roman"/>
                <w:sz w:val="28"/>
                <w:szCs w:val="28"/>
                <w:color w:val="auto"/>
                <w:w w:val="95"/>
                <w:vertAlign w:val="superscript"/>
              </w:rPr>
              <w:t>st</w:t>
            </w:r>
            <w:r>
              <w:rPr>
                <w:rFonts w:ascii="Times New Roman" w:cs="Times New Roman" w:eastAsia="Times New Roman" w:hAnsi="Times New Roman"/>
                <w:sz w:val="22"/>
                <w:szCs w:val="22"/>
                <w:color w:val="auto"/>
                <w:w w:val="95"/>
              </w:rPr>
              <w:t xml:space="preserve"> Lease Year*</w:t>
            </w: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$266,628.00</w:t>
            </w:r>
          </w:p>
        </w:tc>
        <w:tc>
          <w:tcPr>
            <w:tcW w:w="8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$22,219.00</w:t>
            </w:r>
          </w:p>
        </w:tc>
        <w:tc>
          <w:tcPr>
            <w:tcW w:w="56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$34.00</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263"/>
        </w:trPr>
        <w:tc>
          <w:tcPr>
            <w:tcW w:w="1920" w:type="dxa"/>
            <w:vAlign w:val="bottom"/>
            <w:tcBorders>
              <w:left w:val="single" w:sz="8" w:color="auto"/>
              <w:bottom w:val="single" w:sz="8" w:color="auto"/>
            </w:tcBorders>
            <w:gridSpan w:val="2"/>
          </w:tcPr>
          <w:p>
            <w:pPr>
              <w:jc w:val="center"/>
              <w:ind w:left="792"/>
              <w:spacing w:after="0"/>
              <w:rPr>
                <w:sz w:val="20"/>
                <w:szCs w:val="20"/>
                <w:color w:val="auto"/>
              </w:rPr>
            </w:pPr>
            <w:r>
              <w:rPr>
                <w:rFonts w:ascii="Times New Roman" w:cs="Times New Roman" w:eastAsia="Times New Roman" w:hAnsi="Times New Roman"/>
                <w:sz w:val="22"/>
                <w:szCs w:val="22"/>
                <w:color w:val="auto"/>
                <w:w w:val="90"/>
              </w:rPr>
              <w:t>2</w:t>
            </w:r>
          </w:p>
        </w:tc>
        <w:tc>
          <w:tcPr>
            <w:tcW w:w="90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$274,626.84</w:t>
            </w:r>
          </w:p>
        </w:tc>
        <w:tc>
          <w:tcPr>
            <w:tcW w:w="82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$22,885.57</w:t>
            </w:r>
          </w:p>
        </w:tc>
        <w:tc>
          <w:tcPr>
            <w:tcW w:w="56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$35.02</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r>
      <w:tr>
        <w:trPr>
          <w:trHeight w:val="263"/>
        </w:trPr>
        <w:tc>
          <w:tcPr>
            <w:tcW w:w="1920" w:type="dxa"/>
            <w:vAlign w:val="bottom"/>
            <w:tcBorders>
              <w:left w:val="single" w:sz="8" w:color="auto"/>
              <w:bottom w:val="single" w:sz="8" w:color="auto"/>
            </w:tcBorders>
            <w:gridSpan w:val="2"/>
          </w:tcPr>
          <w:p>
            <w:pPr>
              <w:jc w:val="center"/>
              <w:ind w:left="792"/>
              <w:spacing w:after="0"/>
              <w:rPr>
                <w:sz w:val="20"/>
                <w:szCs w:val="20"/>
                <w:color w:val="auto"/>
              </w:rPr>
            </w:pPr>
            <w:r>
              <w:rPr>
                <w:rFonts w:ascii="Times New Roman" w:cs="Times New Roman" w:eastAsia="Times New Roman" w:hAnsi="Times New Roman"/>
                <w:sz w:val="22"/>
                <w:szCs w:val="22"/>
                <w:color w:val="auto"/>
                <w:w w:val="90"/>
              </w:rPr>
              <w:t>3</w:t>
            </w:r>
          </w:p>
        </w:tc>
        <w:tc>
          <w:tcPr>
            <w:tcW w:w="90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$282,860.94</w:t>
            </w:r>
          </w:p>
        </w:tc>
        <w:tc>
          <w:tcPr>
            <w:tcW w:w="82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$23,571.75</w:t>
            </w:r>
          </w:p>
        </w:tc>
        <w:tc>
          <w:tcPr>
            <w:tcW w:w="56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$36.07</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r>
      <w:tr>
        <w:trPr>
          <w:trHeight w:val="264"/>
        </w:trPr>
        <w:tc>
          <w:tcPr>
            <w:tcW w:w="1920" w:type="dxa"/>
            <w:vAlign w:val="bottom"/>
            <w:tcBorders>
              <w:left w:val="single" w:sz="8" w:color="auto"/>
              <w:bottom w:val="single" w:sz="8" w:color="auto"/>
            </w:tcBorders>
            <w:gridSpan w:val="2"/>
          </w:tcPr>
          <w:p>
            <w:pPr>
              <w:jc w:val="center"/>
              <w:ind w:left="792"/>
              <w:spacing w:after="0"/>
              <w:rPr>
                <w:sz w:val="20"/>
                <w:szCs w:val="20"/>
                <w:color w:val="auto"/>
              </w:rPr>
            </w:pPr>
            <w:r>
              <w:rPr>
                <w:rFonts w:ascii="Times New Roman" w:cs="Times New Roman" w:eastAsia="Times New Roman" w:hAnsi="Times New Roman"/>
                <w:sz w:val="22"/>
                <w:szCs w:val="22"/>
                <w:color w:val="auto"/>
                <w:w w:val="90"/>
              </w:rPr>
              <w:t>4</w:t>
            </w:r>
          </w:p>
        </w:tc>
        <w:tc>
          <w:tcPr>
            <w:tcW w:w="90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$291,330.30</w:t>
            </w:r>
          </w:p>
        </w:tc>
        <w:tc>
          <w:tcPr>
            <w:tcW w:w="82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$24,277.53</w:t>
            </w:r>
          </w:p>
        </w:tc>
        <w:tc>
          <w:tcPr>
            <w:tcW w:w="56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$37.15</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r>
      <w:tr>
        <w:trPr>
          <w:trHeight w:val="263"/>
        </w:trPr>
        <w:tc>
          <w:tcPr>
            <w:tcW w:w="1920" w:type="dxa"/>
            <w:vAlign w:val="bottom"/>
            <w:tcBorders>
              <w:left w:val="single" w:sz="8" w:color="auto"/>
              <w:bottom w:val="single" w:sz="8" w:color="auto"/>
            </w:tcBorders>
            <w:gridSpan w:val="2"/>
          </w:tcPr>
          <w:p>
            <w:pPr>
              <w:jc w:val="center"/>
              <w:ind w:left="792"/>
              <w:spacing w:after="0"/>
              <w:rPr>
                <w:sz w:val="20"/>
                <w:szCs w:val="20"/>
                <w:color w:val="auto"/>
              </w:rPr>
            </w:pPr>
            <w:r>
              <w:rPr>
                <w:rFonts w:ascii="Times New Roman" w:cs="Times New Roman" w:eastAsia="Times New Roman" w:hAnsi="Times New Roman"/>
                <w:sz w:val="22"/>
                <w:szCs w:val="22"/>
                <w:color w:val="auto"/>
                <w:w w:val="90"/>
              </w:rPr>
              <w:t>5</w:t>
            </w:r>
          </w:p>
        </w:tc>
        <w:tc>
          <w:tcPr>
            <w:tcW w:w="90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$300,113.34</w:t>
            </w:r>
          </w:p>
        </w:tc>
        <w:tc>
          <w:tcPr>
            <w:tcW w:w="82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$25,009.45</w:t>
            </w:r>
          </w:p>
        </w:tc>
        <w:tc>
          <w:tcPr>
            <w:tcW w:w="56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$38.27</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r>
      <w:tr>
        <w:trPr>
          <w:trHeight w:val="263"/>
        </w:trPr>
        <w:tc>
          <w:tcPr>
            <w:tcW w:w="1920" w:type="dxa"/>
            <w:vAlign w:val="bottom"/>
            <w:tcBorders>
              <w:left w:val="single" w:sz="8" w:color="auto"/>
              <w:bottom w:val="single" w:sz="8" w:color="auto"/>
            </w:tcBorders>
            <w:gridSpan w:val="2"/>
          </w:tcPr>
          <w:p>
            <w:pPr>
              <w:jc w:val="center"/>
              <w:ind w:left="792"/>
              <w:spacing w:after="0"/>
              <w:rPr>
                <w:sz w:val="20"/>
                <w:szCs w:val="20"/>
                <w:color w:val="auto"/>
              </w:rPr>
            </w:pPr>
            <w:r>
              <w:rPr>
                <w:rFonts w:ascii="Times New Roman" w:cs="Times New Roman" w:eastAsia="Times New Roman" w:hAnsi="Times New Roman"/>
                <w:sz w:val="22"/>
                <w:szCs w:val="22"/>
                <w:color w:val="auto"/>
                <w:w w:val="90"/>
              </w:rPr>
              <w:t>6</w:t>
            </w:r>
          </w:p>
        </w:tc>
        <w:tc>
          <w:tcPr>
            <w:tcW w:w="90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$309,131.64</w:t>
            </w:r>
          </w:p>
        </w:tc>
        <w:tc>
          <w:tcPr>
            <w:tcW w:w="82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$25,760.97</w:t>
            </w:r>
          </w:p>
        </w:tc>
        <w:tc>
          <w:tcPr>
            <w:tcW w:w="56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$39.42</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r>
      <w:tr>
        <w:trPr>
          <w:trHeight w:val="263"/>
        </w:trPr>
        <w:tc>
          <w:tcPr>
            <w:tcW w:w="1920" w:type="dxa"/>
            <w:vAlign w:val="bottom"/>
            <w:tcBorders>
              <w:left w:val="single" w:sz="8" w:color="auto"/>
              <w:bottom w:val="single" w:sz="8" w:color="auto"/>
            </w:tcBorders>
            <w:gridSpan w:val="2"/>
          </w:tcPr>
          <w:p>
            <w:pPr>
              <w:jc w:val="center"/>
              <w:ind w:left="792"/>
              <w:spacing w:after="0"/>
              <w:rPr>
                <w:sz w:val="20"/>
                <w:szCs w:val="20"/>
                <w:color w:val="auto"/>
              </w:rPr>
            </w:pPr>
            <w:r>
              <w:rPr>
                <w:rFonts w:ascii="Times New Roman" w:cs="Times New Roman" w:eastAsia="Times New Roman" w:hAnsi="Times New Roman"/>
                <w:sz w:val="22"/>
                <w:szCs w:val="22"/>
                <w:color w:val="auto"/>
                <w:w w:val="90"/>
              </w:rPr>
              <w:t>7</w:t>
            </w:r>
          </w:p>
        </w:tc>
        <w:tc>
          <w:tcPr>
            <w:tcW w:w="90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$318,385.20</w:t>
            </w:r>
          </w:p>
        </w:tc>
        <w:tc>
          <w:tcPr>
            <w:tcW w:w="82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$26,532.10</w:t>
            </w:r>
          </w:p>
        </w:tc>
        <w:tc>
          <w:tcPr>
            <w:tcW w:w="56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$40.60</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r>
    </w:tbl>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*This period may be less than twelve full calendar months</w:t>
      </w:r>
    </w:p>
    <w:p>
      <w:pPr>
        <w:spacing w:after="0" w:line="11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The foregoing Base Rent for the Expansion Premises shall be paid by Tenant to Landlord in accordance with the terms of the Lease, commencing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day of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month following the Expansion Premises Lease Commencement Date. In the event the Expansion Premises Commencement Date is on other than the first day of a calendar month, then the Rent payment for such partial month shall be prorated on a per diem basis.</w:t>
      </w:r>
    </w:p>
    <w:p>
      <w:pPr>
        <w:spacing w:after="0" w:line="220" w:lineRule="exact"/>
        <w:rPr>
          <w:sz w:val="20"/>
          <w:szCs w:val="20"/>
          <w:color w:val="auto"/>
        </w:rPr>
      </w:pPr>
    </w:p>
    <w:p>
      <w:pPr>
        <w:ind w:right="20" w:firstLine="1304"/>
        <w:spacing w:after="0" w:line="271" w:lineRule="auto"/>
        <w:tabs>
          <w:tab w:leader="none" w:pos="1939"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Tenant shall pay all Additional Rent for the Expansion Premises as required pursuant to the terms of the Lease, including, but not limited to, Section 2 thereof.</w:t>
      </w:r>
    </w:p>
    <w:p>
      <w:pPr>
        <w:spacing w:after="0" w:line="153" w:lineRule="exact"/>
        <w:rPr>
          <w:rFonts w:ascii="Times New Roman" w:cs="Times New Roman" w:eastAsia="Times New Roman" w:hAnsi="Times New Roman"/>
          <w:sz w:val="22"/>
          <w:szCs w:val="22"/>
          <w:color w:val="auto"/>
        </w:rPr>
      </w:pPr>
    </w:p>
    <w:p>
      <w:pPr>
        <w:jc w:val="both"/>
        <w:ind w:right="20" w:firstLine="656"/>
        <w:spacing w:after="0" w:line="254"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SECURITY DEPOSIT</w:t>
      </w:r>
      <w:r>
        <w:rPr>
          <w:rFonts w:ascii="Times New Roman" w:cs="Times New Roman" w:eastAsia="Times New Roman" w:hAnsi="Times New Roman"/>
          <w:sz w:val="22"/>
          <w:szCs w:val="22"/>
          <w:color w:val="auto"/>
        </w:rPr>
        <w:t>. The parties acknowledge that Landlord is currently holding a security deposit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amount of </w:t>
      </w:r>
      <w:r>
        <w:rPr>
          <w:rFonts w:ascii="Times New Roman" w:cs="Times New Roman" w:eastAsia="Times New Roman" w:hAnsi="Times New Roman"/>
          <w:sz w:val="22"/>
          <w:szCs w:val="22"/>
          <w:b w:val="1"/>
          <w:bCs w:val="1"/>
          <w:color w:val="auto"/>
        </w:rPr>
        <w:t>$225,588.25</w:t>
      </w:r>
      <w:r>
        <w:rPr>
          <w:rFonts w:ascii="Times New Roman" w:cs="Times New Roman" w:eastAsia="Times New Roman" w:hAnsi="Times New Roman"/>
          <w:sz w:val="22"/>
          <w:szCs w:val="22"/>
          <w:color w:val="auto"/>
        </w:rPr>
        <w:t xml:space="preserve">. Simultaneously with the execution and delivery of this First Amendment, Tenant shall deposit with Landlord an additional security deposit in the amount of </w:t>
      </w:r>
      <w:r>
        <w:rPr>
          <w:rFonts w:ascii="Times New Roman" w:cs="Times New Roman" w:eastAsia="Times New Roman" w:hAnsi="Times New Roman"/>
          <w:sz w:val="22"/>
          <w:szCs w:val="22"/>
          <w:b w:val="1"/>
          <w:bCs w:val="1"/>
          <w:color w:val="auto"/>
        </w:rPr>
        <w:t>$66,657.00</w:t>
      </w:r>
      <w:r>
        <w:rPr>
          <w:rFonts w:ascii="Times New Roman" w:cs="Times New Roman" w:eastAsia="Times New Roman" w:hAnsi="Times New Roman"/>
          <w:sz w:val="22"/>
          <w:szCs w:val="22"/>
          <w:color w:val="auto"/>
        </w:rPr>
        <w:t xml:space="preserve"> (which amount represents three (3) months of Base Rent for the Expansion Premises). Landlord shall hold, apply and disburse the entire security deposit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$292,245.25</w:t>
      </w:r>
      <w:r>
        <w:rPr>
          <w:rFonts w:ascii="Times New Roman" w:cs="Times New Roman" w:eastAsia="Times New Roman" w:hAnsi="Times New Roman"/>
          <w:sz w:val="22"/>
          <w:szCs w:val="22"/>
          <w:color w:val="auto"/>
        </w:rPr>
        <w:t>) in accordance with the applicable provisions of the Lease concerning the Security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60"/>
          </w:cols>
          <w:pgMar w:left="320" w:top="1418" w:right="319" w:bottom="1440" w:gutter="0" w:footer="0" w:header="0"/>
        </w:sectPr>
      </w:pPr>
    </w:p>
    <w:bookmarkStart w:id="49" w:name="page50"/>
    <w:bookmarkEnd w:id="49"/>
    <w:p>
      <w:pPr>
        <w:spacing w:after="0" w:line="194"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656"/>
        <w:spacing w:after="0" w:line="271" w:lineRule="auto"/>
        <w:tabs>
          <w:tab w:leader="none" w:pos="129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induce Landlord to enter into this First Amendment, Tenant hereby represents and warrants to Landlord that as of the date of this First Amendment:</w:t>
      </w:r>
    </w:p>
    <w:p>
      <w:pPr>
        <w:spacing w:after="0" w:line="171"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not assigned the Lease or sublet any portion of the Existing Premises;</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25"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unmodified (except as otherwise expressly set forth to the contrary in this First Amendment) and is in full force and effect;</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79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 claims against Landlord arising under or in connection with the Lease, and Tenant has no set off or defenses against the enforcement of any right or remedy of Landlord under the Lease; and</w:t>
      </w:r>
    </w:p>
    <w:p>
      <w:pPr>
        <w:spacing w:after="0" w:line="17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0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is not in default of any of its obligations under the Lease and no event has occurred and no condition exists which, with the giving of notice or the lapse of time, or both, will constitute a default by Landlord under the Lease.</w:t>
      </w:r>
    </w:p>
    <w:p>
      <w:pPr>
        <w:spacing w:after="0" w:line="17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represents and warrants to Tenant as of the date of this First Amendment:</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15"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unmodified (except as otherwise expressly set forth to the contrary in this First Amendment) and is in full force and effect; and</w:t>
      </w:r>
    </w:p>
    <w:p>
      <w:pPr>
        <w:spacing w:after="0" w:line="17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Landlord’s knowledge, Tenant is not in default of any of its obligations under the Lease and no event has occurred and no condition exists which, with the giving of notice or the lapse of time, or both, will constitute a default by Tenant under the Lease.</w:t>
      </w:r>
    </w:p>
    <w:p>
      <w:pPr>
        <w:spacing w:after="0" w:line="169" w:lineRule="exact"/>
        <w:rPr>
          <w:sz w:val="20"/>
          <w:szCs w:val="20"/>
          <w:color w:val="auto"/>
        </w:rPr>
      </w:pPr>
    </w:p>
    <w:p>
      <w:pPr>
        <w:jc w:val="both"/>
        <w:ind w:firstLine="656"/>
        <w:spacing w:after="0" w:line="274" w:lineRule="auto"/>
        <w:tabs>
          <w:tab w:leader="none" w:pos="129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RATIFICATION</w:t>
      </w:r>
      <w:r>
        <w:rPr>
          <w:rFonts w:ascii="Times New Roman" w:cs="Times New Roman" w:eastAsia="Times New Roman" w:hAnsi="Times New Roman"/>
          <w:sz w:val="21"/>
          <w:szCs w:val="21"/>
          <w:color w:val="auto"/>
        </w:rPr>
        <w:t>. Unless a term or condition of the Lease is expressly contradicted by the terms of this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or modified hereby, all terms and conditions of the Lease shall remain in full force and effect and continue to bind Landlord and Tenant. In the event that a term of this First Amendment is fundamentally inconsistent with a term of the Lease, the terms of this First Amendment shall control. The terms of the Lease, as modified hereby, are ratified and affirmed by the parties.</w:t>
      </w:r>
    </w:p>
    <w:p>
      <w:pPr>
        <w:spacing w:after="0" w:line="152" w:lineRule="exact"/>
        <w:rPr>
          <w:rFonts w:ascii="Times New Roman" w:cs="Times New Roman" w:eastAsia="Times New Roman" w:hAnsi="Times New Roman"/>
          <w:sz w:val="21"/>
          <w:szCs w:val="21"/>
          <w:color w:val="auto"/>
        </w:rPr>
      </w:pPr>
    </w:p>
    <w:p>
      <w:pPr>
        <w:jc w:val="both"/>
        <w:ind w:firstLine="656"/>
        <w:spacing w:after="0" w:line="258"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First Amendment constitutes the entire agreement of the parties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subject matter addressed herein. No terms, conditions, representations, warranties, promises, or understandings, of any nature whatsoever, express or implied, have been made or relied upon by any party hereto. This First Amendment may not be modified, waived, discharged or terminated other than by a writing executed by the parties hereto.</w:t>
      </w:r>
    </w:p>
    <w:p>
      <w:pPr>
        <w:spacing w:after="0" w:line="167"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and Tenant each represent and warrant to the other that it has not employed any broker,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finder with regard to this First Amendment, other than Scheer Partners, Inc. which shall be paid by Landlord pursuant to a separate agreement. Each party hereby indemnifies and holds harmless the other for any other claims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commissions or brokerage fees arising from a breach of the foregoing representation and warranty.</w:t>
      </w:r>
    </w:p>
    <w:p>
      <w:pPr>
        <w:spacing w:after="0" w:line="216" w:lineRule="exact"/>
        <w:rPr>
          <w:sz w:val="20"/>
          <w:szCs w:val="20"/>
          <w:color w:val="auto"/>
        </w:rPr>
      </w:pPr>
    </w:p>
    <w:p>
      <w:pPr>
        <w:jc w:val="both"/>
        <w:ind w:firstLine="656"/>
        <w:spacing w:after="0" w:line="258" w:lineRule="auto"/>
        <w:tabs>
          <w:tab w:leader="none" w:pos="128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 MERGER</w:t>
      </w:r>
      <w:r>
        <w:rPr>
          <w:rFonts w:ascii="Times New Roman" w:cs="Times New Roman" w:eastAsia="Times New Roman" w:hAnsi="Times New Roman"/>
          <w:sz w:val="22"/>
          <w:szCs w:val="22"/>
          <w:color w:val="auto"/>
        </w:rPr>
        <w:t>. The terms and provisions of this First Amendment shall be binding upon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inure to the benefit of the parties hereto and their respective successors and permitted assigns under the Lease. Notwithstanding anything herein to the contrary, in the event Landlord obtains a judgment against Tenant in connection with the Lease, the Lease shall not merge into the judgment.</w:t>
      </w:r>
    </w:p>
    <w:p>
      <w:pPr>
        <w:spacing w:after="0" w:line="167"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ELECTRONIC SIGNATURES</w:t>
      </w:r>
      <w:r>
        <w:rPr>
          <w:rFonts w:ascii="Times New Roman" w:cs="Times New Roman" w:eastAsia="Times New Roman" w:hAnsi="Times New Roman"/>
          <w:sz w:val="22"/>
          <w:szCs w:val="22"/>
          <w:color w:val="auto"/>
        </w:rPr>
        <w:t>. This First Amendment may be executed in multiple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each of which counterparts shall be deemed an original and all of which counterparts collectively shall constitute one and the same document. The parties agree that the signatures of the person executing this First Amendment may be transmitted via electronic means and shall be sufficient evidence of the execution of this First Amendment.</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First Amendment shall be governed by and ·interpreted under the laws of the State of</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Maryland.</w:t>
      </w:r>
    </w:p>
    <w:p>
      <w:pPr>
        <w:spacing w:after="0" w:line="191" w:lineRule="exact"/>
        <w:rPr>
          <w:rFonts w:ascii="Times New Roman" w:cs="Times New Roman" w:eastAsia="Times New Roman" w:hAnsi="Times New Roman"/>
          <w:sz w:val="21"/>
          <w:szCs w:val="21"/>
          <w:color w:val="auto"/>
        </w:rPr>
      </w:pPr>
    </w:p>
    <w:p>
      <w:pPr>
        <w:jc w:val="both"/>
        <w:ind w:firstLine="656"/>
        <w:spacing w:after="0" w:line="258"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AUTHORITY</w:t>
      </w:r>
      <w:r>
        <w:rPr>
          <w:rFonts w:ascii="Times New Roman" w:cs="Times New Roman" w:eastAsia="Times New Roman" w:hAnsi="Times New Roman"/>
          <w:sz w:val="22"/>
          <w:szCs w:val="22"/>
          <w:color w:val="auto"/>
        </w:rPr>
        <w:t>. Each individual executing this First Amendment hereby represents and warrants that she or he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capacity set forth on the signature pages hereof with full power and authority to bind the party on whose behalf she or he is executing this First Amendment to the terms hereof. The parties have read and understood this First Amendment and have had the opportunity to consult with legal counsel with respect hereto.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First Amendment to Lease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each party hereto has executed and ensealed this First Amendment to Lease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caused it to be executed and ensealed on its behalf by its duly authorized representatives,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2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7495 RP, LLC</w:t>
      </w:r>
    </w:p>
    <w:p>
      <w:pPr>
        <w:spacing w:after="0" w:line="200" w:lineRule="exact"/>
        <w:rPr>
          <w:sz w:val="20"/>
          <w:szCs w:val="20"/>
          <w:color w:val="auto"/>
        </w:rPr>
      </w:pPr>
    </w:p>
    <w:p>
      <w:pPr>
        <w:spacing w:after="0" w:line="29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By: /s/ William C.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-13970</wp:posOffset>
            </wp:positionV>
            <wp:extent cx="17773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Name: William C.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-29210</wp:posOffset>
            </wp:positionV>
            <wp:extent cx="14763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476375"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2"/>
          <w:szCs w:val="22"/>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-29210</wp:posOffset>
            </wp:positionV>
            <wp:extent cx="1036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200" w:lineRule="exact"/>
        <w:rPr>
          <w:sz w:val="20"/>
          <w:szCs w:val="20"/>
          <w:color w:val="auto"/>
        </w:rPr>
      </w:pPr>
    </w:p>
    <w:p>
      <w:pPr>
        <w:spacing w:after="0" w:line="29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By: /s/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-13970</wp:posOffset>
            </wp:positionV>
            <wp:extent cx="14249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Name: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-29210</wp:posOffset>
            </wp:positionV>
            <wp:extent cx="11239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-29210</wp:posOffset>
            </wp:positionV>
            <wp:extent cx="15513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15" w:right="3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EXPANSION PREMISES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019"/>
          </w:cols>
          <w:pgMar w:left="1440" w:top="1418"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Carsten Brunn, Ph.D., certify that:</w:t>
      </w:r>
    </w:p>
    <w:p>
      <w:pPr>
        <w:spacing w:after="0" w:line="229" w:lineRule="exact"/>
        <w:rPr>
          <w:sz w:val="20"/>
          <w:szCs w:val="20"/>
          <w:color w:val="auto"/>
        </w:rPr>
      </w:pPr>
    </w:p>
    <w:p>
      <w:pPr>
        <w:ind w:left="680" w:hanging="348"/>
        <w:spacing w:after="0"/>
        <w:tabs>
          <w:tab w:leader="none" w:pos="6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Cartesian Therapeutics, Inc.;</w:t>
      </w:r>
    </w:p>
    <w:p>
      <w:pPr>
        <w:spacing w:after="0" w:line="18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8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8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7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1300" w:right="100" w:hanging="401"/>
        <w:spacing w:after="0" w:line="261" w:lineRule="auto"/>
        <w:tabs>
          <w:tab w:leader="none" w:pos="1312"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1300" w:right="560" w:hanging="401"/>
        <w:spacing w:after="0" w:line="281" w:lineRule="auto"/>
        <w:tabs>
          <w:tab w:leader="none" w:pos="1324"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9"/>
          <w:szCs w:val="19"/>
          <w:color w:val="auto"/>
        </w:rPr>
      </w:pPr>
    </w:p>
    <w:p>
      <w:pPr>
        <w:ind w:left="1300" w:right="40" w:hanging="401"/>
        <w:spacing w:after="0" w:line="261" w:lineRule="auto"/>
        <w:tabs>
          <w:tab w:leader="none" w:pos="1312"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20"/>
          <w:szCs w:val="20"/>
          <w:color w:val="auto"/>
        </w:rPr>
      </w:pPr>
    </w:p>
    <w:p>
      <w:pPr>
        <w:ind w:left="1300" w:right="80" w:hanging="401"/>
        <w:spacing w:after="0" w:line="268" w:lineRule="auto"/>
        <w:tabs>
          <w:tab w:leader="none" w:pos="1324"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660" w:right="260" w:hanging="328"/>
        <w:spacing w:after="0" w:line="268" w:lineRule="auto"/>
        <w:tabs>
          <w:tab w:leader="none" w:pos="67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340" w:hanging="401"/>
        <w:spacing w:after="0" w:line="261" w:lineRule="auto"/>
        <w:tabs>
          <w:tab w:leader="none" w:pos="1302"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20"/>
          <w:szCs w:val="20"/>
          <w:color w:val="auto"/>
        </w:rPr>
      </w:pPr>
    </w:p>
    <w:p>
      <w:pPr>
        <w:ind w:left="1300" w:right="740" w:hanging="401"/>
        <w:spacing w:after="0" w:line="269" w:lineRule="auto"/>
        <w:tabs>
          <w:tab w:leader="none" w:pos="1313"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20"/>
          <w:szCs w:val="20"/>
          <w:color w:val="2C2C2C"/>
        </w:rPr>
        <w:t>May 8, 2024</w:t>
      </w:r>
      <w:r>
        <w:rPr>
          <w:sz w:val="20"/>
          <w:szCs w:val="20"/>
          <w:color w:val="auto"/>
        </w:rPr>
        <w:tab/>
      </w:r>
      <w:r>
        <w:rPr>
          <w:rFonts w:ascii="Times New Roman" w:cs="Times New Roman" w:eastAsia="Times New Roman" w:hAnsi="Times New Roman"/>
          <w:sz w:val="19"/>
          <w:szCs w:val="19"/>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22860</wp:posOffset>
            </wp:positionV>
            <wp:extent cx="31203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20"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20"/>
          <w:szCs w:val="20"/>
          <w:color w:val="auto"/>
        </w:rPr>
        <w:t>Carsten Brunn, Ph.D.</w:t>
      </w:r>
    </w:p>
    <w:p>
      <w:pPr>
        <w:spacing w:after="0" w:line="28"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20"/>
          <w:szCs w:val="20"/>
          <w:i w:val="1"/>
          <w:iCs w:val="1"/>
          <w:color w:val="auto"/>
        </w:rPr>
        <w:t>President and Chief Executive Officer, and Director</w:t>
      </w:r>
    </w:p>
    <w:p>
      <w:pPr>
        <w:spacing w:after="0" w:line="27"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ectPr>
          <w:pgSz w:w="11900" w:h="16838" w:orient="portrait"/>
          <w:cols w:equalWidth="0" w:num="1">
            <w:col w:w="11240"/>
          </w:cols>
          <w:pgMar w:left="320" w:top="76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Blaine Davis, certify that:</w:t>
      </w:r>
    </w:p>
    <w:p>
      <w:pPr>
        <w:spacing w:after="0" w:line="229" w:lineRule="exact"/>
        <w:rPr>
          <w:sz w:val="20"/>
          <w:szCs w:val="20"/>
          <w:color w:val="auto"/>
        </w:rPr>
      </w:pPr>
    </w:p>
    <w:p>
      <w:pPr>
        <w:ind w:left="680" w:hanging="348"/>
        <w:spacing w:after="0"/>
        <w:tabs>
          <w:tab w:leader="none" w:pos="6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Cartesian Therapeutics, Inc.;</w:t>
      </w:r>
    </w:p>
    <w:p>
      <w:pPr>
        <w:spacing w:after="0" w:line="18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8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8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7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1300" w:right="100" w:hanging="401"/>
        <w:spacing w:after="0" w:line="261" w:lineRule="auto"/>
        <w:tabs>
          <w:tab w:leader="none" w:pos="131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1300" w:right="560" w:hanging="401"/>
        <w:spacing w:after="0" w:line="281" w:lineRule="auto"/>
        <w:tabs>
          <w:tab w:leader="none" w:pos="1324"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9"/>
          <w:szCs w:val="19"/>
          <w:color w:val="auto"/>
        </w:rPr>
      </w:pPr>
    </w:p>
    <w:p>
      <w:pPr>
        <w:ind w:left="1300" w:right="40" w:hanging="401"/>
        <w:spacing w:after="0" w:line="261" w:lineRule="auto"/>
        <w:tabs>
          <w:tab w:leader="none" w:pos="131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20"/>
          <w:szCs w:val="20"/>
          <w:color w:val="auto"/>
        </w:rPr>
      </w:pPr>
    </w:p>
    <w:p>
      <w:pPr>
        <w:ind w:left="1300" w:right="80" w:hanging="401"/>
        <w:spacing w:after="0" w:line="268" w:lineRule="auto"/>
        <w:tabs>
          <w:tab w:leader="none" w:pos="132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660" w:right="260" w:hanging="328"/>
        <w:spacing w:after="0" w:line="268" w:lineRule="auto"/>
        <w:tabs>
          <w:tab w:leader="none" w:pos="67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340" w:hanging="401"/>
        <w:spacing w:after="0" w:line="261" w:lineRule="auto"/>
        <w:tabs>
          <w:tab w:leader="none" w:pos="130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20"/>
          <w:szCs w:val="20"/>
          <w:color w:val="auto"/>
        </w:rPr>
      </w:pPr>
    </w:p>
    <w:p>
      <w:pPr>
        <w:ind w:left="1300" w:right="740" w:hanging="401"/>
        <w:spacing w:after="0" w:line="269" w:lineRule="auto"/>
        <w:tabs>
          <w:tab w:leader="none" w:pos="131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p>
      <w:pPr>
        <w:ind w:left="20"/>
        <w:spacing w:after="0"/>
        <w:tabs>
          <w:tab w:leader="none" w:pos="7920" w:val="left"/>
        </w:tabs>
        <w:rPr>
          <w:sz w:val="20"/>
          <w:szCs w:val="20"/>
          <w:color w:val="auto"/>
        </w:rPr>
      </w:pPr>
      <w:r>
        <w:rPr>
          <w:rFonts w:ascii="Times New Roman" w:cs="Times New Roman" w:eastAsia="Times New Roman" w:hAnsi="Times New Roman"/>
          <w:sz w:val="20"/>
          <w:szCs w:val="20"/>
          <w:color w:val="2C2C2C"/>
        </w:rPr>
        <w:t>May 8, 2024</w:t>
      </w:r>
      <w:r>
        <w:rPr>
          <w:sz w:val="20"/>
          <w:szCs w:val="20"/>
          <w:color w:val="auto"/>
        </w:rPr>
        <w:tab/>
      </w:r>
      <w:r>
        <w:rPr>
          <w:rFonts w:ascii="Times New Roman" w:cs="Times New Roman" w:eastAsia="Times New Roman" w:hAnsi="Times New Roman"/>
          <w:sz w:val="19"/>
          <w:szCs w:val="19"/>
          <w:color w:val="auto"/>
        </w:rPr>
        <w:t>/s/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22860</wp:posOffset>
            </wp:positionV>
            <wp:extent cx="33343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20"/>
          <w:szCs w:val="20"/>
          <w:color w:val="auto"/>
        </w:rPr>
        <w:t>Blaine Davis</w:t>
      </w:r>
    </w:p>
    <w:p>
      <w:pPr>
        <w:spacing w:after="0" w:line="28"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20"/>
          <w:szCs w:val="20"/>
          <w:i w:val="1"/>
          <w:iCs w:val="1"/>
          <w:color w:val="auto"/>
        </w:rPr>
        <w:t>Chief Financial Officer</w:t>
      </w:r>
    </w:p>
    <w:p>
      <w:pPr>
        <w:spacing w:after="0" w:line="27"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ectPr>
          <w:pgSz w:w="11900" w:h="16838" w:orient="portrait"/>
          <w:cols w:equalWidth="0" w:num="1">
            <w:col w:w="11240"/>
          </w:cols>
          <w:pgMar w:left="320" w:top="76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335" w:lineRule="exact"/>
        <w:rPr>
          <w:sz w:val="20"/>
          <w:szCs w:val="20"/>
          <w:color w:val="auto"/>
        </w:rPr>
      </w:pPr>
    </w:p>
    <w:p>
      <w:pPr>
        <w:ind w:right="140" w:firstLine="324"/>
        <w:spacing w:after="0" w:line="268" w:lineRule="auto"/>
        <w:rPr>
          <w:sz w:val="20"/>
          <w:szCs w:val="20"/>
          <w:color w:val="auto"/>
        </w:rPr>
      </w:pPr>
      <w:r>
        <w:rPr>
          <w:rFonts w:ascii="Times New Roman" w:cs="Times New Roman" w:eastAsia="Times New Roman" w:hAnsi="Times New Roman"/>
          <w:sz w:val="20"/>
          <w:szCs w:val="20"/>
          <w:color w:val="auto"/>
        </w:rPr>
        <w:t>In connection with the Quarterly Report on Form 10-Q of Cartesian Therapeutics, Inc. (the “Company”) for the period ended March 31, 2024 as filed with the Securities and Exchange Commission on the date hereof (the “Report”), each of the undersigned officers of the Company hereby certifies, pursuant to 18 U.S.C. Section 1350, that to his knowledge:</w:t>
      </w:r>
    </w:p>
    <w:p>
      <w:pPr>
        <w:spacing w:after="0" w:line="53" w:lineRule="exact"/>
        <w:rPr>
          <w:sz w:val="20"/>
          <w:szCs w:val="20"/>
          <w:color w:val="auto"/>
        </w:rPr>
      </w:pPr>
    </w:p>
    <w:p>
      <w:pPr>
        <w:ind w:left="660" w:right="340" w:hanging="328"/>
        <w:spacing w:after="0" w:line="283" w:lineRule="auto"/>
        <w:tabs>
          <w:tab w:leader="none" w:pos="67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period ended March 31, 2024 (the “Report”) fully complies with the requirements of Section 13(a) or 15(d) of the Securities Exchange Act of 1934, as amended; and</w:t>
      </w:r>
    </w:p>
    <w:p>
      <w:pPr>
        <w:spacing w:after="0" w:line="38"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7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May 8, 2024</w:t>
            </w:r>
          </w:p>
        </w:tc>
        <w:tc>
          <w:tcPr>
            <w:tcW w:w="4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/s/ Carsten Brunn, Ph.D.</w:t>
            </w:r>
          </w:p>
        </w:tc>
      </w:tr>
      <w:tr>
        <w:trPr>
          <w:trHeight w:val="240"/>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Carsten Brunn, Ph.D.</w:t>
            </w:r>
          </w:p>
        </w:tc>
      </w:tr>
      <w:tr>
        <w:trPr>
          <w:trHeight w:val="256"/>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8"/>
              </w:rPr>
              <w:t>President and Chief Executive Officer, and Director</w:t>
            </w:r>
          </w:p>
        </w:tc>
      </w:tr>
      <w:tr>
        <w:trPr>
          <w:trHeight w:val="262"/>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8"/>
              </w:rPr>
              <w:t>(Principal Executive Officer)</w:t>
            </w:r>
          </w:p>
        </w:tc>
      </w:tr>
      <w:tr>
        <w:trPr>
          <w:trHeight w:val="9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May 8, 2024</w:t>
            </w:r>
          </w:p>
        </w:tc>
        <w:tc>
          <w:tcPr>
            <w:tcW w:w="40" w:type="dxa"/>
            <w:vAlign w:val="bottom"/>
          </w:tcPr>
          <w:p>
            <w:pPr>
              <w:spacing w:after="0"/>
              <w:rPr>
                <w:sz w:val="24"/>
                <w:szCs w:val="24"/>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8"/>
              </w:rPr>
              <w:t>/s/ Blaine Davis</w:t>
            </w:r>
          </w:p>
        </w:tc>
      </w:tr>
      <w:tr>
        <w:trPr>
          <w:trHeight w:val="240"/>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Blaine Davis</w:t>
            </w:r>
          </w:p>
        </w:tc>
        <w:tc>
          <w:tcPr>
            <w:tcW w:w="20" w:type="dxa"/>
            <w:vAlign w:val="bottom"/>
          </w:tcPr>
          <w:p>
            <w:pPr>
              <w:spacing w:after="0"/>
              <w:rPr>
                <w:sz w:val="20"/>
                <w:szCs w:val="20"/>
                <w:color w:val="auto"/>
              </w:rPr>
            </w:pPr>
          </w:p>
        </w:tc>
      </w:tr>
      <w:tr>
        <w:trPr>
          <w:trHeight w:val="256"/>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i w:val="1"/>
                <w:iCs w:val="1"/>
                <w:color w:val="auto"/>
                <w:w w:val="99"/>
              </w:rPr>
              <w:t>Chief Financial Officer</w:t>
            </w:r>
          </w:p>
        </w:tc>
      </w:tr>
      <w:tr>
        <w:trPr>
          <w:trHeight w:val="262"/>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i w:val="1"/>
                <w:iCs w:val="1"/>
                <w:color w:val="auto"/>
                <w:w w:val="98"/>
              </w:rPr>
              <w:t>(Principal Financial Officer)</w:t>
            </w:r>
          </w:p>
        </w:tc>
      </w:tr>
    </w:tbl>
    <w:p>
      <w:pPr>
        <w:spacing w:after="0" w:line="1" w:lineRule="exact"/>
        <w:rPr>
          <w:sz w:val="20"/>
          <w:szCs w:val="20"/>
          <w:color w:val="auto"/>
        </w:rPr>
      </w:pPr>
    </w:p>
    <w:sectPr>
      <w:pgSz w:w="11900" w:h="16838" w:orient="portrait"/>
      <w:cols w:equalWidth="0" w:num="1">
        <w:col w:w="11240"/>
      </w:cols>
      <w:pgMar w:left="320" w:top="7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3"/>
    </w:lvl>
  </w:abstractNum>
  <w:abstractNum w:abstractNumId="6">
    <w:nsid w:val="4E6AFB66"/>
    <w:multiLevelType w:val="hybridMultilevel"/>
    <w:lvl w:ilvl="0">
      <w:lvlJc w:val="left"/>
      <w:lvlText w:val="%1."/>
      <w:numFmt w:val="decimal"/>
      <w:start w:val="15"/>
    </w:lvl>
  </w:abstractNum>
  <w:abstractNum w:abstractNumId="7">
    <w:nsid w:val="25E45D32"/>
    <w:multiLevelType w:val="hybridMultilevel"/>
    <w:lvl w:ilvl="0">
      <w:lvlJc w:val="left"/>
      <w:lvlText w:val="%1."/>
      <w:numFmt w:val="decimal"/>
      <w:start w:val="20"/>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3"/>
    </w:lvl>
    <w:lvl w:ilvl="1">
      <w:lvlJc w:val="left"/>
      <w:lvlText w:val="(%2)"/>
      <w:numFmt w:val="lowerLetter"/>
      <w:start w:val="1"/>
    </w:lvl>
  </w:abstractNum>
  <w:abstractNum w:abstractNumId="14">
    <w:nsid w:val="436C6125"/>
    <w:multiLevelType w:val="hybridMultilevel"/>
    <w:lvl w:ilvl="0">
      <w:lvlJc w:val="left"/>
      <w:lvlText w:val="%1"/>
      <w:numFmt w:val="decimal"/>
      <w:start w:val="1"/>
    </w:lvl>
    <w:lvl w:ilvl="1">
      <w:lvlJc w:val="left"/>
      <w:lvlText w:val="(%2)"/>
      <w:numFmt w:val="lowerLetter"/>
      <w:start w:val="1"/>
    </w:lvl>
  </w:abstractNum>
  <w:abstractNum w:abstractNumId="15">
    <w:nsid w:val="628C895D"/>
    <w:multiLevelType w:val="hybridMultilevel"/>
    <w:lvl w:ilvl="0">
      <w:lvlJc w:val="left"/>
      <w:lvlText w:val="%1."/>
      <w:numFmt w:val="decimal"/>
      <w:start w:val="4"/>
    </w:lvl>
    <w:lvl w:ilvl="1">
      <w:lvlJc w:val="left"/>
      <w:lvlText w:val="%2"/>
      <w:numFmt w:val="lowerLetter"/>
      <w:start w:val="1"/>
    </w:lvl>
  </w:abstractNum>
  <w:abstractNum w:abstractNumId="16">
    <w:nsid w:val="333AB105"/>
    <w:multiLevelType w:val="hybridMultilevel"/>
    <w:lvl w:ilvl="0">
      <w:lvlJc w:val="left"/>
      <w:lvlText w:val="%1."/>
      <w:numFmt w:val="decimal"/>
      <w:start w:val="5"/>
    </w:lvl>
    <w:lvl w:ilvl="1">
      <w:lvlJc w:val="left"/>
      <w:lvlText w:val="(%2)"/>
      <w:numFmt w:val="lowerLetter"/>
      <w:start w:val="1"/>
    </w:lvl>
  </w:abstractNum>
  <w:abstractNum w:abstractNumId="17">
    <w:nsid w:val="721DA317"/>
    <w:multiLevelType w:val="hybridMultilevel"/>
    <w:lvl w:ilvl="0">
      <w:lvlJc w:val="left"/>
      <w:lvlText w:val="%1"/>
      <w:numFmt w:val="decimal"/>
      <w:start w:val="1"/>
    </w:lvl>
    <w:lvl w:ilvl="1">
      <w:lvlJc w:val="left"/>
      <w:lvlText w:val="(%2)"/>
      <w:numFmt w:val="lowerLetter"/>
      <w:start w:val="2"/>
    </w:lvl>
  </w:abstractNum>
  <w:abstractNum w:abstractNumId="18">
    <w:nsid w:val="2443A858"/>
    <w:multiLevelType w:val="hybridMultilevel"/>
    <w:lvl w:ilvl="0">
      <w:lvlJc w:val="left"/>
      <w:lvlText w:val="%1."/>
      <w:numFmt w:val="decimal"/>
      <w:start w:val="6"/>
    </w:lvl>
    <w:lvl w:ilvl="1">
      <w:lvlJc w:val="left"/>
      <w:lvlText w:val="%2"/>
      <w:numFmt w:val="lowerLetter"/>
      <w:start w:val="1"/>
    </w:lvl>
  </w:abstractNum>
  <w:abstractNum w:abstractNumId="19">
    <w:nsid w:val="2D1D5AE9"/>
    <w:multiLevelType w:val="hybridMultilevel"/>
    <w:lvl w:ilvl="0">
      <w:lvlJc w:val="left"/>
      <w:lvlText w:val="%1."/>
      <w:numFmt w:val="decimal"/>
      <w:start w:val="7"/>
    </w:lvl>
  </w:abstractNum>
  <w:abstractNum w:abstractNumId="20">
    <w:nsid w:val="6763845E"/>
    <w:multiLevelType w:val="hybridMultilevel"/>
    <w:lvl w:ilvl="0">
      <w:lvlJc w:val="left"/>
      <w:lvlText w:val="%1."/>
      <w:numFmt w:val="upperLetter"/>
      <w:start w:val="1"/>
    </w:lvl>
    <w:lvl w:ilvl="1">
      <w:lvlJc w:val="left"/>
      <w:lvlText w:val="(%2)"/>
      <w:numFmt w:val="lowerLetter"/>
      <w:start w:val="1"/>
    </w:lvl>
  </w:abstractNum>
  <w:abstractNum w:abstractNumId="21">
    <w:nsid w:val="75A2A8D4"/>
    <w:multiLevelType w:val="hybridMultilevel"/>
    <w:lvl w:ilvl="0">
      <w:lvlJc w:val="left"/>
      <w:lvlText w:val="%1."/>
      <w:numFmt w:val="decimal"/>
      <w:start w:val="8"/>
    </w:lvl>
  </w:abstractNum>
  <w:abstractNum w:abstractNumId="22">
    <w:nsid w:val="8EDBDAB"/>
    <w:multiLevelType w:val="hybridMultilevel"/>
    <w:lvl w:ilvl="0">
      <w:lvlJc w:val="left"/>
      <w:lvlText w:val="%1."/>
      <w:numFmt w:val="decimal"/>
      <w:start w:val="1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57" Type="http://schemas.openxmlformats.org/officeDocument/2006/relationships/hyperlink" Target="https://www.sec.gov/Archives/edgar/data/1453687/000119312523275461/d869185dex21.htm" TargetMode="External"/><Relationship Id="rId58" Type="http://schemas.openxmlformats.org/officeDocument/2006/relationships/hyperlink" Target="https://www.sec.gov/Archives/edgar/data/1453687/000110465916129891/a16-14002_1ex3d1.htm" TargetMode="External"/><Relationship Id="rId59" Type="http://schemas.openxmlformats.org/officeDocument/2006/relationships/hyperlink" Target="https://www.sec.gov/Archives/edgar/data/0001453687/000145368722000109/exhibit31_charteramendment.htm" TargetMode="External"/><Relationship Id="rId60" Type="http://schemas.openxmlformats.org/officeDocument/2006/relationships/hyperlink" Target="https://www.sec.gov/Archives/edgar/data/1453687/000119312523275461/d869185dex33.htm" TargetMode="External"/><Relationship Id="rId61" Type="http://schemas.openxmlformats.org/officeDocument/2006/relationships/hyperlink" Target="https://www.sec.gov/Archives/edgar/data/1453687/000145368724000048/exhibit32certificateofamen.htm" TargetMode="External"/><Relationship Id="rId62" Type="http://schemas.openxmlformats.org/officeDocument/2006/relationships/hyperlink" Target="https://www.sec.gov/Archives/edgar/data/1453687/000119312523276086/d549858dex32.htm" TargetMode="External"/><Relationship Id="rId63" Type="http://schemas.openxmlformats.org/officeDocument/2006/relationships/hyperlink" Target="https://www.sec.gov/Archives/edgar/data/1453687/000119312523275461/d869185dex34.htm" TargetMode="External"/><Relationship Id="rId64" Type="http://schemas.openxmlformats.org/officeDocument/2006/relationships/hyperlink" Target="https://www.sec.gov/Archives/edgar/data/1453687/000145368724000048/exhibit31certificateofamen.htm" TargetMode="External"/><Relationship Id="rId65" Type="http://schemas.openxmlformats.org/officeDocument/2006/relationships/hyperlink" Target="https://www.sec.gov/Archives/edgar/data/1453687/000145368724000052/exhibit101employmentagreem.htm" TargetMode="External"/><Relationship Id="rId66" Type="http://schemas.openxmlformats.org/officeDocument/2006/relationships/hyperlink" Target="https://www.sec.gov/ix?doc=/Archives/edgar/data/1453687/000145368724000052/rnac-20240326.htm" TargetMode="External"/><Relationship Id="rId67" Type="http://schemas.openxmlformats.org/officeDocument/2006/relationships/hyperlink" Target="https://www.sec.gov/ix?doc=/Archives/edgar/data/1453687/000145368724000036/rnac-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2024-05-08T06:15:00Z</dcterms:created>
  <dcterms:modified xsi:type="dcterms:W3CDTF">2024-05-08T06:15:00Z</dcterms:modified>
</cp:coreProperties>
</file>