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6403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640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ectPr>
          <w:pgSz w:w="11900" w:h="16838" w:orient="portrait"/>
          <w:cols w:equalWidth="0" w:num="1">
            <w:col w:w="10020"/>
          </w:cols>
          <w:pgMar w:left="920" w:top="213" w:right="959" w:bottom="1440" w:gutter="0" w:footer="0" w:header="0"/>
        </w:sectPr>
      </w:pPr>
    </w:p>
    <w:p>
      <w:pPr>
        <w:spacing w:after="0" w:line="3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08" w:lineRule="exact"/>
        <w:rPr>
          <w:sz w:val="24"/>
          <w:szCs w:val="24"/>
          <w:color w:val="auto"/>
        </w:rPr>
      </w:pPr>
    </w:p>
    <w:p>
      <w:pPr>
        <w:ind w:left="620" w:right="60" w:hanging="317"/>
        <w:spacing w:after="0" w:line="237" w:lineRule="auto"/>
        <w:tabs>
          <w:tab w:leader="none" w:pos="80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2016</w:t>
      </w:r>
    </w:p>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91" w:lineRule="exact"/>
        <w:rPr>
          <w:sz w:val="24"/>
          <w:szCs w:val="24"/>
          <w:color w:val="auto"/>
        </w:rPr>
      </w:pPr>
    </w:p>
    <w:p>
      <w:pPr>
        <w:ind w:left="620" w:right="40" w:hanging="317"/>
        <w:spacing w:after="0" w:line="237" w:lineRule="auto"/>
        <w:tabs>
          <w:tab w:leader="none" w:pos="80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001-37798</w:t>
      </w:r>
    </w:p>
    <w:p>
      <w:pPr>
        <w:spacing w:after="0" w:line="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color w:val="auto"/>
        </w:rPr>
        <w:t>Selecta Biosciences, Inc.</w:t>
      </w:r>
    </w:p>
    <w:p>
      <w:pPr>
        <w:jc w:val="center"/>
        <w:ind w:right="-3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76" w:lineRule="exact"/>
        <w:rPr>
          <w:sz w:val="24"/>
          <w:szCs w:val="24"/>
          <w:color w:val="auto"/>
        </w:rPr>
      </w:pPr>
    </w:p>
    <w:tbl>
      <w:tblPr>
        <w:tblLayout w:type="fixed"/>
        <w:tblInd w:w="360" w:type="dxa"/>
        <w:tblCellMar>
          <w:top w:w="0" w:type="dxa"/>
          <w:left w:w="0" w:type="dxa"/>
          <w:bottom w:w="0" w:type="dxa"/>
          <w:right w:w="0" w:type="dxa"/>
        </w:tblCellMar>
      </w:tblPr>
      <w:tr>
        <w:trPr>
          <w:trHeight w:val="195"/>
        </w:trPr>
        <w:tc>
          <w:tcPr>
            <w:tcW w:w="5100" w:type="dxa"/>
            <w:vAlign w:val="bottom"/>
          </w:tcPr>
          <w:p>
            <w:pPr>
              <w:jc w:val="center"/>
              <w:ind w:right="79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38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26-1622110</w:t>
            </w:r>
          </w:p>
        </w:tc>
        <w:tc>
          <w:tcPr>
            <w:tcW w:w="0" w:type="dxa"/>
            <w:vAlign w:val="bottom"/>
          </w:tcPr>
          <w:p>
            <w:pPr>
              <w:spacing w:after="0"/>
              <w:rPr>
                <w:sz w:val="1"/>
                <w:szCs w:val="1"/>
                <w:color w:val="auto"/>
              </w:rPr>
            </w:pPr>
          </w:p>
        </w:tc>
      </w:tr>
      <w:tr>
        <w:trPr>
          <w:trHeight w:val="223"/>
        </w:trPr>
        <w:tc>
          <w:tcPr>
            <w:tcW w:w="5100" w:type="dxa"/>
            <w:vAlign w:val="bottom"/>
          </w:tcPr>
          <w:p>
            <w:pPr>
              <w:jc w:val="center"/>
              <w:ind w:right="81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380" w:type="dxa"/>
            <w:vAlign w:val="bottom"/>
          </w:tcPr>
          <w:p>
            <w:pPr>
              <w:jc w:val="center"/>
              <w:ind w:left="814"/>
              <w:spacing w:after="0"/>
              <w:rPr>
                <w:sz w:val="20"/>
                <w:szCs w:val="20"/>
                <w:color w:val="auto"/>
              </w:rPr>
            </w:pPr>
            <w:r>
              <w:rPr>
                <w:rFonts w:ascii="Times New Roman" w:cs="Times New Roman" w:eastAsia="Times New Roman" w:hAnsi="Times New Roman"/>
                <w:sz w:val="17"/>
                <w:szCs w:val="17"/>
                <w:color w:val="auto"/>
              </w:rPr>
              <w:t>(I.R.S. Employer Identification No.)</w:t>
            </w:r>
          </w:p>
        </w:tc>
        <w:tc>
          <w:tcPr>
            <w:tcW w:w="0" w:type="dxa"/>
            <w:vAlign w:val="bottom"/>
          </w:tcPr>
          <w:p>
            <w:pPr>
              <w:spacing w:after="0"/>
              <w:rPr>
                <w:sz w:val="1"/>
                <w:szCs w:val="1"/>
                <w:color w:val="auto"/>
              </w:rPr>
            </w:pPr>
          </w:p>
        </w:tc>
      </w:tr>
      <w:tr>
        <w:trPr>
          <w:trHeight w:val="279"/>
        </w:trPr>
        <w:tc>
          <w:tcPr>
            <w:tcW w:w="5100" w:type="dxa"/>
            <w:vAlign w:val="bottom"/>
          </w:tcPr>
          <w:p>
            <w:pPr>
              <w:jc w:val="center"/>
              <w:ind w:right="794"/>
              <w:spacing w:after="0"/>
              <w:rPr>
                <w:sz w:val="20"/>
                <w:szCs w:val="20"/>
                <w:color w:val="auto"/>
              </w:rPr>
            </w:pPr>
            <w:r>
              <w:rPr>
                <w:rFonts w:ascii="Times New Roman" w:cs="Times New Roman" w:eastAsia="Times New Roman" w:hAnsi="Times New Roman"/>
                <w:sz w:val="17"/>
                <w:szCs w:val="17"/>
                <w:b w:val="1"/>
                <w:bCs w:val="1"/>
                <w:color w:val="auto"/>
              </w:rPr>
              <w:t>480 Arsenal Street, Building One,</w:t>
            </w:r>
          </w:p>
        </w:tc>
        <w:tc>
          <w:tcPr>
            <w:tcW w:w="3380" w:type="dxa"/>
            <w:vAlign w:val="bottom"/>
            <w:vMerge w:val="restart"/>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67"/>
        </w:trPr>
        <w:tc>
          <w:tcPr>
            <w:tcW w:w="5100" w:type="dxa"/>
            <w:vAlign w:val="bottom"/>
          </w:tcPr>
          <w:p>
            <w:pPr>
              <w:jc w:val="center"/>
              <w:ind w:right="814"/>
              <w:spacing w:after="0" w:line="167" w:lineRule="exact"/>
              <w:rPr>
                <w:sz w:val="20"/>
                <w:szCs w:val="20"/>
                <w:color w:val="auto"/>
              </w:rPr>
            </w:pPr>
            <w:r>
              <w:rPr>
                <w:rFonts w:ascii="Times New Roman" w:cs="Times New Roman" w:eastAsia="Times New Roman" w:hAnsi="Times New Roman"/>
                <w:sz w:val="17"/>
                <w:szCs w:val="17"/>
                <w:b w:val="1"/>
                <w:bCs w:val="1"/>
                <w:color w:val="auto"/>
              </w:rPr>
              <w:t>Watertown, MA</w:t>
            </w: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center"/>
              <w:ind w:right="81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380" w:type="dxa"/>
            <w:vAlign w:val="bottom"/>
          </w:tcPr>
          <w:p>
            <w:pPr>
              <w:jc w:val="center"/>
              <w:ind w:left="814"/>
              <w:spacing w:after="0"/>
              <w:rPr>
                <w:sz w:val="20"/>
                <w:szCs w:val="20"/>
                <w:color w:val="auto"/>
              </w:rPr>
            </w:pPr>
            <w:r>
              <w:rPr>
                <w:rFonts w:ascii="Times New Roman" w:cs="Times New Roman" w:eastAsia="Times New Roman" w:hAnsi="Times New Roman"/>
                <w:sz w:val="17"/>
                <w:szCs w:val="17"/>
                <w:color w:val="auto"/>
              </w:rPr>
              <w:t>(Zip Code)</w:t>
            </w: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617-923-1400</w:t>
      </w:r>
    </w:p>
    <w:p>
      <w:pPr>
        <w:jc w:val="center"/>
        <w:ind w:right="-3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82"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6"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6" w:lineRule="exact"/>
        <w:rPr>
          <w:sz w:val="24"/>
          <w:szCs w:val="24"/>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4" w:lineRule="exact"/>
        <w:rPr>
          <w:sz w:val="24"/>
          <w:szCs w:val="24"/>
          <w:color w:val="auto"/>
        </w:rPr>
      </w:pPr>
    </w:p>
    <w:p>
      <w:pPr>
        <w:ind w:left="1600"/>
        <w:spacing w:after="0" w:line="196" w:lineRule="exact"/>
        <w:tabs>
          <w:tab w:leader="none" w:pos="6920" w:val="left"/>
        </w:tabs>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39" w:lineRule="exact"/>
        <w:rPr>
          <w:sz w:val="24"/>
          <w:szCs w:val="24"/>
          <w:color w:val="auto"/>
        </w:rPr>
      </w:pPr>
    </w:p>
    <w:p>
      <w:pPr>
        <w:ind w:left="1640"/>
        <w:spacing w:after="0" w:line="196" w:lineRule="exact"/>
        <w:tabs>
          <w:tab w:leader="none" w:pos="6540" w:val="left"/>
        </w:tabs>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5" w:lineRule="exact"/>
        <w:rPr>
          <w:sz w:val="24"/>
          <w:szCs w:val="24"/>
          <w:color w:val="auto"/>
        </w:rPr>
      </w:pPr>
    </w:p>
    <w:p>
      <w:pPr>
        <w:ind w:right="1260"/>
        <w:spacing w:after="0" w:line="27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August 8, 2016 the registrant had 18,190,180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403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188595</wp:posOffset>
            </wp:positionV>
            <wp:extent cx="640334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3340" cy="323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760095</wp:posOffset>
            </wp:positionV>
            <wp:extent cx="640334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3340" cy="24765"/>
                    </a:xfrm>
                    <a:prstGeom prst="rect">
                      <a:avLst/>
                    </a:prstGeom>
                    <a:noFill/>
                  </pic:spPr>
                </pic:pic>
              </a:graphicData>
            </a:graphic>
          </wp:anchor>
        </w:drawing>
      </w:r>
    </w:p>
    <w:p>
      <w:pPr>
        <w:sectPr>
          <w:pgSz w:w="11900" w:h="16838" w:orient="portrait"/>
          <w:cols w:equalWidth="0" w:num="1">
            <w:col w:w="10020"/>
          </w:cols>
          <w:pgMar w:left="920" w:top="213" w:right="959" w:bottom="1440" w:gutter="0" w:footer="0" w:header="0"/>
          <w:type w:val="continuous"/>
        </w:sectPr>
      </w:pPr>
    </w:p>
    <w:bookmarkStart w:id="1" w:name="page2"/>
    <w:bookmarkEnd w:id="1"/>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SELECTA BIOSCIENCES, INC.</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9060"/>
          </w:cols>
          <w:pgMar w:left="1420" w:top="110" w:right="1419"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0" w:type="dxa"/>
            <w:vAlign w:val="bottom"/>
            <w:tcBorders>
              <w:bottom w:val="single" w:sz="8" w:color="0000EE"/>
            </w:tcBorders>
            <w:gridSpan w:val="7"/>
          </w:tcPr>
          <w:p>
            <w:pPr>
              <w:jc w:val="center"/>
              <w:spacing w:after="0"/>
              <w:rPr>
                <w:rFonts w:ascii="Times New Roman" w:cs="Times New Roman" w:eastAsia="Times New Roman" w:hAnsi="Times New Roman"/>
                <w:sz w:val="17"/>
                <w:szCs w:val="17"/>
                <w:b w:val="1"/>
                <w:bCs w:val="1"/>
                <w:color w:val="0000EE"/>
              </w:rPr>
            </w:pPr>
            <w:hyperlink w:anchor="page4">
              <w:r>
                <w:rPr>
                  <w:rFonts w:ascii="Times New Roman" w:cs="Times New Roman" w:eastAsia="Times New Roman" w:hAnsi="Times New Roman"/>
                  <w:sz w:val="17"/>
                  <w:szCs w:val="17"/>
                  <w:b w:val="1"/>
                  <w:bCs w:val="1"/>
                  <w:color w:val="0000EE"/>
                </w:rPr>
                <w:t>Part I. FINANCIAL INFORMATION</w:t>
              </w:r>
            </w:hyperlink>
          </w:p>
        </w:tc>
        <w:tc>
          <w:tcPr>
            <w:tcW w:w="2360" w:type="dxa"/>
            <w:vAlign w:val="bottom"/>
            <w:gridSpan w:val="6"/>
          </w:tcPr>
          <w:p>
            <w:pPr>
              <w:spacing w:after="0"/>
              <w:rPr>
                <w:sz w:val="17"/>
                <w:szCs w:val="17"/>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4">
              <w:r>
                <w:rPr>
                  <w:rFonts w:ascii="Times New Roman" w:cs="Times New Roman" w:eastAsia="Times New Roman" w:hAnsi="Times New Roman"/>
                  <w:sz w:val="17"/>
                  <w:szCs w:val="17"/>
                  <w:b w:val="1"/>
                  <w:bCs w:val="1"/>
                  <w:color w:val="0000EE"/>
                  <w:w w:val="97"/>
                </w:rPr>
                <w:t>Item 1.</w:t>
              </w:r>
            </w:hyperlink>
          </w:p>
        </w:tc>
        <w:tc>
          <w:tcPr>
            <w:tcW w:w="660" w:type="dxa"/>
            <w:vAlign w:val="bottom"/>
            <w:gridSpan w:val="3"/>
          </w:tcPr>
          <w:p>
            <w:pPr>
              <w:spacing w:after="0"/>
              <w:rPr>
                <w:sz w:val="24"/>
                <w:szCs w:val="24"/>
                <w:color w:val="auto"/>
              </w:rPr>
            </w:pPr>
          </w:p>
        </w:tc>
        <w:tc>
          <w:tcPr>
            <w:tcW w:w="1540" w:type="dxa"/>
            <w:vAlign w:val="bottom"/>
            <w:tcBorders>
              <w:bottom w:val="single" w:sz="8" w:color="0000EE"/>
            </w:tcBorders>
            <w:gridSpan w:val="6"/>
          </w:tcPr>
          <w:p>
            <w:pPr>
              <w:spacing w:after="0"/>
              <w:rPr>
                <w:rFonts w:ascii="Times New Roman" w:cs="Times New Roman" w:eastAsia="Times New Roman" w:hAnsi="Times New Roman"/>
                <w:sz w:val="17"/>
                <w:szCs w:val="17"/>
                <w:b w:val="1"/>
                <w:bCs w:val="1"/>
                <w:color w:val="0000EE"/>
                <w:w w:val="99"/>
              </w:rPr>
            </w:pPr>
            <w:hyperlink w:anchor="page4">
              <w:r>
                <w:rPr>
                  <w:rFonts w:ascii="Times New Roman" w:cs="Times New Roman" w:eastAsia="Times New Roman" w:hAnsi="Times New Roman"/>
                  <w:sz w:val="17"/>
                  <w:szCs w:val="17"/>
                  <w:b w:val="1"/>
                  <w:bCs w:val="1"/>
                  <w:color w:val="0000EE"/>
                  <w:w w:val="99"/>
                </w:rPr>
                <w:t>Financial Statements</w:t>
              </w:r>
            </w:hyperlink>
          </w:p>
        </w:tc>
        <w:tc>
          <w:tcPr>
            <w:tcW w:w="5960" w:type="dxa"/>
            <w:vAlign w:val="bottom"/>
            <w:gridSpan w:val="16"/>
          </w:tcPr>
          <w:p>
            <w:pPr>
              <w:spacing w:after="0"/>
              <w:rPr>
                <w:sz w:val="24"/>
                <w:szCs w:val="24"/>
                <w:color w:val="auto"/>
              </w:rPr>
            </w:pPr>
          </w:p>
        </w:tc>
      </w:tr>
      <w:tr>
        <w:trPr>
          <w:trHeight w:val="3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7"/>
                <w:szCs w:val="17"/>
                <w:b w:val="1"/>
                <w:bCs w:val="1"/>
                <w:color w:val="0000EE"/>
              </w:rPr>
            </w:pPr>
            <w:hyperlink w:anchor="page4">
              <w:r>
                <w:rPr>
                  <w:rFonts w:ascii="Times New Roman" w:cs="Times New Roman" w:eastAsia="Times New Roman" w:hAnsi="Times New Roman"/>
                  <w:sz w:val="17"/>
                  <w:szCs w:val="17"/>
                  <w:b w:val="1"/>
                  <w:bCs w:val="1"/>
                  <w:color w:val="0000EE"/>
                </w:rPr>
                <w:t>Consolidated Balance Sheets as of June 30, 2016 (unaudited) and December 31, 2015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7"/>
                <w:szCs w:val="17"/>
                <w:b w:val="1"/>
                <w:bCs w:val="1"/>
                <w:color w:val="0000EE"/>
              </w:rPr>
            </w:pPr>
            <w:hyperlink w:anchor="page5">
              <w:r>
                <w:rPr>
                  <w:rFonts w:ascii="Times New Roman" w:cs="Times New Roman" w:eastAsia="Times New Roman" w:hAnsi="Times New Roman"/>
                  <w:sz w:val="17"/>
                  <w:szCs w:val="17"/>
                  <w:b w:val="1"/>
                  <w:bCs w:val="1"/>
                  <w:color w:val="0000EE"/>
                </w:rPr>
                <w:t>Consolidated Statements of Operations  and Comprehensive Loss for the Three Months and Six</w:t>
              </w:r>
            </w:hyperlink>
          </w:p>
        </w:tc>
      </w:t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80" w:type="dxa"/>
            <w:vAlign w:val="bottom"/>
            <w:tcBorders>
              <w:top w:val="single" w:sz="8" w:color="0000EE"/>
            </w:tcBorders>
            <w:gridSpan w:val="21"/>
          </w:tcPr>
          <w:p>
            <w:pPr>
              <w:spacing w:after="0" w:line="173" w:lineRule="exact"/>
              <w:rPr>
                <w:rFonts w:ascii="Times New Roman" w:cs="Times New Roman" w:eastAsia="Times New Roman" w:hAnsi="Times New Roman"/>
                <w:sz w:val="17"/>
                <w:szCs w:val="17"/>
                <w:b w:val="1"/>
                <w:bCs w:val="1"/>
                <w:color w:val="0000EE"/>
              </w:rPr>
            </w:pPr>
            <w:hyperlink w:anchor="page5">
              <w:r>
                <w:rPr>
                  <w:rFonts w:ascii="Times New Roman" w:cs="Times New Roman" w:eastAsia="Times New Roman" w:hAnsi="Times New Roman"/>
                  <w:sz w:val="17"/>
                  <w:szCs w:val="17"/>
                  <w:b w:val="1"/>
                  <w:bCs w:val="1"/>
                  <w:color w:val="0000EE"/>
                </w:rPr>
                <w:t>Months ended June 30, 2016 (unaudited) and 2015</w:t>
              </w:r>
            </w:hyperlink>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7"/>
                <w:szCs w:val="17"/>
                <w:b w:val="1"/>
                <w:bCs w:val="1"/>
                <w:color w:val="0000EE"/>
              </w:rPr>
            </w:pPr>
            <w:hyperlink w:anchor="page6">
              <w:r>
                <w:rPr>
                  <w:rFonts w:ascii="Times New Roman" w:cs="Times New Roman" w:eastAsia="Times New Roman" w:hAnsi="Times New Roman"/>
                  <w:sz w:val="17"/>
                  <w:szCs w:val="17"/>
                  <w:b w:val="1"/>
                  <w:bCs w:val="1"/>
                  <w:color w:val="0000EE"/>
                </w:rPr>
                <w:t>Consolidated Statements of Redeemable Convertible Preferred Stock and Stockholders’ Equity</w:t>
              </w:r>
            </w:hyperlink>
          </w:p>
        </w:tc>
      </w:t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60" w:type="dxa"/>
            <w:vAlign w:val="bottom"/>
            <w:tcBorders>
              <w:top w:val="single" w:sz="8" w:color="0000EE"/>
            </w:tcBorders>
            <w:gridSpan w:val="20"/>
          </w:tcPr>
          <w:p>
            <w:pPr>
              <w:spacing w:after="0" w:line="173" w:lineRule="exact"/>
              <w:rPr>
                <w:rFonts w:ascii="Times New Roman" w:cs="Times New Roman" w:eastAsia="Times New Roman" w:hAnsi="Times New Roman"/>
                <w:sz w:val="17"/>
                <w:szCs w:val="17"/>
                <w:b w:val="1"/>
                <w:bCs w:val="1"/>
                <w:color w:val="0000EE"/>
              </w:rPr>
            </w:pPr>
            <w:hyperlink w:anchor="page6">
              <w:r>
                <w:rPr>
                  <w:rFonts w:ascii="Times New Roman" w:cs="Times New Roman" w:eastAsia="Times New Roman" w:hAnsi="Times New Roman"/>
                  <w:sz w:val="17"/>
                  <w:szCs w:val="17"/>
                  <w:b w:val="1"/>
                  <w:bCs w:val="1"/>
                  <w:color w:val="0000EE"/>
                </w:rPr>
                <w:t>(Deficit)</w:t>
              </w:r>
            </w:hyperlink>
          </w:p>
        </w:tc>
        <w:tc>
          <w:tcPr>
            <w:tcW w:w="40" w:type="dxa"/>
            <w:vAlign w:val="bottom"/>
            <w:gridSpan w:val="2"/>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7"/>
                <w:szCs w:val="17"/>
                <w:b w:val="1"/>
                <w:bCs w:val="1"/>
                <w:color w:val="0000EE"/>
              </w:rPr>
            </w:pPr>
            <w:hyperlink w:anchor="page7">
              <w:r>
                <w:rPr>
                  <w:rFonts w:ascii="Times New Roman" w:cs="Times New Roman" w:eastAsia="Times New Roman" w:hAnsi="Times New Roman"/>
                  <w:sz w:val="17"/>
                  <w:szCs w:val="17"/>
                  <w:b w:val="1"/>
                  <w:bCs w:val="1"/>
                  <w:color w:val="0000EE"/>
                </w:rPr>
                <w:t>Consolidated Statements of Cash Flows for the Six Months ended June 30, 2016 (unaudited) and 2015</w:t>
              </w:r>
            </w:hyperlink>
          </w:p>
        </w:tc>
      </w:tr>
      <w:tr>
        <w:trPr>
          <w:trHeight w:val="3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tcBorders>
              <w:top w:val="single" w:sz="8" w:color="0000EE"/>
            </w:tcBorders>
            <w:gridSpan w:val="19"/>
          </w:tcPr>
          <w:p>
            <w:pPr>
              <w:spacing w:after="0"/>
              <w:rPr>
                <w:rFonts w:ascii="Times New Roman" w:cs="Times New Roman" w:eastAsia="Times New Roman" w:hAnsi="Times New Roman"/>
                <w:sz w:val="17"/>
                <w:szCs w:val="17"/>
                <w:b w:val="1"/>
                <w:bCs w:val="1"/>
                <w:color w:val="0000EE"/>
              </w:rPr>
            </w:pPr>
            <w:hyperlink w:anchor="page8">
              <w:r>
                <w:rPr>
                  <w:rFonts w:ascii="Times New Roman" w:cs="Times New Roman" w:eastAsia="Times New Roman" w:hAnsi="Times New Roman"/>
                  <w:sz w:val="17"/>
                  <w:szCs w:val="17"/>
                  <w:b w:val="1"/>
                  <w:bCs w:val="1"/>
                  <w:color w:val="0000EE"/>
                </w:rPr>
                <w:t>Notes to Consolidated Financial Statements (unaudited)</w:t>
              </w:r>
            </w:hyperlink>
          </w:p>
        </w:tc>
        <w:tc>
          <w:tcPr>
            <w:tcW w:w="80" w:type="dxa"/>
            <w:vAlign w:val="bottom"/>
            <w:gridSpan w:val="3"/>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31">
              <w:r>
                <w:rPr>
                  <w:rFonts w:ascii="Times New Roman" w:cs="Times New Roman" w:eastAsia="Times New Roman" w:hAnsi="Times New Roman"/>
                  <w:sz w:val="17"/>
                  <w:szCs w:val="17"/>
                  <w:b w:val="1"/>
                  <w:bCs w:val="1"/>
                  <w:color w:val="0000EE"/>
                  <w:w w:val="97"/>
                </w:rPr>
                <w:t>Item 2.</w:t>
              </w:r>
            </w:hyperlink>
          </w:p>
        </w:tc>
        <w:tc>
          <w:tcPr>
            <w:tcW w:w="660" w:type="dxa"/>
            <w:vAlign w:val="bottom"/>
            <w:gridSpan w:val="3"/>
          </w:tcPr>
          <w:p>
            <w:pPr>
              <w:spacing w:after="0"/>
              <w:rPr>
                <w:sz w:val="24"/>
                <w:szCs w:val="24"/>
                <w:color w:val="auto"/>
              </w:rPr>
            </w:pPr>
          </w:p>
        </w:tc>
        <w:tc>
          <w:tcPr>
            <w:tcW w:w="6520" w:type="dxa"/>
            <w:vAlign w:val="bottom"/>
            <w:tcBorders>
              <w:bottom w:val="single" w:sz="8" w:color="0000EE"/>
            </w:tcBorders>
            <w:gridSpan w:val="18"/>
          </w:tcPr>
          <w:p>
            <w:pPr>
              <w:spacing w:after="0"/>
              <w:rPr>
                <w:rFonts w:ascii="Times New Roman" w:cs="Times New Roman" w:eastAsia="Times New Roman" w:hAnsi="Times New Roman"/>
                <w:sz w:val="17"/>
                <w:szCs w:val="17"/>
                <w:b w:val="1"/>
                <w:bCs w:val="1"/>
                <w:color w:val="0000EE"/>
              </w:rPr>
            </w:pPr>
            <w:hyperlink w:anchor="page31">
              <w:r>
                <w:rPr>
                  <w:rFonts w:ascii="Times New Roman" w:cs="Times New Roman" w:eastAsia="Times New Roman" w:hAnsi="Times New Roman"/>
                  <w:sz w:val="17"/>
                  <w:szCs w:val="17"/>
                  <w:b w:val="1"/>
                  <w:bCs w:val="1"/>
                  <w:color w:val="0000EE"/>
                </w:rPr>
                <w:t>Management’s Discussion and Analysis of Financial Condition and Results of Operations</w:t>
              </w:r>
            </w:hyperlink>
          </w:p>
        </w:tc>
        <w:tc>
          <w:tcPr>
            <w:tcW w:w="980" w:type="dxa"/>
            <w:vAlign w:val="bottom"/>
            <w:gridSpan w:val="4"/>
          </w:tcPr>
          <w:p>
            <w:pPr>
              <w:spacing w:after="0"/>
              <w:rPr>
                <w:sz w:val="24"/>
                <w:szCs w:val="24"/>
                <w:color w:val="auto"/>
              </w:rPr>
            </w:pPr>
          </w:p>
        </w:tc>
      </w:tr>
      <w:tr>
        <w:trPr>
          <w:trHeight w:val="366"/>
        </w:trPr>
        <w:tc>
          <w:tcPr>
            <w:tcW w:w="520" w:type="dxa"/>
            <w:vAlign w:val="bottom"/>
          </w:tcPr>
          <w:p>
            <w:pPr>
              <w:spacing w:after="0"/>
              <w:rPr>
                <w:rFonts w:ascii="Times New Roman" w:cs="Times New Roman" w:eastAsia="Times New Roman" w:hAnsi="Times New Roman"/>
                <w:sz w:val="17"/>
                <w:szCs w:val="17"/>
                <w:b w:val="1"/>
                <w:bCs w:val="1"/>
                <w:color w:val="0000EE"/>
                <w:w w:val="97"/>
              </w:rPr>
            </w:pPr>
            <w:hyperlink w:anchor="page43">
              <w:r>
                <w:rPr>
                  <w:rFonts w:ascii="Times New Roman" w:cs="Times New Roman" w:eastAsia="Times New Roman" w:hAnsi="Times New Roman"/>
                  <w:sz w:val="17"/>
                  <w:szCs w:val="17"/>
                  <w:b w:val="1"/>
                  <w:bCs w:val="1"/>
                  <w:color w:val="0000EE"/>
                  <w:w w:val="97"/>
                </w:rPr>
                <w:t>Item 3.</w:t>
              </w:r>
            </w:hyperlink>
          </w:p>
        </w:tc>
        <w:tc>
          <w:tcPr>
            <w:tcW w:w="660" w:type="dxa"/>
            <w:vAlign w:val="bottom"/>
            <w:gridSpan w:val="3"/>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7"/>
                <w:szCs w:val="17"/>
                <w:b w:val="1"/>
                <w:bCs w:val="1"/>
                <w:color w:val="0000EE"/>
              </w:rPr>
            </w:pPr>
            <w:hyperlink w:anchor="page43">
              <w:r>
                <w:rPr>
                  <w:rFonts w:ascii="Times New Roman" w:cs="Times New Roman" w:eastAsia="Times New Roman" w:hAnsi="Times New Roman"/>
                  <w:sz w:val="17"/>
                  <w:szCs w:val="17"/>
                  <w:b w:val="1"/>
                  <w:bCs w:val="1"/>
                  <w:color w:val="0000EE"/>
                </w:rPr>
                <w:t>Quantitative and Qualitative Disclosures about Market Risk</w:t>
              </w:r>
            </w:hyperlink>
          </w:p>
        </w:tc>
      </w:tr>
      <w:tr>
        <w:trPr>
          <w:trHeight w:val="366"/>
        </w:trPr>
        <w:tc>
          <w:tcPr>
            <w:tcW w:w="520" w:type="dxa"/>
            <w:vAlign w:val="bottom"/>
            <w:tcBorders>
              <w:top w:val="single" w:sz="8" w:color="0000EE"/>
            </w:tcBorders>
          </w:tcPr>
          <w:p>
            <w:pPr>
              <w:spacing w:after="0"/>
              <w:rPr>
                <w:rFonts w:ascii="Times New Roman" w:cs="Times New Roman" w:eastAsia="Times New Roman" w:hAnsi="Times New Roman"/>
                <w:sz w:val="17"/>
                <w:szCs w:val="17"/>
                <w:b w:val="1"/>
                <w:bCs w:val="1"/>
                <w:color w:val="0000EE"/>
                <w:w w:val="97"/>
              </w:rPr>
            </w:pPr>
            <w:hyperlink w:anchor="page44">
              <w:r>
                <w:rPr>
                  <w:rFonts w:ascii="Times New Roman" w:cs="Times New Roman" w:eastAsia="Times New Roman" w:hAnsi="Times New Roman"/>
                  <w:sz w:val="17"/>
                  <w:szCs w:val="17"/>
                  <w:b w:val="1"/>
                  <w:bCs w:val="1"/>
                  <w:color w:val="0000EE"/>
                  <w:w w:val="97"/>
                </w:rPr>
                <w:t>Item 4.</w:t>
              </w:r>
            </w:hyperlink>
          </w:p>
        </w:tc>
        <w:tc>
          <w:tcPr>
            <w:tcW w:w="660" w:type="dxa"/>
            <w:vAlign w:val="bottom"/>
            <w:gridSpan w:val="3"/>
          </w:tcPr>
          <w:p>
            <w:pPr>
              <w:spacing w:after="0"/>
              <w:rPr>
                <w:sz w:val="24"/>
                <w:szCs w:val="24"/>
                <w:color w:val="auto"/>
              </w:rPr>
            </w:pPr>
          </w:p>
        </w:tc>
        <w:tc>
          <w:tcPr>
            <w:tcW w:w="4400" w:type="dxa"/>
            <w:vAlign w:val="bottom"/>
            <w:tcBorders>
              <w:top w:val="single" w:sz="8" w:color="0000EE"/>
            </w:tcBorders>
            <w:gridSpan w:val="14"/>
          </w:tcPr>
          <w:p>
            <w:pPr>
              <w:spacing w:after="0"/>
              <w:rPr>
                <w:rFonts w:ascii="Times New Roman" w:cs="Times New Roman" w:eastAsia="Times New Roman" w:hAnsi="Times New Roman"/>
                <w:sz w:val="17"/>
                <w:szCs w:val="17"/>
                <w:b w:val="1"/>
                <w:bCs w:val="1"/>
                <w:color w:val="0000EE"/>
              </w:rPr>
            </w:pPr>
            <w:hyperlink w:anchor="page44">
              <w:r>
                <w:rPr>
                  <w:rFonts w:ascii="Times New Roman" w:cs="Times New Roman" w:eastAsia="Times New Roman" w:hAnsi="Times New Roman"/>
                  <w:sz w:val="17"/>
                  <w:szCs w:val="17"/>
                  <w:b w:val="1"/>
                  <w:bCs w:val="1"/>
                  <w:color w:val="0000EE"/>
                </w:rPr>
                <w:t>Controls and Procedures</w:t>
              </w:r>
            </w:hyperlink>
          </w:p>
        </w:tc>
        <w:tc>
          <w:tcPr>
            <w:tcW w:w="3100" w:type="dxa"/>
            <w:vAlign w:val="bottom"/>
            <w:gridSpan w:val="8"/>
          </w:tcPr>
          <w:p>
            <w:pPr>
              <w:spacing w:after="0"/>
              <w:rPr>
                <w:sz w:val="24"/>
                <w:szCs w:val="24"/>
                <w:color w:val="auto"/>
              </w:rPr>
            </w:pPr>
          </w:p>
        </w:tc>
      </w:tr>
      <w:tr>
        <w:trPr>
          <w:trHeight w:val="366"/>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Borders>
              <w:bottom w:val="single" w:sz="8" w:color="0000EE"/>
            </w:tcBorders>
            <w:gridSpan w:val="5"/>
          </w:tcPr>
          <w:p>
            <w:pPr>
              <w:jc w:val="center"/>
              <w:spacing w:after="0"/>
              <w:rPr>
                <w:rFonts w:ascii="Times New Roman" w:cs="Times New Roman" w:eastAsia="Times New Roman" w:hAnsi="Times New Roman"/>
                <w:sz w:val="17"/>
                <w:szCs w:val="17"/>
                <w:b w:val="1"/>
                <w:bCs w:val="1"/>
                <w:color w:val="0000EE"/>
              </w:rPr>
            </w:pPr>
            <w:hyperlink w:anchor="page44">
              <w:r>
                <w:rPr>
                  <w:rFonts w:ascii="Times New Roman" w:cs="Times New Roman" w:eastAsia="Times New Roman" w:hAnsi="Times New Roman"/>
                  <w:sz w:val="17"/>
                  <w:szCs w:val="17"/>
                  <w:b w:val="1"/>
                  <w:bCs w:val="1"/>
                  <w:color w:val="0000EE"/>
                </w:rPr>
                <w:t>Part II. OTHER INFORMATION</w:t>
              </w:r>
            </w:hyperlink>
          </w:p>
        </w:tc>
        <w:tc>
          <w:tcPr>
            <w:tcW w:w="2500" w:type="dxa"/>
            <w:vAlign w:val="bottom"/>
            <w:gridSpan w:val="7"/>
          </w:tcPr>
          <w:p>
            <w:pPr>
              <w:spacing w:after="0"/>
              <w:rPr>
                <w:sz w:val="24"/>
                <w:szCs w:val="24"/>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44">
              <w:r>
                <w:rPr>
                  <w:rFonts w:ascii="Times New Roman" w:cs="Times New Roman" w:eastAsia="Times New Roman" w:hAnsi="Times New Roman"/>
                  <w:sz w:val="17"/>
                  <w:szCs w:val="17"/>
                  <w:b w:val="1"/>
                  <w:bCs w:val="1"/>
                  <w:color w:val="0000EE"/>
                  <w:w w:val="97"/>
                </w:rPr>
                <w:t>Item 1.</w:t>
              </w:r>
            </w:hyperlink>
          </w:p>
        </w:tc>
        <w:tc>
          <w:tcPr>
            <w:tcW w:w="66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Times New Roman" w:cs="Times New Roman" w:eastAsia="Times New Roman" w:hAnsi="Times New Roman"/>
                <w:sz w:val="17"/>
                <w:szCs w:val="17"/>
                <w:b w:val="1"/>
                <w:bCs w:val="1"/>
                <w:color w:val="0000EE"/>
                <w:w w:val="99"/>
              </w:rPr>
            </w:pPr>
            <w:hyperlink w:anchor="page44">
              <w:r>
                <w:rPr>
                  <w:rFonts w:ascii="Times New Roman" w:cs="Times New Roman" w:eastAsia="Times New Roman" w:hAnsi="Times New Roman"/>
                  <w:sz w:val="17"/>
                  <w:szCs w:val="17"/>
                  <w:b w:val="1"/>
                  <w:bCs w:val="1"/>
                  <w:color w:val="0000EE"/>
                  <w:w w:val="99"/>
                </w:rPr>
                <w:t>Legal Proceedings</w:t>
              </w:r>
            </w:hyperlink>
          </w:p>
        </w:tc>
        <w:tc>
          <w:tcPr>
            <w:tcW w:w="6160" w:type="dxa"/>
            <w:vAlign w:val="bottom"/>
            <w:gridSpan w:val="18"/>
          </w:tcPr>
          <w:p>
            <w:pPr>
              <w:spacing w:after="0"/>
              <w:rPr>
                <w:sz w:val="24"/>
                <w:szCs w:val="24"/>
                <w:color w:val="auto"/>
              </w:rPr>
            </w:pPr>
          </w:p>
        </w:tc>
      </w:tr>
      <w:tr>
        <w:trPr>
          <w:trHeight w:val="366"/>
        </w:trPr>
        <w:tc>
          <w:tcPr>
            <w:tcW w:w="640" w:type="dxa"/>
            <w:vAlign w:val="bottom"/>
            <w:tcBorders>
              <w:bottom w:val="single" w:sz="8" w:color="0000EE"/>
            </w:tcBorders>
            <w:gridSpan w:val="2"/>
          </w:tcPr>
          <w:p>
            <w:pPr>
              <w:spacing w:after="0"/>
              <w:rPr>
                <w:rFonts w:ascii="Times New Roman" w:cs="Times New Roman" w:eastAsia="Times New Roman" w:hAnsi="Times New Roman"/>
                <w:sz w:val="17"/>
                <w:szCs w:val="17"/>
                <w:b w:val="1"/>
                <w:bCs w:val="1"/>
                <w:color w:val="0000EE"/>
                <w:w w:val="97"/>
              </w:rPr>
            </w:pPr>
            <w:hyperlink w:anchor="page44">
              <w:r>
                <w:rPr>
                  <w:rFonts w:ascii="Times New Roman" w:cs="Times New Roman" w:eastAsia="Times New Roman" w:hAnsi="Times New Roman"/>
                  <w:sz w:val="17"/>
                  <w:szCs w:val="17"/>
                  <w:b w:val="1"/>
                  <w:bCs w:val="1"/>
                  <w:color w:val="0000EE"/>
                  <w:w w:val="97"/>
                </w:rPr>
                <w:t>Item 1A.</w:t>
              </w:r>
            </w:hyperlink>
          </w:p>
        </w:tc>
        <w:tc>
          <w:tcPr>
            <w:tcW w:w="540" w:type="dxa"/>
            <w:vAlign w:val="bottom"/>
            <w:gridSpan w:val="2"/>
          </w:tcPr>
          <w:p>
            <w:pPr>
              <w:spacing w:after="0"/>
              <w:rPr>
                <w:sz w:val="24"/>
                <w:szCs w:val="24"/>
                <w:color w:val="auto"/>
              </w:rPr>
            </w:pPr>
          </w:p>
        </w:tc>
        <w:tc>
          <w:tcPr>
            <w:tcW w:w="940" w:type="dxa"/>
            <w:vAlign w:val="bottom"/>
            <w:tcBorders>
              <w:bottom w:val="single" w:sz="8" w:color="0000EE"/>
            </w:tcBorders>
            <w:gridSpan w:val="3"/>
          </w:tcPr>
          <w:p>
            <w:pPr>
              <w:spacing w:after="0"/>
              <w:rPr>
                <w:rFonts w:ascii="Times New Roman" w:cs="Times New Roman" w:eastAsia="Times New Roman" w:hAnsi="Times New Roman"/>
                <w:sz w:val="17"/>
                <w:szCs w:val="17"/>
                <w:b w:val="1"/>
                <w:bCs w:val="1"/>
                <w:color w:val="0000EE"/>
                <w:w w:val="99"/>
              </w:rPr>
            </w:pPr>
            <w:hyperlink w:anchor="page44">
              <w:r>
                <w:rPr>
                  <w:rFonts w:ascii="Times New Roman" w:cs="Times New Roman" w:eastAsia="Times New Roman" w:hAnsi="Times New Roman"/>
                  <w:sz w:val="17"/>
                  <w:szCs w:val="17"/>
                  <w:b w:val="1"/>
                  <w:bCs w:val="1"/>
                  <w:color w:val="0000EE"/>
                  <w:w w:val="99"/>
                </w:rPr>
                <w:t>Risk Factors</w:t>
              </w:r>
            </w:hyperlink>
          </w:p>
        </w:tc>
        <w:tc>
          <w:tcPr>
            <w:tcW w:w="6560" w:type="dxa"/>
            <w:vAlign w:val="bottom"/>
            <w:gridSpan w:val="19"/>
          </w:tcPr>
          <w:p>
            <w:pPr>
              <w:spacing w:after="0"/>
              <w:rPr>
                <w:sz w:val="24"/>
                <w:szCs w:val="24"/>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87">
              <w:r>
                <w:rPr>
                  <w:rFonts w:ascii="Times New Roman" w:cs="Times New Roman" w:eastAsia="Times New Roman" w:hAnsi="Times New Roman"/>
                  <w:sz w:val="17"/>
                  <w:szCs w:val="17"/>
                  <w:b w:val="1"/>
                  <w:bCs w:val="1"/>
                  <w:color w:val="0000EE"/>
                  <w:w w:val="97"/>
                </w:rPr>
                <w:t>Item 2.</w:t>
              </w:r>
            </w:hyperlink>
          </w:p>
        </w:tc>
        <w:tc>
          <w:tcPr>
            <w:tcW w:w="66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rFonts w:ascii="Times New Roman" w:cs="Times New Roman" w:eastAsia="Times New Roman" w:hAnsi="Times New Roman"/>
                <w:sz w:val="17"/>
                <w:szCs w:val="17"/>
                <w:b w:val="1"/>
                <w:bCs w:val="1"/>
                <w:color w:val="0000EE"/>
              </w:rPr>
            </w:pPr>
            <w:hyperlink w:anchor="page87">
              <w:r>
                <w:rPr>
                  <w:rFonts w:ascii="Times New Roman" w:cs="Times New Roman" w:eastAsia="Times New Roman" w:hAnsi="Times New Roman"/>
                  <w:sz w:val="17"/>
                  <w:szCs w:val="17"/>
                  <w:b w:val="1"/>
                  <w:bCs w:val="1"/>
                  <w:color w:val="0000EE"/>
                </w:rPr>
                <w:t>Unregistered Sales of Equity Securities and Use of Proceeds</w:t>
              </w:r>
            </w:hyperlink>
          </w:p>
        </w:tc>
        <w:tc>
          <w:tcPr>
            <w:tcW w:w="3140" w:type="dxa"/>
            <w:vAlign w:val="bottom"/>
            <w:gridSpan w:val="9"/>
          </w:tcPr>
          <w:p>
            <w:pPr>
              <w:spacing w:after="0"/>
              <w:rPr>
                <w:sz w:val="24"/>
                <w:szCs w:val="24"/>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87">
              <w:r>
                <w:rPr>
                  <w:rFonts w:ascii="Times New Roman" w:cs="Times New Roman" w:eastAsia="Times New Roman" w:hAnsi="Times New Roman"/>
                  <w:sz w:val="17"/>
                  <w:szCs w:val="17"/>
                  <w:b w:val="1"/>
                  <w:bCs w:val="1"/>
                  <w:color w:val="0000EE"/>
                  <w:w w:val="97"/>
                </w:rPr>
                <w:t>Item 3.</w:t>
              </w:r>
            </w:hyperlink>
          </w:p>
        </w:tc>
        <w:tc>
          <w:tcPr>
            <w:tcW w:w="660" w:type="dxa"/>
            <w:vAlign w:val="bottom"/>
            <w:gridSpan w:val="3"/>
          </w:tcPr>
          <w:p>
            <w:pPr>
              <w:spacing w:after="0"/>
              <w:rPr>
                <w:sz w:val="24"/>
                <w:szCs w:val="24"/>
                <w:color w:val="auto"/>
              </w:rPr>
            </w:pPr>
          </w:p>
        </w:tc>
        <w:tc>
          <w:tcPr>
            <w:tcW w:w="2340" w:type="dxa"/>
            <w:vAlign w:val="bottom"/>
            <w:tcBorders>
              <w:bottom w:val="single" w:sz="8" w:color="0000EE"/>
            </w:tcBorders>
            <w:gridSpan w:val="9"/>
          </w:tcPr>
          <w:p>
            <w:pPr>
              <w:spacing w:after="0"/>
              <w:rPr>
                <w:rFonts w:ascii="Times New Roman" w:cs="Times New Roman" w:eastAsia="Times New Roman" w:hAnsi="Times New Roman"/>
                <w:sz w:val="17"/>
                <w:szCs w:val="17"/>
                <w:b w:val="1"/>
                <w:bCs w:val="1"/>
                <w:color w:val="0000EE"/>
              </w:rPr>
            </w:pPr>
            <w:hyperlink w:anchor="page87">
              <w:r>
                <w:rPr>
                  <w:rFonts w:ascii="Times New Roman" w:cs="Times New Roman" w:eastAsia="Times New Roman" w:hAnsi="Times New Roman"/>
                  <w:sz w:val="17"/>
                  <w:szCs w:val="17"/>
                  <w:b w:val="1"/>
                  <w:bCs w:val="1"/>
                  <w:color w:val="0000EE"/>
                </w:rPr>
                <w:t>Defaults Upon Senior Securities</w:t>
              </w:r>
            </w:hyperlink>
          </w:p>
        </w:tc>
        <w:tc>
          <w:tcPr>
            <w:tcW w:w="5160" w:type="dxa"/>
            <w:vAlign w:val="bottom"/>
            <w:gridSpan w:val="13"/>
          </w:tcPr>
          <w:p>
            <w:pPr>
              <w:spacing w:after="0"/>
              <w:rPr>
                <w:sz w:val="24"/>
                <w:szCs w:val="24"/>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87">
              <w:r>
                <w:rPr>
                  <w:rFonts w:ascii="Times New Roman" w:cs="Times New Roman" w:eastAsia="Times New Roman" w:hAnsi="Times New Roman"/>
                  <w:sz w:val="17"/>
                  <w:szCs w:val="17"/>
                  <w:b w:val="1"/>
                  <w:bCs w:val="1"/>
                  <w:color w:val="0000EE"/>
                  <w:w w:val="97"/>
                </w:rPr>
                <w:t>Item 4.</w:t>
              </w:r>
            </w:hyperlink>
          </w:p>
        </w:tc>
        <w:tc>
          <w:tcPr>
            <w:tcW w:w="660" w:type="dxa"/>
            <w:vAlign w:val="bottom"/>
            <w:gridSpan w:val="3"/>
          </w:tcPr>
          <w:p>
            <w:pPr>
              <w:spacing w:after="0"/>
              <w:rPr>
                <w:sz w:val="24"/>
                <w:szCs w:val="24"/>
                <w:color w:val="auto"/>
              </w:rPr>
            </w:pPr>
          </w:p>
        </w:tc>
        <w:tc>
          <w:tcPr>
            <w:tcW w:w="1760" w:type="dxa"/>
            <w:vAlign w:val="bottom"/>
            <w:tcBorders>
              <w:bottom w:val="single" w:sz="8" w:color="0000EE"/>
            </w:tcBorders>
            <w:gridSpan w:val="7"/>
          </w:tcPr>
          <w:p>
            <w:pPr>
              <w:spacing w:after="0"/>
              <w:rPr>
                <w:rFonts w:ascii="Times New Roman" w:cs="Times New Roman" w:eastAsia="Times New Roman" w:hAnsi="Times New Roman"/>
                <w:sz w:val="17"/>
                <w:szCs w:val="17"/>
                <w:b w:val="1"/>
                <w:bCs w:val="1"/>
                <w:color w:val="0000EE"/>
              </w:rPr>
            </w:pPr>
            <w:hyperlink w:anchor="page87">
              <w:r>
                <w:rPr>
                  <w:rFonts w:ascii="Times New Roman" w:cs="Times New Roman" w:eastAsia="Times New Roman" w:hAnsi="Times New Roman"/>
                  <w:sz w:val="17"/>
                  <w:szCs w:val="17"/>
                  <w:b w:val="1"/>
                  <w:bCs w:val="1"/>
                  <w:color w:val="0000EE"/>
                </w:rPr>
                <w:t>Mine Safety Disclosures</w:t>
              </w:r>
            </w:hyperlink>
          </w:p>
        </w:tc>
        <w:tc>
          <w:tcPr>
            <w:tcW w:w="5740" w:type="dxa"/>
            <w:vAlign w:val="bottom"/>
            <w:gridSpan w:val="15"/>
          </w:tcPr>
          <w:p>
            <w:pPr>
              <w:spacing w:after="0"/>
              <w:rPr>
                <w:sz w:val="24"/>
                <w:szCs w:val="24"/>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87">
              <w:r>
                <w:rPr>
                  <w:rFonts w:ascii="Times New Roman" w:cs="Times New Roman" w:eastAsia="Times New Roman" w:hAnsi="Times New Roman"/>
                  <w:sz w:val="17"/>
                  <w:szCs w:val="17"/>
                  <w:b w:val="1"/>
                  <w:bCs w:val="1"/>
                  <w:color w:val="0000EE"/>
                  <w:w w:val="97"/>
                </w:rPr>
                <w:t>Item 5.</w:t>
              </w:r>
            </w:hyperlink>
          </w:p>
        </w:tc>
        <w:tc>
          <w:tcPr>
            <w:tcW w:w="660" w:type="dxa"/>
            <w:vAlign w:val="bottom"/>
            <w:gridSpan w:val="3"/>
          </w:tcPr>
          <w:p>
            <w:pPr>
              <w:spacing w:after="0"/>
              <w:rPr>
                <w:sz w:val="24"/>
                <w:szCs w:val="24"/>
                <w:color w:val="auto"/>
              </w:rPr>
            </w:pPr>
          </w:p>
        </w:tc>
        <w:tc>
          <w:tcPr>
            <w:tcW w:w="1380" w:type="dxa"/>
            <w:vAlign w:val="bottom"/>
            <w:tcBorders>
              <w:bottom w:val="single" w:sz="8" w:color="0000EE"/>
            </w:tcBorders>
            <w:gridSpan w:val="5"/>
          </w:tcPr>
          <w:p>
            <w:pPr>
              <w:spacing w:after="0"/>
              <w:rPr>
                <w:rFonts w:ascii="Times New Roman" w:cs="Times New Roman" w:eastAsia="Times New Roman" w:hAnsi="Times New Roman"/>
                <w:sz w:val="17"/>
                <w:szCs w:val="17"/>
                <w:b w:val="1"/>
                <w:bCs w:val="1"/>
                <w:color w:val="0000EE"/>
                <w:w w:val="99"/>
              </w:rPr>
            </w:pPr>
            <w:hyperlink w:anchor="page87">
              <w:r>
                <w:rPr>
                  <w:rFonts w:ascii="Times New Roman" w:cs="Times New Roman" w:eastAsia="Times New Roman" w:hAnsi="Times New Roman"/>
                  <w:sz w:val="17"/>
                  <w:szCs w:val="17"/>
                  <w:b w:val="1"/>
                  <w:bCs w:val="1"/>
                  <w:color w:val="0000EE"/>
                  <w:w w:val="99"/>
                </w:rPr>
                <w:t>Other Information</w:t>
              </w:r>
            </w:hyperlink>
          </w:p>
        </w:tc>
        <w:tc>
          <w:tcPr>
            <w:tcW w:w="6120" w:type="dxa"/>
            <w:vAlign w:val="bottom"/>
            <w:gridSpan w:val="17"/>
          </w:tcPr>
          <w:p>
            <w:pPr>
              <w:spacing w:after="0"/>
              <w:rPr>
                <w:sz w:val="24"/>
                <w:szCs w:val="24"/>
                <w:color w:val="auto"/>
              </w:rPr>
            </w:pPr>
          </w:p>
        </w:tc>
      </w:tr>
      <w:tr>
        <w:trPr>
          <w:trHeight w:val="366"/>
        </w:trPr>
        <w:tc>
          <w:tcPr>
            <w:tcW w:w="520" w:type="dxa"/>
            <w:vAlign w:val="bottom"/>
            <w:tcBorders>
              <w:bottom w:val="single" w:sz="8" w:color="0000EE"/>
            </w:tcBorders>
          </w:tcPr>
          <w:p>
            <w:pPr>
              <w:spacing w:after="0"/>
              <w:rPr>
                <w:rFonts w:ascii="Times New Roman" w:cs="Times New Roman" w:eastAsia="Times New Roman" w:hAnsi="Times New Roman"/>
                <w:sz w:val="17"/>
                <w:szCs w:val="17"/>
                <w:b w:val="1"/>
                <w:bCs w:val="1"/>
                <w:color w:val="0000EE"/>
                <w:w w:val="97"/>
              </w:rPr>
            </w:pPr>
            <w:hyperlink w:anchor="page87">
              <w:r>
                <w:rPr>
                  <w:rFonts w:ascii="Times New Roman" w:cs="Times New Roman" w:eastAsia="Times New Roman" w:hAnsi="Times New Roman"/>
                  <w:sz w:val="17"/>
                  <w:szCs w:val="17"/>
                  <w:b w:val="1"/>
                  <w:bCs w:val="1"/>
                  <w:color w:val="0000EE"/>
                  <w:w w:val="97"/>
                </w:rPr>
                <w:t>Item 6.</w:t>
              </w:r>
            </w:hyperlink>
          </w:p>
        </w:tc>
        <w:tc>
          <w:tcPr>
            <w:tcW w:w="660" w:type="dxa"/>
            <w:vAlign w:val="bottom"/>
            <w:gridSpan w:val="3"/>
          </w:tcPr>
          <w:p>
            <w:pPr>
              <w:spacing w:after="0"/>
              <w:rPr>
                <w:sz w:val="24"/>
                <w:szCs w:val="24"/>
                <w:color w:val="auto"/>
              </w:rPr>
            </w:pPr>
          </w:p>
        </w:tc>
        <w:tc>
          <w:tcPr>
            <w:tcW w:w="620" w:type="dxa"/>
            <w:vAlign w:val="bottom"/>
            <w:tcBorders>
              <w:bottom w:val="single" w:sz="8" w:color="0000EE"/>
            </w:tcBorders>
            <w:gridSpan w:val="2"/>
          </w:tcPr>
          <w:p>
            <w:pPr>
              <w:spacing w:after="0"/>
              <w:rPr>
                <w:rFonts w:ascii="Times New Roman" w:cs="Times New Roman" w:eastAsia="Times New Roman" w:hAnsi="Times New Roman"/>
                <w:sz w:val="17"/>
                <w:szCs w:val="17"/>
                <w:b w:val="1"/>
                <w:bCs w:val="1"/>
                <w:color w:val="0000EE"/>
                <w:w w:val="99"/>
              </w:rPr>
            </w:pPr>
            <w:hyperlink w:anchor="page87">
              <w:r>
                <w:rPr>
                  <w:rFonts w:ascii="Times New Roman" w:cs="Times New Roman" w:eastAsia="Times New Roman" w:hAnsi="Times New Roman"/>
                  <w:sz w:val="17"/>
                  <w:szCs w:val="17"/>
                  <w:b w:val="1"/>
                  <w:bCs w:val="1"/>
                  <w:color w:val="0000EE"/>
                  <w:w w:val="99"/>
                </w:rPr>
                <w:t>Exhibits</w:t>
              </w:r>
            </w:hyperlink>
          </w:p>
        </w:tc>
        <w:tc>
          <w:tcPr>
            <w:tcW w:w="6880" w:type="dxa"/>
            <w:vAlign w:val="bottom"/>
            <w:gridSpan w:val="20"/>
          </w:tcPr>
          <w:p>
            <w:pPr>
              <w:spacing w:after="0"/>
              <w:rPr>
                <w:sz w:val="24"/>
                <w:szCs w:val="24"/>
                <w:color w:val="auto"/>
              </w:rPr>
            </w:pPr>
          </w:p>
        </w:tc>
      </w:tr>
      <w:tr>
        <w:trPr>
          <w:trHeight w:val="366"/>
        </w:trPr>
        <w:tc>
          <w:tcPr>
            <w:tcW w:w="1180" w:type="dxa"/>
            <w:vAlign w:val="bottom"/>
            <w:gridSpan w:val="4"/>
          </w:tcPr>
          <w:p>
            <w:pPr>
              <w:spacing w:after="0"/>
              <w:rPr>
                <w:rFonts w:ascii="Times New Roman" w:cs="Times New Roman" w:eastAsia="Times New Roman" w:hAnsi="Times New Roman"/>
                <w:sz w:val="17"/>
                <w:szCs w:val="17"/>
                <w:b w:val="1"/>
                <w:bCs w:val="1"/>
                <w:color w:val="0000EE"/>
              </w:rPr>
            </w:pPr>
            <w:hyperlink w:anchor="page88">
              <w:r>
                <w:rPr>
                  <w:rFonts w:ascii="Times New Roman" w:cs="Times New Roman" w:eastAsia="Times New Roman" w:hAnsi="Times New Roman"/>
                  <w:sz w:val="17"/>
                  <w:szCs w:val="17"/>
                  <w:b w:val="1"/>
                  <w:bCs w:val="1"/>
                  <w:color w:val="0000EE"/>
                </w:rPr>
                <w:t>SIGNATURES</w:t>
              </w:r>
            </w:hyperlink>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gridSpan w:val="11"/>
          </w:tcPr>
          <w:p>
            <w:pPr>
              <w:ind w:left="3320"/>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576643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6435" cy="2476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-5047615</wp:posOffset>
            </wp:positionV>
            <wp:extent cx="27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-5047615</wp:posOffset>
            </wp:positionV>
            <wp:extent cx="27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-2588895</wp:posOffset>
            </wp:positionV>
            <wp:extent cx="27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-2588895</wp:posOffset>
            </wp:positionV>
            <wp:extent cx="27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-2466340</wp:posOffset>
            </wp:positionV>
            <wp:extent cx="2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117475</wp:posOffset>
            </wp:positionV>
            <wp:extent cx="27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30</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42</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43</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43</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86</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86</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86</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86</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86</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2">
            <w:col w:w="8640" w:space="40"/>
            <w:col w:w="380"/>
          </w:cols>
          <w:pgMar w:left="1420" w:top="110" w:right="1419" w:bottom="1440" w:gutter="0" w:footer="0" w:header="0"/>
          <w:type w:val="continuous"/>
        </w:sectPr>
      </w:pPr>
    </w:p>
    <w:bookmarkStart w:id="2" w:name="page3"/>
    <w:bookmarkEnd w:id="2"/>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2" w:lineRule="exact"/>
        <w:rPr>
          <w:sz w:val="20"/>
          <w:szCs w:val="20"/>
          <w:color w:val="auto"/>
        </w:rPr>
      </w:pPr>
    </w:p>
    <w:p>
      <w:pPr>
        <w:ind w:right="59" w:firstLine="396"/>
        <w:spacing w:after="0" w:line="21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7" w:lineRule="exact"/>
        <w:rPr>
          <w:sz w:val="20"/>
          <w:szCs w:val="20"/>
          <w:color w:val="auto"/>
        </w:rPr>
      </w:pPr>
    </w:p>
    <w:p>
      <w:pPr>
        <w:ind w:right="19" w:firstLine="396"/>
        <w:spacing w:after="0" w:line="212"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57" w:lineRule="exact"/>
        <w:rPr>
          <w:sz w:val="20"/>
          <w:szCs w:val="20"/>
          <w:color w:val="auto"/>
        </w:rPr>
      </w:pPr>
    </w:p>
    <w:p>
      <w:pPr>
        <w:ind w:left="400" w:hanging="93"/>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status as a development-stage company and our expectation to incur losses in the future;</w:t>
      </w:r>
    </w:p>
    <w:p>
      <w:pPr>
        <w:spacing w:after="0" w:line="74" w:lineRule="exact"/>
        <w:rPr>
          <w:rFonts w:ascii="Times New Roman" w:cs="Times New Roman" w:eastAsia="Times New Roman" w:hAnsi="Times New Roman"/>
          <w:sz w:val="17"/>
          <w:szCs w:val="17"/>
          <w:color w:val="auto"/>
        </w:rPr>
      </w:pPr>
    </w:p>
    <w:p>
      <w:pPr>
        <w:ind w:left="440" w:hanging="133"/>
        <w:spacing w:after="0"/>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needs and our need to raise additional funds;</w:t>
      </w:r>
    </w:p>
    <w:p>
      <w:pPr>
        <w:spacing w:after="0" w:line="74" w:lineRule="exact"/>
        <w:rPr>
          <w:rFonts w:ascii="Times New Roman" w:cs="Times New Roman" w:eastAsia="Times New Roman" w:hAnsi="Times New Roman"/>
          <w:sz w:val="17"/>
          <w:szCs w:val="17"/>
          <w:color w:val="auto"/>
        </w:rPr>
      </w:pPr>
    </w:p>
    <w:p>
      <w:pPr>
        <w:ind w:left="400" w:hanging="93"/>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build a pipeline of product candidates and develop and commercialize drugs;</w:t>
      </w:r>
    </w:p>
    <w:p>
      <w:pPr>
        <w:spacing w:after="0" w:line="74" w:lineRule="exact"/>
        <w:rPr>
          <w:rFonts w:ascii="Times New Roman" w:cs="Times New Roman" w:eastAsia="Times New Roman" w:hAnsi="Times New Roman"/>
          <w:sz w:val="17"/>
          <w:szCs w:val="17"/>
          <w:color w:val="auto"/>
        </w:rPr>
      </w:pPr>
    </w:p>
    <w:p>
      <w:pPr>
        <w:ind w:left="440" w:hanging="133"/>
        <w:spacing w:after="0"/>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unproven approach to therapeutic intervention;</w:t>
      </w:r>
    </w:p>
    <w:p>
      <w:pPr>
        <w:spacing w:after="0" w:line="74" w:lineRule="exact"/>
        <w:rPr>
          <w:rFonts w:ascii="Times New Roman" w:cs="Times New Roman" w:eastAsia="Times New Roman" w:hAnsi="Times New Roman"/>
          <w:sz w:val="17"/>
          <w:szCs w:val="17"/>
          <w:color w:val="auto"/>
        </w:rPr>
      </w:pPr>
    </w:p>
    <w:p>
      <w:pPr>
        <w:ind w:left="380" w:right="199" w:hanging="73"/>
        <w:spacing w:after="0" w:line="239" w:lineRule="auto"/>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enroll patients in clinical trials, timely and successfully complete those trials and receive necessary regulatory approvals;</w:t>
      </w:r>
    </w:p>
    <w:p>
      <w:pPr>
        <w:spacing w:after="0" w:line="47" w:lineRule="exact"/>
        <w:rPr>
          <w:rFonts w:ascii="Times New Roman" w:cs="Times New Roman" w:eastAsia="Times New Roman" w:hAnsi="Times New Roman"/>
          <w:sz w:val="17"/>
          <w:szCs w:val="17"/>
          <w:color w:val="auto"/>
        </w:rPr>
      </w:pPr>
    </w:p>
    <w:p>
      <w:pPr>
        <w:ind w:left="380" w:right="339" w:hanging="73"/>
        <w:spacing w:after="0" w:line="239" w:lineRule="auto"/>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our own manufacturing facilities and to receive or manufacture sufficient quantities of our product candidates;</w:t>
      </w:r>
    </w:p>
    <w:p>
      <w:pPr>
        <w:spacing w:after="0" w:line="47" w:lineRule="exact"/>
        <w:rPr>
          <w:rFonts w:ascii="Times New Roman" w:cs="Times New Roman" w:eastAsia="Times New Roman" w:hAnsi="Times New Roman"/>
          <w:sz w:val="17"/>
          <w:szCs w:val="17"/>
          <w:color w:val="auto"/>
        </w:rPr>
      </w:pPr>
    </w:p>
    <w:p>
      <w:pPr>
        <w:ind w:left="420" w:hanging="113"/>
        <w:spacing w:after="0"/>
        <w:tabs>
          <w:tab w:leader="none" w:pos="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rights;</w:t>
      </w:r>
    </w:p>
    <w:p>
      <w:pPr>
        <w:spacing w:after="0" w:line="74" w:lineRule="exact"/>
        <w:rPr>
          <w:rFonts w:ascii="Times New Roman" w:cs="Times New Roman" w:eastAsia="Times New Roman" w:hAnsi="Times New Roman"/>
          <w:sz w:val="17"/>
          <w:szCs w:val="17"/>
          <w:color w:val="auto"/>
        </w:rPr>
      </w:pPr>
    </w:p>
    <w:p>
      <w:pPr>
        <w:ind w:left="380" w:hanging="73"/>
        <w:spacing w:after="0"/>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state, and foreign regulatory requirements, including FDA regulation of our product candidates;</w:t>
      </w:r>
    </w:p>
    <w:p>
      <w:pPr>
        <w:spacing w:after="0" w:line="74" w:lineRule="exact"/>
        <w:rPr>
          <w:rFonts w:ascii="Times New Roman" w:cs="Times New Roman" w:eastAsia="Times New Roman" w:hAnsi="Times New Roman"/>
          <w:sz w:val="17"/>
          <w:szCs w:val="17"/>
          <w:color w:val="auto"/>
        </w:rPr>
      </w:pPr>
    </w:p>
    <w:p>
      <w:pPr>
        <w:ind w:left="400" w:hanging="93"/>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retain key executives and attract and retain qualified personnel; and</w:t>
      </w:r>
    </w:p>
    <w:p>
      <w:pPr>
        <w:spacing w:after="0" w:line="74" w:lineRule="exact"/>
        <w:rPr>
          <w:rFonts w:ascii="Times New Roman" w:cs="Times New Roman" w:eastAsia="Times New Roman" w:hAnsi="Times New Roman"/>
          <w:sz w:val="17"/>
          <w:szCs w:val="17"/>
          <w:color w:val="auto"/>
        </w:rPr>
      </w:pPr>
    </w:p>
    <w:p>
      <w:pPr>
        <w:ind w:left="460" w:hanging="153"/>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our growth.</w:t>
      </w:r>
    </w:p>
    <w:p>
      <w:pPr>
        <w:spacing w:after="0" w:line="383" w:lineRule="exact"/>
        <w:rPr>
          <w:sz w:val="20"/>
          <w:szCs w:val="20"/>
          <w:color w:val="auto"/>
        </w:rPr>
      </w:pPr>
    </w:p>
    <w:p>
      <w:pPr>
        <w:ind w:right="19" w:firstLine="396"/>
        <w:spacing w:after="0" w:line="239" w:lineRule="auto"/>
        <w:rPr>
          <w:sz w:val="20"/>
          <w:szCs w:val="20"/>
          <w:color w:val="auto"/>
        </w:rPr>
      </w:pPr>
      <w:r>
        <w:rPr>
          <w:rFonts w:ascii="Times New Roman" w:cs="Times New Roman" w:eastAsia="Times New Roman" w:hAnsi="Times New Roman"/>
          <w:sz w:val="17"/>
          <w:szCs w:val="17"/>
          <w:color w:val="auto"/>
        </w:rPr>
        <w:t>Moreover, we operate in an evolving environment. New risk factors and uncertainties may emerge from time to time, and it is not possible for management to predict all risk factors and uncertainties.</w:t>
      </w:r>
    </w:p>
    <w:p>
      <w:pPr>
        <w:spacing w:after="0" w:line="151" w:lineRule="exact"/>
        <w:rPr>
          <w:sz w:val="20"/>
          <w:szCs w:val="20"/>
          <w:color w:val="auto"/>
        </w:rPr>
      </w:pPr>
    </w:p>
    <w:p>
      <w:pPr>
        <w:ind w:right="39" w:firstLine="396"/>
        <w:spacing w:after="0" w:line="218" w:lineRule="auto"/>
        <w:rPr>
          <w:sz w:val="20"/>
          <w:szCs w:val="20"/>
          <w:color w:val="auto"/>
        </w:rPr>
      </w:pPr>
      <w:r>
        <w:rPr>
          <w:rFonts w:ascii="Times New Roman" w:cs="Times New Roman" w:eastAsia="Times New Roman" w:hAnsi="Times New Roman"/>
          <w:sz w:val="17"/>
          <w:szCs w:val="17"/>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39"/>
          </w:cols>
          <w:pgMar w:left="1420" w:top="110" w:right="1440" w:bottom="1440"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 FINANCIAL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7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Selecta Biosciences, Inc. and Subsidiaries</w:t>
      </w:r>
    </w:p>
    <w:p>
      <w:pPr>
        <w:spacing w:after="0" w:line="6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 and par value)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Short term deposits and investments</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Pr>
          <w:p>
            <w:pPr>
              <w:spacing w:after="0"/>
              <w:rPr>
                <w:sz w:val="12"/>
                <w:szCs w:val="12"/>
                <w:color w:val="auto"/>
              </w:rPr>
            </w:pPr>
          </w:p>
        </w:tc>
        <w:tc>
          <w:tcPr>
            <w:tcW w:w="7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89,047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38,913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and other deposits</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0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91,317</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42,824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deficit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payable, current portion</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current portion</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Contingently repayable grant funding</w:t>
            </w: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0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Pr>
          <w:p>
            <w:pPr>
              <w:spacing w:after="0"/>
              <w:rPr>
                <w:sz w:val="12"/>
                <w:szCs w:val="12"/>
                <w:color w:val="auto"/>
              </w:rPr>
            </w:pPr>
          </w:p>
        </w:tc>
        <w:tc>
          <w:tcPr>
            <w:tcW w:w="7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8,939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7,290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Deferred rent and lease incentive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payable, net of current portion</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Other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liabilities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00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22,541</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21,835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(Notes 7 and 12)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0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Series A redeemable convertible preferred stock, $0.0001 par value; 0 and 2,589,868 shares authorized; 0 and 2,589,868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0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shares issued and outstanding; as of June 30, 2016 and December 31, 2015 respectively.</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Series B redeemable convertible preferred stock, $0.0001 par value; 0 and 7,437,325 shares authorized; 0 and 7,437,325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21,448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0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shares issued and outstanding; as of June 30, 2016 and December 31, 2015 respectively.</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Series C redeemable convertible preferred stock, $0.0001 par value; 0 and 5,000,002 shares authorized; 0 and 5,000,002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0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shares issued and outstanding; as of June 30, 2016 and December 31, 2015 respectively.</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Series D redeemable convertible preferred stock, $0.0001 par value; 0 and 8,166,662 shares authorized; 0 and 8,099,994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42,902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0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shares issued and outstanding; as of June 30, 2016 and December 31, 2015 respectively.</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Series SRN redeemable convertible preferred stock, $0.0001 par value; 0 and 5,611,112 shares authorized; 0 and 2,111,109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12,082</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0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shares issued and outstanding; as of June 30, 2016 and December 31, 2015 respectively.</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Series E redeemable convertible preferred stock, $0.0001 par value; 0 and 9,030,654 shares authorized; 0 and 8,888,888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37,228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0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shares issued and outstanding; as of June 30, 2016 and December 31, 2015 respectively.</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0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Total redeemable convertible preferred stock</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137,482</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Preferred Stock, $0.0001 par value; 10,000,000 and 0 shares authorized; 0 and 0 shares issued and outstanding at June 30,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70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2016 and December 31, 2015, respectively.</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70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Common stock, $0.0001 par value; 200,000,000 and 62,164,377 shares authorized at June 30, 2016 and December 31, 2015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700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respectively; 17,900,547 and 2,180,976 shares issued, 17,895,824 and 2,173,399 shares outstanding as of June 30, 2016</w:t>
            </w:r>
          </w:p>
        </w:tc>
        <w:tc>
          <w:tcPr>
            <w:tcW w:w="8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70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and December 31, 2015, respectively</w:t>
            </w: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203,125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(129,765)</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(111,508)</w:t>
            </w: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(4,585)</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(4,986)</w:t>
            </w:r>
          </w:p>
        </w:tc>
        <w:tc>
          <w:tcPr>
            <w:tcW w:w="0" w:type="dxa"/>
            <w:vAlign w:val="bottom"/>
          </w:tcPr>
          <w:p>
            <w:pPr>
              <w:spacing w:after="0"/>
              <w:rPr>
                <w:sz w:val="1"/>
                <w:szCs w:val="1"/>
                <w:color w:val="auto"/>
              </w:rPr>
            </w:pPr>
          </w:p>
        </w:tc>
      </w:tr>
      <w:tr>
        <w:trPr>
          <w:trHeight w:val="147"/>
        </w:trPr>
        <w:tc>
          <w:tcPr>
            <w:tcW w:w="700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68,776</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(116,493)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00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w:t>
            </w:r>
          </w:p>
        </w:tc>
        <w:tc>
          <w:tcPr>
            <w:tcW w:w="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91,317</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42,824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 w:name="page5"/>
    <w:bookmarkEnd w:id="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Selecta Biosciences, Inc. and Subsidiaries</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(Unaudited, amounts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00" w:type="dxa"/>
            <w:vAlign w:val="bottom"/>
          </w:tcPr>
          <w:p>
            <w:pPr>
              <w:spacing w:after="0"/>
              <w:rPr>
                <w:sz w:val="14"/>
                <w:szCs w:val="14"/>
                <w:color w:val="auto"/>
              </w:rPr>
            </w:pPr>
          </w:p>
        </w:tc>
        <w:tc>
          <w:tcPr>
            <w:tcW w:w="20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100" w:type="dxa"/>
            <w:vAlign w:val="bottom"/>
          </w:tcPr>
          <w:p>
            <w:pPr>
              <w:spacing w:after="0"/>
              <w:rPr>
                <w:sz w:val="14"/>
                <w:szCs w:val="14"/>
                <w:color w:val="auto"/>
              </w:rPr>
            </w:pPr>
          </w:p>
        </w:tc>
        <w:tc>
          <w:tcPr>
            <w:tcW w:w="18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Six Months Ended June 30,</w:t>
            </w:r>
          </w:p>
        </w:tc>
      </w:tr>
      <w:tr>
        <w:trPr>
          <w:trHeight w:val="160"/>
        </w:trPr>
        <w:tc>
          <w:tcPr>
            <w:tcW w:w="5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3"/>
                <w:szCs w:val="13"/>
                <w:color w:val="auto"/>
              </w:rPr>
            </w:pPr>
          </w:p>
        </w:tc>
      </w:tr>
      <w:tr>
        <w:trPr>
          <w:trHeight w:val="160"/>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 and collaboration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c>
          <w:tcPr>
            <w:tcW w:w="80" w:type="dxa"/>
            <w:vAlign w:val="bottom"/>
            <w:shd w:val="clear" w:color="auto" w:fill="CCEEFF"/>
          </w:tcPr>
          <w:p>
            <w:pPr>
              <w:spacing w:after="0"/>
              <w:rPr>
                <w:sz w:val="17"/>
                <w:szCs w:val="17"/>
                <w:color w:val="auto"/>
              </w:rPr>
            </w:pPr>
          </w:p>
        </w:tc>
      </w:tr>
      <w:tr>
        <w:trPr>
          <w:trHeight w:val="167"/>
        </w:trPr>
        <w:tc>
          <w:tcPr>
            <w:tcW w:w="51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Operating expenses: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6"/>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10,286</w:t>
            </w:r>
          </w:p>
        </w:tc>
        <w:tc>
          <w:tcPr>
            <w:tcW w:w="80" w:type="dxa"/>
            <w:vAlign w:val="bottom"/>
            <w:shd w:val="clear" w:color="auto" w:fill="CCEEFF"/>
          </w:tcPr>
          <w:p>
            <w:pPr>
              <w:spacing w:after="0"/>
              <w:rPr>
                <w:sz w:val="17"/>
                <w:szCs w:val="17"/>
                <w:color w:val="auto"/>
              </w:rPr>
            </w:pPr>
          </w:p>
        </w:tc>
      </w:tr>
      <w:tr>
        <w:trPr>
          <w:trHeight w:val="206"/>
        </w:trPr>
        <w:tc>
          <w:tcPr>
            <w:tcW w:w="5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4,799</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80" w:type="dxa"/>
            <w:vAlign w:val="bottom"/>
            <w:tcBorders>
              <w:bottom w:val="single" w:sz="8" w:color="CCEEFF"/>
            </w:tcBorders>
          </w:tcPr>
          <w:p>
            <w:pPr>
              <w:spacing w:after="0"/>
              <w:rPr>
                <w:sz w:val="17"/>
                <w:szCs w:val="17"/>
                <w:color w:val="auto"/>
              </w:rPr>
            </w:pPr>
          </w:p>
        </w:tc>
      </w:tr>
      <w:tr>
        <w:trPr>
          <w:trHeight w:val="19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7,552</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17,447</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14,396</w:t>
            </w:r>
          </w:p>
        </w:tc>
        <w:tc>
          <w:tcPr>
            <w:tcW w:w="80" w:type="dxa"/>
            <w:vAlign w:val="bottom"/>
            <w:shd w:val="clear" w:color="auto" w:fill="CCEEFF"/>
          </w:tcPr>
          <w:p>
            <w:pPr>
              <w:spacing w:after="0"/>
              <w:rPr>
                <w:sz w:val="17"/>
                <w:szCs w:val="17"/>
                <w:color w:val="auto"/>
              </w:rPr>
            </w:pPr>
          </w:p>
        </w:tc>
      </w:tr>
      <w:tr>
        <w:trPr>
          <w:trHeight w:val="199"/>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(12,126)</w:t>
            </w:r>
          </w:p>
        </w:tc>
        <w:tc>
          <w:tcPr>
            <w:tcW w:w="80" w:type="dxa"/>
            <w:vAlign w:val="bottom"/>
          </w:tcPr>
          <w:p>
            <w:pPr>
              <w:spacing w:after="0"/>
              <w:rPr>
                <w:sz w:val="17"/>
                <w:szCs w:val="17"/>
                <w:color w:val="auto"/>
              </w:rPr>
            </w:pPr>
          </w:p>
        </w:tc>
      </w:tr>
      <w:tr>
        <w:trPr>
          <w:trHeight w:val="20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income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17"/>
                <w:szCs w:val="17"/>
                <w:color w:val="auto"/>
              </w:rPr>
            </w:pPr>
          </w:p>
        </w:tc>
      </w:tr>
      <w:tr>
        <w:trPr>
          <w:trHeight w:val="206"/>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transaction gain (loss), net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(378)</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w:t>
            </w:r>
          </w:p>
        </w:tc>
      </w:tr>
      <w:tr>
        <w:trPr>
          <w:trHeight w:val="20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(509)</w:t>
            </w:r>
          </w:p>
        </w:tc>
      </w:tr>
      <w:tr>
        <w:trPr>
          <w:trHeight w:val="206"/>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w:t>
            </w:r>
          </w:p>
        </w:tc>
      </w:tr>
      <w:tr>
        <w:trPr>
          <w:trHeight w:val="19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(6,867)</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(14,399)</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(12,600)</w:t>
            </w:r>
          </w:p>
        </w:tc>
        <w:tc>
          <w:tcPr>
            <w:tcW w:w="80" w:type="dxa"/>
            <w:vAlign w:val="bottom"/>
            <w:tcBorders>
              <w:top w:val="single" w:sz="8" w:color="CCEEFF"/>
            </w:tcBorders>
            <w:shd w:val="clear" w:color="auto" w:fill="CCEEFF"/>
          </w:tcPr>
          <w:p>
            <w:pPr>
              <w:spacing w:after="0"/>
              <w:rPr>
                <w:sz w:val="17"/>
                <w:szCs w:val="17"/>
                <w:color w:val="auto"/>
              </w:rPr>
            </w:pPr>
          </w:p>
        </w:tc>
      </w:tr>
      <w:tr>
        <w:trPr>
          <w:trHeight w:val="160"/>
        </w:trPr>
        <w:tc>
          <w:tcPr>
            <w:tcW w:w="5100" w:type="dxa"/>
            <w:vAlign w:val="bottom"/>
          </w:tcPr>
          <w:p>
            <w:pPr>
              <w:spacing w:after="0" w:line="160" w:lineRule="exact"/>
              <w:rPr>
                <w:sz w:val="20"/>
                <w:szCs w:val="20"/>
                <w:color w:val="auto"/>
              </w:rPr>
            </w:pPr>
            <w:r>
              <w:rPr>
                <w:rFonts w:ascii="Times New Roman" w:cs="Times New Roman" w:eastAsia="Times New Roman" w:hAnsi="Times New Roman"/>
                <w:sz w:val="17"/>
                <w:szCs w:val="17"/>
                <w:color w:val="auto"/>
              </w:rPr>
              <w:t>Other comprehensive loss: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6"/>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7"/>
                <w:szCs w:val="17"/>
                <w:color w:val="auto"/>
              </w:rPr>
            </w:pPr>
          </w:p>
        </w:tc>
      </w:tr>
      <w:tr>
        <w:trPr>
          <w:trHeight w:val="204"/>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w:t>
            </w:r>
          </w:p>
        </w:tc>
        <w:tc>
          <w:tcPr>
            <w:tcW w:w="80" w:type="dxa"/>
            <w:vAlign w:val="bottom"/>
            <w:tcBorders>
              <w:bottom w:val="single" w:sz="8" w:color="CCEEFF"/>
            </w:tcBorders>
          </w:tcPr>
          <w:p>
            <w:pPr>
              <w:spacing w:after="0"/>
              <w:rPr>
                <w:sz w:val="17"/>
                <w:szCs w:val="17"/>
                <w:color w:val="auto"/>
              </w:rPr>
            </w:pPr>
          </w:p>
        </w:tc>
      </w:tr>
      <w:tr>
        <w:trPr>
          <w:trHeight w:val="20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(12,600)</w:t>
            </w:r>
          </w:p>
        </w:tc>
        <w:tc>
          <w:tcPr>
            <w:tcW w:w="80" w:type="dxa"/>
            <w:vAlign w:val="bottom"/>
            <w:shd w:val="clear" w:color="auto" w:fill="CCEEFF"/>
          </w:tcPr>
          <w:p>
            <w:pPr>
              <w:spacing w:after="0"/>
              <w:rPr>
                <w:sz w:val="17"/>
                <w:szCs w:val="17"/>
                <w:color w:val="auto"/>
              </w:rPr>
            </w:pPr>
          </w:p>
        </w:tc>
      </w:tr>
      <w:tr>
        <w:trPr>
          <w:trHeight w:val="206"/>
        </w:trPr>
        <w:tc>
          <w:tcPr>
            <w:tcW w:w="5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Accretion of redeemable convertible preferred stock</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(2,210)</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(1,562)</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(4,566)</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(3,123)</w:t>
            </w:r>
          </w:p>
        </w:tc>
      </w:tr>
      <w:tr>
        <w:trPr>
          <w:trHeight w:val="219"/>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53"/>
        </w:trPr>
        <w:tc>
          <w:tcPr>
            <w:tcW w:w="5100" w:type="dxa"/>
            <w:vAlign w:val="bottom"/>
          </w:tcPr>
          <w:p>
            <w:pPr>
              <w:spacing w:after="0" w:line="153" w:lineRule="exact"/>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6"/>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(7.36)</w:t>
            </w:r>
          </w:p>
        </w:tc>
      </w:tr>
      <w:tr>
        <w:trPr>
          <w:trHeight w:val="153"/>
        </w:trPr>
        <w:tc>
          <w:tcPr>
            <w:tcW w:w="5100" w:type="dxa"/>
            <w:vAlign w:val="bottom"/>
            <w:tcBorders>
              <w:top w:val="single" w:sz="8" w:color="CCEEFF"/>
            </w:tcBorders>
          </w:tcPr>
          <w:p>
            <w:pPr>
              <w:spacing w:after="0" w:line="153" w:lineRule="exact"/>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212"/>
        </w:trPr>
        <w:tc>
          <w:tcPr>
            <w:tcW w:w="5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 and diluted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3,322,546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2,147,184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2,749,105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2,137,144</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3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120"/>
          </w:cols>
          <w:pgMar w:left="1420" w:top="110" w:right="135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Selecta Biosciences, Inc. and Subsidiaries</w:t>
      </w:r>
    </w:p>
    <w:p>
      <w:pPr>
        <w:spacing w:after="0" w:line="1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ind w:left="3120"/>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00" w:type="dxa"/>
            <w:vAlign w:val="bottom"/>
          </w:tcPr>
          <w:p>
            <w:pPr>
              <w:spacing w:after="0"/>
              <w:rPr>
                <w:sz w:val="10"/>
                <w:szCs w:val="10"/>
                <w:color w:val="auto"/>
              </w:rPr>
            </w:pP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112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112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Series C</w:t>
            </w:r>
          </w:p>
        </w:tc>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Series D</w:t>
            </w:r>
          </w:p>
        </w:tc>
        <w:tc>
          <w:tcPr>
            <w:tcW w:w="110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Series SRN</w:t>
            </w:r>
          </w:p>
        </w:tc>
        <w:tc>
          <w:tcPr>
            <w:tcW w:w="112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Series 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00" w:type="dxa"/>
            <w:vAlign w:val="bottom"/>
          </w:tcPr>
          <w:p>
            <w:pPr>
              <w:spacing w:after="0"/>
              <w:rPr>
                <w:sz w:val="9"/>
                <w:szCs w:val="9"/>
                <w:color w:val="auto"/>
              </w:rPr>
            </w:pPr>
          </w:p>
        </w:tc>
        <w:tc>
          <w:tcPr>
            <w:tcW w:w="1060" w:type="dxa"/>
            <w:vAlign w:val="bottom"/>
            <w:gridSpan w:val="5"/>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rPr>
              <w:t>redeemable</w:t>
            </w:r>
          </w:p>
        </w:tc>
        <w:tc>
          <w:tcPr>
            <w:tcW w:w="1120" w:type="dxa"/>
            <w:vAlign w:val="bottom"/>
            <w:gridSpan w:val="5"/>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redeemable</w:t>
            </w:r>
          </w:p>
        </w:tc>
        <w:tc>
          <w:tcPr>
            <w:tcW w:w="1120" w:type="dxa"/>
            <w:vAlign w:val="bottom"/>
            <w:gridSpan w:val="5"/>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redeemable</w:t>
            </w:r>
          </w:p>
        </w:tc>
        <w:tc>
          <w:tcPr>
            <w:tcW w:w="1120" w:type="dxa"/>
            <w:vAlign w:val="bottom"/>
            <w:gridSpan w:val="5"/>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redeemable</w:t>
            </w:r>
          </w:p>
        </w:tc>
        <w:tc>
          <w:tcPr>
            <w:tcW w:w="1100" w:type="dxa"/>
            <w:vAlign w:val="bottom"/>
            <w:gridSpan w:val="5"/>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redeemable</w:t>
            </w:r>
          </w:p>
        </w:tc>
        <w:tc>
          <w:tcPr>
            <w:tcW w:w="1120" w:type="dxa"/>
            <w:vAlign w:val="bottom"/>
            <w:gridSpan w:val="5"/>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redeemable</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00" w:type="dxa"/>
            <w:vAlign w:val="bottom"/>
          </w:tcPr>
          <w:p>
            <w:pPr>
              <w:spacing w:after="0"/>
              <w:rPr>
                <w:sz w:val="9"/>
                <w:szCs w:val="9"/>
                <w:color w:val="auto"/>
              </w:rPr>
            </w:pPr>
          </w:p>
        </w:tc>
        <w:tc>
          <w:tcPr>
            <w:tcW w:w="1060" w:type="dxa"/>
            <w:vAlign w:val="bottom"/>
            <w:gridSpan w:val="5"/>
          </w:tcPr>
          <w:p>
            <w:pPr>
              <w:jc w:val="center"/>
              <w:ind w:right="80"/>
              <w:spacing w:after="0" w:line="112"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120" w:type="dxa"/>
            <w:vAlign w:val="bottom"/>
            <w:gridSpan w:val="5"/>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120" w:type="dxa"/>
            <w:vAlign w:val="bottom"/>
            <w:gridSpan w:val="5"/>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120" w:type="dxa"/>
            <w:vAlign w:val="bottom"/>
            <w:gridSpan w:val="5"/>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100" w:type="dxa"/>
            <w:vAlign w:val="bottom"/>
            <w:gridSpan w:val="5"/>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120" w:type="dxa"/>
            <w:vAlign w:val="bottom"/>
            <w:gridSpan w:val="5"/>
          </w:tcPr>
          <w:p>
            <w:pPr>
              <w:jc w:val="center"/>
              <w:ind w:right="80"/>
              <w:spacing w:after="0" w:line="112"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12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w w:val="99"/>
              </w:rPr>
              <w:t>Common stock</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paid</w:t>
            </w:r>
            <w:r>
              <w:rPr>
                <w:rFonts w:ascii="MS PGothic" w:cs="MS PGothic" w:eastAsia="MS PGothic" w:hAnsi="MS PGothic"/>
                <w:sz w:val="10"/>
                <w:szCs w:val="10"/>
                <w:color w:val="auto"/>
                <w:strike w:val="1"/>
              </w:rPr>
              <w:t>‑</w:t>
            </w:r>
            <w:r>
              <w:rPr>
                <w:rFonts w:ascii="Times New Roman" w:cs="Times New Roman" w:eastAsia="Times New Roman" w:hAnsi="Times New Roman"/>
                <w:sz w:val="10"/>
                <w:szCs w:val="10"/>
                <w:b w:val="1"/>
                <w:bCs w:val="1"/>
                <w:color w:val="auto"/>
              </w:rPr>
              <w:t>In</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restart"/>
          </w:tcPr>
          <w:p>
            <w:pPr>
              <w:jc w:val="right"/>
              <w:ind w:right="89"/>
              <w:spacing w:after="0" w:line="103"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57"/>
        </w:trPr>
        <w:tc>
          <w:tcPr>
            <w:tcW w:w="700" w:type="dxa"/>
            <w:vAlign w:val="bottom"/>
          </w:tcPr>
          <w:p>
            <w:pPr>
              <w:spacing w:after="0"/>
              <w:rPr>
                <w:sz w:val="4"/>
                <w:szCs w:val="4"/>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4"/>
                <w:szCs w:val="4"/>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4"/>
                <w:szCs w:val="4"/>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4"/>
                <w:szCs w:val="4"/>
                <w:color w:val="auto"/>
              </w:rPr>
            </w:pPr>
          </w:p>
        </w:tc>
        <w:tc>
          <w:tcPr>
            <w:tcW w:w="6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52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52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5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52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52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7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Balance at</w:t>
            </w: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December 31,</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2,589,868</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3,644</w:t>
            </w: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7,437,325</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21,448</w:t>
            </w: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5,000,002</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20,178</w:t>
            </w: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8,099,994</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42,902</w:t>
            </w: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2,111,109</w:t>
            </w:r>
          </w:p>
        </w:tc>
        <w:tc>
          <w:tcPr>
            <w:tcW w:w="10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12,082</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8,888,888</w:t>
            </w:r>
          </w:p>
        </w:tc>
        <w:tc>
          <w:tcPr>
            <w:tcW w:w="10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37,228</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2,173,399</w:t>
            </w: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(111,508)</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(4,986)</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(116,493)</w:t>
            </w: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2015</w:t>
            </w: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700" w:type="dxa"/>
            <w:vAlign w:val="bottom"/>
            <w:tcBorders>
              <w:top w:val="single" w:sz="8" w:color="CCEEFF"/>
            </w:tcBorders>
          </w:tcPr>
          <w:p>
            <w:pPr>
              <w:spacing w:after="0" w:line="52" w:lineRule="exact"/>
              <w:rPr>
                <w:sz w:val="20"/>
                <w:szCs w:val="20"/>
                <w:color w:val="auto"/>
              </w:rPr>
            </w:pPr>
            <w:r>
              <w:rPr>
                <w:rFonts w:ascii="Times New Roman" w:cs="Times New Roman" w:eastAsia="Times New Roman" w:hAnsi="Times New Roman"/>
                <w:sz w:val="5"/>
                <w:szCs w:val="5"/>
                <w:color w:val="auto"/>
              </w:rPr>
              <w:t>Vesting of</w:t>
            </w:r>
          </w:p>
        </w:tc>
        <w:tc>
          <w:tcPr>
            <w:tcW w:w="500" w:type="dxa"/>
            <w:vAlign w:val="bottom"/>
            <w:tcBorders>
              <w:top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restricted</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3,791</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common stock</w:t>
            </w: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Issuance of</w:t>
            </w: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common stock</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upon exercise</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25,210</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of options</w:t>
            </w: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line="79" w:lineRule="exact"/>
              <w:rPr>
                <w:sz w:val="20"/>
                <w:szCs w:val="20"/>
                <w:color w:val="auto"/>
              </w:rPr>
            </w:pPr>
            <w:r>
              <w:rPr>
                <w:rFonts w:ascii="Times New Roman" w:cs="Times New Roman" w:eastAsia="Times New Roman" w:hAnsi="Times New Roman"/>
                <w:sz w:val="9"/>
                <w:szCs w:val="9"/>
                <w:color w:val="auto"/>
              </w:rPr>
              <w:t>Stock</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based</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compensation</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649</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expense</w:t>
            </w: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Accretion of</w:t>
            </w: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preferred</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stock to</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redemption</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100" w:type="dxa"/>
            <w:vAlign w:val="bottom"/>
            <w:tcBorders>
              <w:right w:val="single" w:sz="8" w:color="CCEEFF"/>
            </w:tcBorders>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446</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1,131</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913</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1,552</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(708)</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(3,858)</w:t>
            </w:r>
          </w:p>
        </w:tc>
        <w:tc>
          <w:tcPr>
            <w:tcW w:w="14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(4,566)</w:t>
            </w: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value</w:t>
            </w: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Exercise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common</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567,306</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warrants</w:t>
            </w: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Conversion of</w:t>
            </w: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convertible</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stock upon</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(2,589,868)</w:t>
            </w:r>
          </w:p>
        </w:tc>
        <w:tc>
          <w:tcPr>
            <w:tcW w:w="80" w:type="dxa"/>
            <w:vAlign w:val="bottom"/>
            <w:shd w:val="clear" w:color="auto" w:fill="CCEEFF"/>
          </w:tcPr>
          <w:p>
            <w:pPr>
              <w:spacing w:after="0"/>
              <w:rPr>
                <w:sz w:val="8"/>
                <w:szCs w:val="8"/>
                <w:color w:val="auto"/>
              </w:rPr>
            </w:pPr>
          </w:p>
        </w:tc>
        <w:tc>
          <w:tcPr>
            <w:tcW w:w="4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5"/>
              </w:rPr>
              <w:t>(3,719)</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(7,437,325)</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(21,897)</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(5,000,002)</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(20,624)</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(8,099,994)</w:t>
            </w:r>
          </w:p>
        </w:tc>
        <w:tc>
          <w:tcPr>
            <w:tcW w:w="8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(44,033)</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8"/>
              </w:rPr>
              <w:t>(2,111,109)</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(12,995)</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(8,888,888)</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99"/>
              </w:rPr>
              <w:t>(38,780)</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10,126,118</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142,047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142,048</w:t>
            </w: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listing</w:t>
            </w: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line="79" w:lineRule="exact"/>
              <w:rPr>
                <w:sz w:val="20"/>
                <w:szCs w:val="20"/>
                <w:color w:val="auto"/>
              </w:rPr>
            </w:pPr>
            <w:r>
              <w:rPr>
                <w:rFonts w:ascii="Times New Roman" w:cs="Times New Roman" w:eastAsia="Times New Roman" w:hAnsi="Times New Roman"/>
                <w:sz w:val="9"/>
                <w:szCs w:val="9"/>
                <w:color w:val="auto"/>
              </w:rPr>
              <w:t>Issuance of</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common</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stock, Initial</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public</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offering net of</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issuance costs</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60,776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60,776</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of $9,224</w:t>
            </w: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Conversion of</w:t>
            </w: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series D</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preferred</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stock warrants</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into warrants</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for the</w:t>
            </w: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purchase of</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w:t>
            </w: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line="79" w:lineRule="exact"/>
              <w:rPr>
                <w:sz w:val="20"/>
                <w:szCs w:val="20"/>
                <w:color w:val="auto"/>
              </w:rPr>
            </w:pPr>
            <w:r>
              <w:rPr>
                <w:rFonts w:ascii="Times New Roman" w:cs="Times New Roman" w:eastAsia="Times New Roman" w:hAnsi="Times New Roman"/>
                <w:sz w:val="9"/>
                <w:szCs w:val="9"/>
                <w:color w:val="auto"/>
              </w:rPr>
              <w:t>Conversion of</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series E</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preferred</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stock warrants</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into warrants</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for the</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purchase of</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common stock</w:t>
            </w: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Currency</w:t>
            </w: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translation</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w:t>
            </w:r>
          </w:p>
        </w:tc>
        <w:tc>
          <w:tcPr>
            <w:tcW w:w="0" w:type="dxa"/>
            <w:vAlign w:val="bottom"/>
          </w:tcPr>
          <w:p>
            <w:pPr>
              <w:spacing w:after="0"/>
              <w:rPr>
                <w:sz w:val="1"/>
                <w:szCs w:val="1"/>
                <w:color w:val="auto"/>
              </w:rPr>
            </w:pPr>
          </w:p>
        </w:tc>
      </w:tr>
      <w:tr>
        <w:trPr>
          <w:trHeight w:val="127"/>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adjustment</w:t>
            </w: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(14,399)</w:t>
            </w: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(14,399)</w:t>
            </w:r>
          </w:p>
        </w:tc>
        <w:tc>
          <w:tcPr>
            <w:tcW w:w="0" w:type="dxa"/>
            <w:vAlign w:val="bottom"/>
          </w:tcPr>
          <w:p>
            <w:pPr>
              <w:spacing w:after="0"/>
              <w:rPr>
                <w:sz w:val="1"/>
                <w:szCs w:val="1"/>
                <w:color w:val="auto"/>
              </w:rPr>
            </w:pPr>
          </w:p>
        </w:tc>
      </w:tr>
      <w:tr>
        <w:trPr>
          <w:trHeight w:val="97"/>
        </w:trPr>
        <w:tc>
          <w:tcPr>
            <w:tcW w:w="70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at</w:t>
            </w: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right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June 30, 2016</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vMerge w:val="restart"/>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17,895,824</w:t>
            </w: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203,125</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(129,765)</w:t>
            </w:r>
          </w:p>
        </w:tc>
        <w:tc>
          <w:tcPr>
            <w:tcW w:w="100" w:type="dxa"/>
            <w:vAlign w:val="bottom"/>
            <w:vMerge w:val="restart"/>
            <w:shd w:val="clear" w:color="auto" w:fill="CCEEFF"/>
          </w:tcPr>
          <w:p>
            <w:pPr>
              <w:spacing w:after="0"/>
              <w:rPr>
                <w:sz w:val="8"/>
                <w:szCs w:val="8"/>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(4,585)</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68,776</w:t>
            </w:r>
          </w:p>
        </w:tc>
        <w:tc>
          <w:tcPr>
            <w:tcW w:w="0" w:type="dxa"/>
            <w:vAlign w:val="bottom"/>
          </w:tcPr>
          <w:p>
            <w:pPr>
              <w:spacing w:after="0"/>
              <w:rPr>
                <w:sz w:val="1"/>
                <w:szCs w:val="1"/>
                <w:color w:val="auto"/>
              </w:rPr>
            </w:pPr>
          </w:p>
        </w:tc>
      </w:tr>
      <w:tr>
        <w:trPr>
          <w:trHeight w:val="11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(unaudited)</w:t>
            </w:r>
          </w:p>
        </w:tc>
        <w:tc>
          <w:tcPr>
            <w:tcW w:w="50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0" w:type="dxa"/>
            <w:vAlign w:val="bottom"/>
            <w:tcBorders>
              <w:right w:val="single" w:sz="8" w:color="CCEEFF"/>
            </w:tcBorders>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7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659955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9555" cy="24765"/>
                    </a:xfrm>
                    <a:prstGeom prst="rect">
                      <a:avLst/>
                    </a:prstGeom>
                    <a:noFill/>
                  </pic:spPr>
                </pic:pic>
              </a:graphicData>
            </a:graphic>
          </wp:anchor>
        </w:drawing>
      </w:r>
    </w:p>
    <w:p>
      <w:pPr>
        <w:sectPr>
          <w:pgSz w:w="11900" w:h="16838" w:orient="portrait"/>
          <w:cols w:equalWidth="0" w:num="1">
            <w:col w:w="11000"/>
          </w:cols>
          <w:pgMar w:left="760" w:top="110" w:right="13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Selecta Biosciences, Inc. and Subsidiaries</w:t>
      </w:r>
    </w:p>
    <w:p>
      <w:pPr>
        <w:spacing w:after="0" w:line="17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6"/>
        </w:trPr>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r>
      <w:tr>
        <w:trPr>
          <w:trHeight w:val="160"/>
        </w:trPr>
        <w:tc>
          <w:tcPr>
            <w:tcW w:w="68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Operating activities</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6"/>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(14,399)</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(12,600)</w:t>
            </w:r>
          </w:p>
        </w:tc>
      </w:tr>
      <w:tr>
        <w:trPr>
          <w:trHeight w:val="167"/>
        </w:trPr>
        <w:tc>
          <w:tcPr>
            <w:tcW w:w="68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6"/>
        </w:trPr>
        <w:tc>
          <w:tcPr>
            <w:tcW w:w="6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tcPr>
          <w:p>
            <w:pPr>
              <w:spacing w:after="0"/>
              <w:rPr>
                <w:sz w:val="17"/>
                <w:szCs w:val="17"/>
                <w:color w:val="auto"/>
              </w:rPr>
            </w:pPr>
          </w:p>
        </w:tc>
      </w:tr>
      <w:tr>
        <w:trPr>
          <w:trHeight w:val="206"/>
        </w:trPr>
        <w:tc>
          <w:tcPr>
            <w:tcW w:w="6820" w:type="dxa"/>
            <w:vAlign w:val="bottom"/>
            <w:shd w:val="clear" w:color="auto" w:fill="CCEEFF"/>
          </w:tcPr>
          <w:p>
            <w:pPr>
              <w:ind w:left="200"/>
              <w:spacing w:after="0" w:line="196" w:lineRule="exact"/>
              <w:rPr>
                <w:sz w:val="20"/>
                <w:szCs w:val="20"/>
                <w:color w:val="auto"/>
              </w:rPr>
            </w:pPr>
            <w:r>
              <w:rPr>
                <w:rFonts w:ascii="Times New Roman" w:cs="Times New Roman" w:eastAsia="Times New Roman" w:hAnsi="Times New Roman"/>
                <w:sz w:val="17"/>
                <w:szCs w:val="17"/>
                <w:color w:val="auto"/>
              </w:rPr>
              <w:t>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7"/>
                <w:szCs w:val="17"/>
                <w:color w:val="auto"/>
              </w:rPr>
            </w:pPr>
          </w:p>
        </w:tc>
      </w:tr>
      <w:tr>
        <w:trPr>
          <w:trHeight w:val="206"/>
        </w:trPr>
        <w:tc>
          <w:tcPr>
            <w:tcW w:w="6820" w:type="dxa"/>
            <w:vAlign w:val="bottom"/>
          </w:tcPr>
          <w:p>
            <w:pPr>
              <w:ind w:left="200"/>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interest expense</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7"/>
                <w:szCs w:val="17"/>
                <w:color w:val="auto"/>
              </w:rPr>
            </w:pPr>
          </w:p>
        </w:tc>
      </w:tr>
      <w:tr>
        <w:trPr>
          <w:trHeight w:val="206"/>
        </w:trPr>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 in fair value of redeemable convertible preferred stock warrant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67"/>
        </w:trPr>
        <w:tc>
          <w:tcPr>
            <w:tcW w:w="682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(1,137)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7"/>
                <w:szCs w:val="17"/>
                <w:color w:val="auto"/>
              </w:rPr>
            </w:pPr>
          </w:p>
        </w:tc>
      </w:tr>
      <w:tr>
        <w:trPr>
          <w:trHeight w:val="206"/>
        </w:trPr>
        <w:tc>
          <w:tcPr>
            <w:tcW w:w="68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w:t>
            </w:r>
          </w:p>
        </w:tc>
      </w:tr>
      <w:tr>
        <w:trPr>
          <w:trHeight w:val="206"/>
        </w:trPr>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Restricted cash and other deposits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(1,351)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7"/>
                <w:szCs w:val="17"/>
                <w:color w:val="auto"/>
              </w:rPr>
            </w:pPr>
          </w:p>
        </w:tc>
      </w:tr>
      <w:tr>
        <w:trPr>
          <w:trHeight w:val="206"/>
        </w:trPr>
        <w:tc>
          <w:tcPr>
            <w:tcW w:w="68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00" w:type="dxa"/>
            <w:vAlign w:val="bottom"/>
          </w:tcPr>
          <w:p>
            <w:pPr>
              <w:spacing w:after="0"/>
              <w:rPr>
                <w:sz w:val="17"/>
                <w:szCs w:val="17"/>
                <w:color w:val="auto"/>
              </w:rPr>
            </w:pPr>
          </w:p>
        </w:tc>
      </w:tr>
      <w:tr>
        <w:trPr>
          <w:trHeight w:val="206"/>
        </w:trPr>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shd w:val="clear" w:color="auto" w:fill="CCEEFF"/>
          </w:tcPr>
          <w:p>
            <w:pPr>
              <w:spacing w:after="0"/>
              <w:rPr>
                <w:sz w:val="17"/>
                <w:szCs w:val="17"/>
                <w:color w:val="auto"/>
              </w:rPr>
            </w:pPr>
          </w:p>
        </w:tc>
      </w:tr>
      <w:tr>
        <w:trPr>
          <w:trHeight w:val="206"/>
        </w:trPr>
        <w:tc>
          <w:tcPr>
            <w:tcW w:w="68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Contingently repayable grant funding</w:t>
            </w: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(310)</w:t>
            </w:r>
          </w:p>
        </w:tc>
      </w:tr>
      <w:tr>
        <w:trPr>
          <w:trHeight w:val="206"/>
        </w:trPr>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7"/>
                <w:szCs w:val="17"/>
                <w:color w:val="auto"/>
              </w:rPr>
            </w:pPr>
          </w:p>
        </w:tc>
      </w:tr>
      <w:tr>
        <w:trPr>
          <w:trHeight w:val="199"/>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(15,773)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(9,211)</w:t>
            </w:r>
          </w:p>
        </w:tc>
        <w:tc>
          <w:tcPr>
            <w:tcW w:w="100" w:type="dxa"/>
            <w:vAlign w:val="bottom"/>
          </w:tcPr>
          <w:p>
            <w:pPr>
              <w:spacing w:after="0"/>
              <w:rPr>
                <w:sz w:val="17"/>
                <w:szCs w:val="17"/>
                <w:color w:val="auto"/>
              </w:rPr>
            </w:pPr>
          </w:p>
        </w:tc>
      </w:tr>
      <w:tr>
        <w:trPr>
          <w:trHeight w:val="167"/>
        </w:trPr>
        <w:tc>
          <w:tcPr>
            <w:tcW w:w="68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Investing activities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6"/>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Maturities of short term government obligations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(553)</w:t>
            </w:r>
          </w:p>
        </w:tc>
      </w:tr>
      <w:tr>
        <w:trPr>
          <w:trHeight w:val="199"/>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Pr>
          <w:p>
            <w:pPr>
              <w:spacing w:after="0"/>
              <w:rPr>
                <w:sz w:val="17"/>
                <w:szCs w:val="17"/>
                <w:color w:val="auto"/>
              </w:rPr>
            </w:pPr>
          </w:p>
        </w:tc>
      </w:tr>
      <w:tr>
        <w:trPr>
          <w:trHeight w:val="167"/>
        </w:trPr>
        <w:tc>
          <w:tcPr>
            <w:tcW w:w="68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Financing activities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6"/>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Vesting of restricted stock</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r>
      <w:tr>
        <w:trPr>
          <w:trHeight w:val="20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Principle payments on loan payable</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(916)</w:t>
            </w:r>
          </w:p>
        </w:tc>
      </w:tr>
      <w:tr>
        <w:trPr>
          <w:trHeight w:val="206"/>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Deferred IPO costs paid</w:t>
            </w: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(2,650)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convertible note</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w:t>
            </w:r>
          </w:p>
        </w:tc>
        <w:tc>
          <w:tcPr>
            <w:tcW w:w="100" w:type="dxa"/>
            <w:vAlign w:val="bottom"/>
            <w:shd w:val="clear" w:color="auto" w:fill="CCEEFF"/>
          </w:tcPr>
          <w:p>
            <w:pPr>
              <w:spacing w:after="0"/>
              <w:rPr>
                <w:sz w:val="17"/>
                <w:szCs w:val="17"/>
                <w:color w:val="auto"/>
              </w:rPr>
            </w:pPr>
          </w:p>
        </w:tc>
      </w:tr>
      <w:tr>
        <w:trPr>
          <w:trHeight w:val="206"/>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Initial Public Offering</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7"/>
                <w:szCs w:val="17"/>
                <w:color w:val="auto"/>
              </w:rPr>
            </w:pPr>
          </w:p>
        </w:tc>
      </w:tr>
      <w:tr>
        <w:trPr>
          <w:trHeight w:val="19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62,508</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6,235</w:t>
            </w:r>
          </w:p>
        </w:tc>
        <w:tc>
          <w:tcPr>
            <w:tcW w:w="100" w:type="dxa"/>
            <w:vAlign w:val="bottom"/>
            <w:tcBorders>
              <w:bottom w:val="single" w:sz="8" w:color="CCEEFF"/>
            </w:tcBorders>
          </w:tcPr>
          <w:p>
            <w:pPr>
              <w:spacing w:after="0"/>
              <w:rPr>
                <w:sz w:val="17"/>
                <w:szCs w:val="17"/>
                <w:color w:val="auto"/>
              </w:rPr>
            </w:pPr>
          </w:p>
        </w:tc>
      </w:tr>
      <w:tr>
        <w:trPr>
          <w:trHeight w:val="19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7"/>
                <w:szCs w:val="17"/>
                <w:color w:val="auto"/>
              </w:rPr>
            </w:pPr>
          </w:p>
        </w:tc>
      </w:tr>
      <w:tr>
        <w:trPr>
          <w:trHeight w:val="199"/>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w:t>
            </w:r>
          </w:p>
        </w:tc>
        <w:tc>
          <w:tcPr>
            <w:tcW w:w="100" w:type="dxa"/>
            <w:vAlign w:val="bottom"/>
          </w:tcPr>
          <w:p>
            <w:pPr>
              <w:spacing w:after="0"/>
              <w:rPr>
                <w:sz w:val="17"/>
                <w:szCs w:val="17"/>
                <w:color w:val="auto"/>
              </w:rPr>
            </w:pPr>
          </w:p>
        </w:tc>
      </w:tr>
      <w:tr>
        <w:trPr>
          <w:trHeight w:val="20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16,592</w:t>
            </w:r>
          </w:p>
        </w:tc>
        <w:tc>
          <w:tcPr>
            <w:tcW w:w="100" w:type="dxa"/>
            <w:vAlign w:val="bottom"/>
            <w:shd w:val="clear" w:color="auto" w:fill="CCEEFF"/>
          </w:tcPr>
          <w:p>
            <w:pPr>
              <w:spacing w:after="0"/>
              <w:rPr>
                <w:sz w:val="17"/>
                <w:szCs w:val="17"/>
                <w:color w:val="auto"/>
              </w:rPr>
            </w:pPr>
          </w:p>
        </w:tc>
      </w:tr>
      <w:tr>
        <w:trPr>
          <w:trHeight w:val="204"/>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82,648</w:t>
            </w:r>
          </w:p>
        </w:tc>
        <w:tc>
          <w:tcPr>
            <w:tcW w:w="40" w:type="dxa"/>
            <w:vAlign w:val="bottom"/>
          </w:tcPr>
          <w:p>
            <w:pPr>
              <w:spacing w:after="0"/>
              <w:rPr>
                <w:sz w:val="17"/>
                <w:szCs w:val="17"/>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13,154</w:t>
            </w:r>
          </w:p>
        </w:tc>
        <w:tc>
          <w:tcPr>
            <w:tcW w:w="100" w:type="dxa"/>
            <w:vAlign w:val="bottom"/>
          </w:tcPr>
          <w:p>
            <w:pPr>
              <w:spacing w:after="0"/>
              <w:rPr>
                <w:sz w:val="17"/>
                <w:szCs w:val="17"/>
                <w:color w:val="auto"/>
              </w:rPr>
            </w:pPr>
          </w:p>
        </w:tc>
      </w:tr>
      <w:tr>
        <w:trPr>
          <w:trHeight w:val="167"/>
        </w:trPr>
        <w:tc>
          <w:tcPr>
            <w:tcW w:w="68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Cash paid during the year for:</w:t>
            </w: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2"/>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4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8"/>
                <w:szCs w:val="18"/>
                <w:color w:val="auto"/>
              </w:rPr>
            </w:pPr>
          </w:p>
        </w:tc>
      </w:tr>
      <w:tr>
        <w:trPr>
          <w:trHeight w:val="167"/>
        </w:trPr>
        <w:tc>
          <w:tcPr>
            <w:tcW w:w="68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Supplemental noncash financing activities</w:t>
            </w: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2"/>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Reclassification of deferred IPO costs from non-current assets to additional paid-in 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4,324</w:t>
            </w:r>
          </w:p>
        </w:tc>
        <w:tc>
          <w:tcPr>
            <w:tcW w:w="4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costs in accounts payable and accrued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2"/>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Accrued dividends and accretion of preferred stock to redemption value</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100" w:type="dxa"/>
            <w:vAlign w:val="bottom"/>
          </w:tcPr>
          <w:p>
            <w:pPr>
              <w:spacing w:after="0"/>
              <w:rPr>
                <w:sz w:val="18"/>
                <w:szCs w:val="18"/>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r>
        <w:rPr>
          <w:rFonts w:ascii="Times New Roman" w:cs="Times New Roman" w:eastAsia="Times New Roman" w:hAnsi="Times New Roman"/>
          <w:sz w:val="17"/>
          <w:szCs w:val="17"/>
          <w:b w:val="1"/>
          <w:bCs w:val="1"/>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Selecta Biosciences, Inc, and Subsidiaries</w:t>
      </w: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 2015 and Unaudited Three and Six Months Ended June 30, 2016 and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Nature of the Business and Basis of Presentation</w:t>
      </w:r>
    </w:p>
    <w:p>
      <w:pPr>
        <w:spacing w:after="0" w:line="18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7"/>
          <w:szCs w:val="17"/>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54"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53"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7"/>
          <w:szCs w:val="17"/>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50"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7"/>
          <w:szCs w:val="17"/>
          <w:color w:val="auto"/>
        </w:rPr>
        <w:t>In connection with the initial public offering (“IPO”), the Company’s Board of Directors and stockholders approved a one-for-3.9 reverse stock split of the Company’s common stock. The reverse stock split became effective June 7, 2016. All share and per share amounts in these condensed interim financial statements and notes thereto have been retroactively adjusted for all periods presented to give effect to this reverse stock split, including reclassifying an amount equal to the reduction in par value of common stock to additional paid-in capital.</w:t>
      </w:r>
    </w:p>
    <w:p>
      <w:pPr>
        <w:spacing w:after="0" w:line="154"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On June 21, 2016 the Company completed an IPO of its common stock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IPO on June 27, 2016, all outstanding shares of the Company’s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Interim Financial Information</w:t>
      </w:r>
    </w:p>
    <w:p>
      <w:pPr>
        <w:spacing w:after="0" w:line="182"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for the three months and six months ended June 30, 2016 and 2015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8" w:name="page9"/>
    <w:bookmarkEnd w:id="8"/>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20" w:right="120"/>
        <w:spacing w:after="0" w:line="239" w:lineRule="auto"/>
        <w:rPr>
          <w:sz w:val="20"/>
          <w:szCs w:val="20"/>
          <w:color w:val="auto"/>
        </w:rPr>
      </w:pPr>
      <w:r>
        <w:rPr>
          <w:rFonts w:ascii="Times New Roman" w:cs="Times New Roman" w:eastAsia="Times New Roman" w:hAnsi="Times New Roman"/>
          <w:sz w:val="17"/>
          <w:szCs w:val="17"/>
          <w:color w:val="auto"/>
        </w:rPr>
        <w:t>statements and the notes thereto for the year ended December 31, 2015 included in the Company’s final prospectus filed under the Securities Act of 1933, as amended, with the SEC pursuant to Rule 424(b)(4) on June 23, 2016.</w:t>
      </w:r>
    </w:p>
    <w:p>
      <w:pPr>
        <w:spacing w:after="0" w:line="151" w:lineRule="exact"/>
        <w:rPr>
          <w:sz w:val="20"/>
          <w:szCs w:val="20"/>
          <w:color w:val="auto"/>
        </w:rPr>
      </w:pPr>
    </w:p>
    <w:p>
      <w:pPr>
        <w:ind w:left="20" w:right="20"/>
        <w:spacing w:after="0" w:line="216" w:lineRule="auto"/>
        <w:rPr>
          <w:sz w:val="20"/>
          <w:szCs w:val="20"/>
          <w:color w:val="auto"/>
        </w:rPr>
      </w:pPr>
      <w:r>
        <w:rPr>
          <w:rFonts w:ascii="Times New Roman" w:cs="Times New Roman" w:eastAsia="Times New Roman" w:hAnsi="Times New Roman"/>
          <w:sz w:val="17"/>
          <w:szCs w:val="17"/>
          <w:color w:val="auto"/>
        </w:rPr>
        <w:t>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statements for the three and six months ended June 30, 2016 and 2015 and its cash flows for the six months ended June 30, 2016 and 2015. Such adjustments are of a normal and recurring nature. The results of operations for the three and six months ended June 30, 2016 are not necessarily indicative of the results of operations that may be expected for the year ending December 31, 2016.</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Liquidity</w:t>
      </w:r>
    </w:p>
    <w:p>
      <w:pPr>
        <w:spacing w:after="0" w:line="182" w:lineRule="exact"/>
        <w:rPr>
          <w:sz w:val="20"/>
          <w:szCs w:val="20"/>
          <w:color w:val="auto"/>
        </w:rPr>
      </w:pPr>
    </w:p>
    <w:p>
      <w:pPr>
        <w:ind w:left="20"/>
        <w:spacing w:after="0" w:line="213" w:lineRule="auto"/>
        <w:rPr>
          <w:sz w:val="20"/>
          <w:szCs w:val="20"/>
          <w:color w:val="auto"/>
        </w:rPr>
      </w:pPr>
      <w:r>
        <w:rPr>
          <w:rFonts w:ascii="Times New Roman" w:cs="Times New Roman" w:eastAsia="Times New Roman" w:hAnsi="Times New Roman"/>
          <w:sz w:val="17"/>
          <w:szCs w:val="17"/>
          <w:color w:val="auto"/>
        </w:rPr>
        <w:t>The Company has incurred losses since inception and negative cash flows from operating activities. As of June 30, 2016 and December 31, 2015, the Company had an accumulated deficit of $129.8 million and $111.5 million, respectively. The Company’s cash and cash equivalents as of June 30, 2016 and December 31, 2015, includes $3.1 million and $3.0 million of unrestricted cash held by its Russia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Guarantees and Indemnifications</w:t>
      </w:r>
    </w:p>
    <w:p>
      <w:pPr>
        <w:spacing w:after="0" w:line="182" w:lineRule="exact"/>
        <w:rPr>
          <w:sz w:val="20"/>
          <w:szCs w:val="20"/>
          <w:color w:val="auto"/>
        </w:rPr>
      </w:pPr>
    </w:p>
    <w:p>
      <w:pPr>
        <w:ind w:left="20" w:right="40" w:firstLine="4"/>
        <w:spacing w:after="0" w:line="218" w:lineRule="auto"/>
        <w:rPr>
          <w:sz w:val="20"/>
          <w:szCs w:val="20"/>
          <w:color w:val="auto"/>
        </w:rPr>
      </w:pPr>
      <w:r>
        <w:rPr>
          <w:rFonts w:ascii="Times New Roman" w:cs="Times New Roman" w:eastAsia="Times New Roman" w:hAnsi="Times New Roman"/>
          <w:sz w:val="17"/>
          <w:szCs w:val="17"/>
          <w:color w:val="auto"/>
        </w:rPr>
        <w:t>As permitted under Delaware law, the Company indemnifies its officers, directors, consultants and employees for certain events or occurrences that happen by reason of the relationship with, or position held at, the Company. Through June 30, 2016,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53" w:lineRule="exact"/>
        <w:rPr>
          <w:sz w:val="20"/>
          <w:szCs w:val="20"/>
          <w:color w:val="auto"/>
        </w:rPr>
      </w:pPr>
    </w:p>
    <w:p>
      <w:pPr>
        <w:ind w:left="20" w:right="5660" w:hanging="1"/>
        <w:spacing w:after="0" w:line="460" w:lineRule="auto"/>
        <w:tabs>
          <w:tab w:leader="none" w:pos="19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Principles of Consolidation</w:t>
      </w:r>
    </w:p>
    <w:p>
      <w:pPr>
        <w:spacing w:after="0" w:line="1" w:lineRule="exact"/>
        <w:rPr>
          <w:sz w:val="20"/>
          <w:szCs w:val="20"/>
          <w:color w:val="auto"/>
        </w:rPr>
      </w:pPr>
    </w:p>
    <w:p>
      <w:pPr>
        <w:jc w:val="both"/>
        <w:ind w:left="20" w:right="920" w:firstLine="4"/>
        <w:spacing w:after="0" w:line="228"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82" w:lineRule="exact"/>
        <w:rPr>
          <w:sz w:val="20"/>
          <w:szCs w:val="20"/>
          <w:color w:val="auto"/>
        </w:rPr>
      </w:pPr>
    </w:p>
    <w:p>
      <w:pPr>
        <w:ind w:left="20"/>
        <w:spacing w:after="0" w:line="222" w:lineRule="auto"/>
        <w:rPr>
          <w:sz w:val="20"/>
          <w:szCs w:val="20"/>
          <w:color w:val="auto"/>
        </w:rPr>
      </w:pPr>
      <w:r>
        <w:rPr>
          <w:rFonts w:ascii="Times New Roman" w:cs="Times New Roman" w:eastAsia="Times New Roman" w:hAnsi="Times New Roman"/>
          <w:sz w:val="17"/>
          <w:szCs w:val="17"/>
          <w:color w:val="auto"/>
        </w:rPr>
        <w:t>The functional currency of Selecta (RUS) is the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82" w:lineRule="exact"/>
        <w:rPr>
          <w:sz w:val="20"/>
          <w:szCs w:val="20"/>
          <w:color w:val="auto"/>
        </w:rPr>
      </w:pPr>
    </w:p>
    <w:p>
      <w:pPr>
        <w:jc w:val="both"/>
        <w:ind w:left="20" w:firstLine="4"/>
        <w:spacing w:after="0" w:line="216"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00" w:top="110" w:right="1439" w:bottom="1440" w:gutter="0" w:footer="0" w:header="0"/>
        </w:sectPr>
      </w:pPr>
    </w:p>
    <w:bookmarkStart w:id="9" w:name="page10"/>
    <w:bookmarkEnd w:id="9"/>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jc w:val="both"/>
        <w:ind w:left="20"/>
        <w:spacing w:after="0" w:line="222" w:lineRule="auto"/>
        <w:rPr>
          <w:sz w:val="20"/>
          <w:szCs w:val="20"/>
          <w:color w:val="auto"/>
        </w:rPr>
      </w:pPr>
      <w:r>
        <w:rPr>
          <w:rFonts w:ascii="Times New Roman" w:cs="Times New Roman" w:eastAsia="Times New Roman" w:hAnsi="Times New Roman"/>
          <w:sz w:val="17"/>
          <w:szCs w:val="17"/>
          <w:color w:val="auto"/>
        </w:rPr>
        <w:t>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151" w:lineRule="exact"/>
        <w:rPr>
          <w:sz w:val="20"/>
          <w:szCs w:val="20"/>
          <w:color w:val="auto"/>
        </w:rPr>
      </w:pPr>
    </w:p>
    <w:p>
      <w:pPr>
        <w:jc w:val="both"/>
        <w:ind w:left="20" w:firstLine="4"/>
        <w:spacing w:after="0" w:line="212" w:lineRule="auto"/>
        <w:rPr>
          <w:sz w:val="20"/>
          <w:szCs w:val="20"/>
          <w:color w:val="auto"/>
        </w:rPr>
      </w:pPr>
      <w:r>
        <w:rPr>
          <w:rFonts w:ascii="Times New Roman" w:cs="Times New Roman" w:eastAsia="Times New Roman" w:hAnsi="Times New Roman"/>
          <w:sz w:val="17"/>
          <w:szCs w:val="17"/>
          <w:color w:val="auto"/>
        </w:rPr>
        <w:t>The Company’s management made significant estimates and assumptions in determining the fair value of its common stock for those periods reported prior to the completion of the IPO. The Company utilized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included estimates and assumptions that require the Company’s judgment. These estimates and assumptions included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82" w:lineRule="exact"/>
        <w:rPr>
          <w:sz w:val="20"/>
          <w:szCs w:val="20"/>
          <w:color w:val="auto"/>
        </w:rPr>
      </w:pPr>
    </w:p>
    <w:p>
      <w:pPr>
        <w:jc w:val="both"/>
        <w:ind w:left="20" w:firstLine="4"/>
        <w:spacing w:after="0"/>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 and Short Term Investments</w:t>
      </w:r>
    </w:p>
    <w:p>
      <w:pPr>
        <w:spacing w:after="0" w:line="182" w:lineRule="exact"/>
        <w:rPr>
          <w:sz w:val="20"/>
          <w:szCs w:val="20"/>
          <w:color w:val="auto"/>
        </w:rPr>
      </w:pPr>
    </w:p>
    <w:p>
      <w:pPr>
        <w:ind w:left="20" w:right="200"/>
        <w:spacing w:after="0" w:line="178" w:lineRule="exact"/>
        <w:rPr>
          <w:sz w:val="20"/>
          <w:szCs w:val="20"/>
          <w:color w:val="auto"/>
        </w:rPr>
      </w:pPr>
      <w:r>
        <w:rPr>
          <w:rFonts w:ascii="Times New Roman" w:cs="Times New Roman" w:eastAsia="Times New Roman" w:hAnsi="Times New Roman"/>
          <w:sz w:val="17"/>
          <w:szCs w:val="17"/>
          <w:color w:val="auto"/>
        </w:rPr>
        <w:t>Cash equivalents include all highly liquid investments maturing within 90 days from the date of purchase. Investments consist of securities with remaining maturities greater than 90 days when purchased. The Company classifies these investments as available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154" w:lineRule="exact"/>
        <w:rPr>
          <w:sz w:val="20"/>
          <w:szCs w:val="20"/>
          <w:color w:val="auto"/>
        </w:rPr>
      </w:pPr>
    </w:p>
    <w:p>
      <w:pPr>
        <w:ind w:left="20" w:right="20"/>
        <w:spacing w:after="0" w:line="222" w:lineRule="auto"/>
        <w:rPr>
          <w:sz w:val="20"/>
          <w:szCs w:val="20"/>
          <w:color w:val="auto"/>
        </w:rPr>
      </w:pPr>
      <w:r>
        <w:rPr>
          <w:rFonts w:ascii="Times New Roman" w:cs="Times New Roman" w:eastAsia="Times New Roman" w:hAnsi="Times New Roman"/>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12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Concentrations of Credit Risk and Off</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Balance Sheet Risk</w:t>
      </w:r>
    </w:p>
    <w:p>
      <w:pPr>
        <w:spacing w:after="0" w:line="206" w:lineRule="exact"/>
        <w:rPr>
          <w:sz w:val="20"/>
          <w:szCs w:val="20"/>
          <w:color w:val="auto"/>
        </w:rPr>
      </w:pPr>
    </w:p>
    <w:p>
      <w:pPr>
        <w:ind w:left="20" w:right="20"/>
        <w:spacing w:after="0" w:line="215"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our Russia subsidiary, we also maintain cash in Russian bank accounts in denominations of both rubles and U.S. dollars. As of June 30, 2016, we maintained approximately $3.5 million in Russian bank accounts, of which $3.0 million was held in U.S. dollars.</w:t>
      </w:r>
    </w:p>
    <w:p>
      <w:pPr>
        <w:spacing w:after="0" w:line="146" w:lineRule="exact"/>
        <w:rPr>
          <w:sz w:val="20"/>
          <w:szCs w:val="20"/>
          <w:color w:val="auto"/>
        </w:rPr>
      </w:pPr>
    </w:p>
    <w:p>
      <w:pPr>
        <w:ind w:left="20"/>
        <w:spacing w:after="0" w:line="196" w:lineRule="exact"/>
        <w:rPr>
          <w:sz w:val="20"/>
          <w:szCs w:val="20"/>
          <w:color w:val="auto"/>
        </w:rPr>
      </w:pPr>
      <w:r>
        <w:rPr>
          <w:rFonts w:ascii="Times New Roman" w:cs="Times New Roman" w:eastAsia="Times New Roman" w:hAnsi="Times New Roman"/>
          <w:sz w:val="19"/>
          <w:szCs w:val="19"/>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known and supported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profit organizations. The Company did not have any off balance sheet arrangements as of June 30, 2016 and December 31, 2015.</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00" w:top="110" w:right="1439" w:bottom="1440" w:gutter="0" w:footer="0" w:header="0"/>
        </w:sectPr>
      </w:pPr>
    </w:p>
    <w:bookmarkStart w:id="10" w:name="page11"/>
    <w:bookmarkEnd w:id="10"/>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53" w:lineRule="exact"/>
        <w:rPr>
          <w:sz w:val="20"/>
          <w:szCs w:val="20"/>
          <w:color w:val="auto"/>
        </w:rPr>
      </w:pPr>
    </w:p>
    <w:p>
      <w:pPr>
        <w:ind w:left="20" w:right="100"/>
        <w:spacing w:after="0" w:line="181" w:lineRule="exact"/>
        <w:rPr>
          <w:sz w:val="20"/>
          <w:szCs w:val="20"/>
          <w:color w:val="auto"/>
        </w:rPr>
      </w:pPr>
      <w:r>
        <w:rPr>
          <w:rFonts w:ascii="Times New Roman" w:cs="Times New Roman" w:eastAsia="Times New Roman" w:hAnsi="Times New Roman"/>
          <w:sz w:val="17"/>
          <w:szCs w:val="17"/>
          <w:color w:val="auto"/>
        </w:rPr>
        <w:t>The Company’s financial instruments consist mainly of cash equivalents,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12.4% for the debt arrangement.</w:t>
      </w:r>
    </w:p>
    <w:p>
      <w:pPr>
        <w:spacing w:after="0" w:line="153" w:lineRule="exact"/>
        <w:rPr>
          <w:sz w:val="20"/>
          <w:szCs w:val="20"/>
          <w:color w:val="auto"/>
        </w:rPr>
      </w:pPr>
    </w:p>
    <w:p>
      <w:pPr>
        <w:ind w:left="20" w:right="20"/>
        <w:spacing w:after="0" w:line="178" w:lineRule="exact"/>
        <w:rPr>
          <w:sz w:val="20"/>
          <w:szCs w:val="20"/>
          <w:color w:val="auto"/>
        </w:rPr>
      </w:pPr>
      <w:r>
        <w:rPr>
          <w:rFonts w:ascii="Times New Roman" w:cs="Times New Roman" w:eastAsia="Times New Roman" w:hAnsi="Times New Roman"/>
          <w:sz w:val="17"/>
          <w:szCs w:val="17"/>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50" w:lineRule="exact"/>
        <w:rPr>
          <w:sz w:val="20"/>
          <w:szCs w:val="20"/>
          <w:color w:val="auto"/>
        </w:rPr>
      </w:pPr>
    </w:p>
    <w:p>
      <w:pPr>
        <w:ind w:left="640"/>
        <w:spacing w:after="0" w:line="243" w:lineRule="auto"/>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—Level 1 inputs are quoted prices in active markets for identical assets or liabilities that the reporting entity has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ability to access at the measurement date.</w:t>
      </w:r>
    </w:p>
    <w:p>
      <w:pPr>
        <w:spacing w:after="0" w:line="41" w:lineRule="exact"/>
        <w:rPr>
          <w:sz w:val="20"/>
          <w:szCs w:val="20"/>
          <w:color w:val="auto"/>
        </w:rPr>
      </w:pPr>
    </w:p>
    <w:p>
      <w:pPr>
        <w:jc w:val="both"/>
        <w:ind w:left="640" w:right="320"/>
        <w:spacing w:after="0" w:line="229"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—Level 2 inputs are inputs other than quoted prices included within Level 1 that are observable for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either directly or indirectly. If the asset or liability has a specified (contractual) term, a Level 2 input must be observable for substantially the full term of the asset or liability.</w:t>
      </w:r>
    </w:p>
    <w:p>
      <w:pPr>
        <w:spacing w:after="0" w:line="45" w:lineRule="exact"/>
        <w:rPr>
          <w:sz w:val="20"/>
          <w:szCs w:val="20"/>
          <w:color w:val="auto"/>
        </w:rPr>
      </w:pPr>
    </w:p>
    <w:p>
      <w:pPr>
        <w:ind w:left="640" w:right="120"/>
        <w:spacing w:after="0" w:line="243"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—Level 3 inputs are unobservable inputs for the asset or liability in which there is little, if any, market activity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or liability at the measurement date.</w:t>
      </w:r>
    </w:p>
    <w:p>
      <w:pPr>
        <w:spacing w:after="0" w:line="148" w:lineRule="exact"/>
        <w:rPr>
          <w:sz w:val="20"/>
          <w:szCs w:val="20"/>
          <w:color w:val="auto"/>
        </w:rPr>
      </w:pPr>
    </w:p>
    <w:p>
      <w:pPr>
        <w:ind w:left="20" w:right="60"/>
        <w:spacing w:after="0" w:line="222" w:lineRule="auto"/>
        <w:rPr>
          <w:sz w:val="20"/>
          <w:szCs w:val="20"/>
          <w:color w:val="auto"/>
        </w:rPr>
      </w:pPr>
      <w:r>
        <w:rPr>
          <w:rFonts w:ascii="Times New Roman" w:cs="Times New Roman" w:eastAsia="Times New Roman" w:hAnsi="Times New Roman"/>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3" w:lineRule="exact"/>
        <w:rPr>
          <w:sz w:val="20"/>
          <w:szCs w:val="20"/>
          <w:color w:val="auto"/>
        </w:rPr>
      </w:pPr>
    </w:p>
    <w:p>
      <w:pPr>
        <w:ind w:left="20"/>
        <w:spacing w:after="0" w:line="180" w:lineRule="exact"/>
        <w:rPr>
          <w:sz w:val="20"/>
          <w:szCs w:val="20"/>
          <w:color w:val="auto"/>
        </w:rPr>
      </w:pPr>
      <w:r>
        <w:rPr>
          <w:rFonts w:ascii="Times New Roman" w:cs="Times New Roman" w:eastAsia="Times New Roman" w:hAnsi="Times New Roman"/>
          <w:sz w:val="17"/>
          <w:szCs w:val="17"/>
          <w:color w:val="auto"/>
        </w:rPr>
        <w:t>Fair value is a market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measure considered from the perspective of a market participant rather than an entity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six months ended June 30, 2016 or the year ended December 31, 2015.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53" w:lineRule="exact"/>
        <w:rPr>
          <w:sz w:val="20"/>
          <w:szCs w:val="20"/>
          <w:color w:val="auto"/>
        </w:rPr>
      </w:pPr>
    </w:p>
    <w:p>
      <w:pPr>
        <w:ind w:left="20" w:right="160"/>
        <w:spacing w:after="0" w:line="181" w:lineRule="exact"/>
        <w:rPr>
          <w:sz w:val="20"/>
          <w:szCs w:val="20"/>
          <w:color w:val="auto"/>
        </w:rPr>
      </w:pPr>
      <w:r>
        <w:rPr>
          <w:rFonts w:ascii="Times New Roman" w:cs="Times New Roman" w:eastAsia="Times New Roman" w:hAnsi="Times New Roman"/>
          <w:sz w:val="17"/>
          <w:szCs w:val="17"/>
          <w:color w:val="auto"/>
        </w:rPr>
        <w:t>Property and equipment are recorded at cost and depreciated using the straight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2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Impairment of Long</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Lived Assets</w:t>
      </w:r>
    </w:p>
    <w:p>
      <w:pPr>
        <w:spacing w:after="0" w:line="178" w:lineRule="exact"/>
        <w:rPr>
          <w:sz w:val="20"/>
          <w:szCs w:val="20"/>
          <w:color w:val="auto"/>
        </w:rPr>
      </w:pPr>
    </w:p>
    <w:p>
      <w:pPr>
        <w:jc w:val="both"/>
        <w:ind w:left="20" w:right="20"/>
        <w:spacing w:after="0" w:line="189" w:lineRule="exact"/>
        <w:rPr>
          <w:sz w:val="20"/>
          <w:szCs w:val="20"/>
          <w:color w:val="auto"/>
        </w:rPr>
      </w:pPr>
      <w:r>
        <w:rPr>
          <w:rFonts w:ascii="Times New Roman" w:cs="Times New Roman" w:eastAsia="Times New Roman" w:hAnsi="Times New Roman"/>
          <w:sz w:val="17"/>
          <w:szCs w:val="17"/>
          <w:color w:val="auto"/>
        </w:rPr>
        <w:t>The Company periodically evaluates its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80"/>
          </w:cols>
          <w:pgMar w:left="1400" w:top="110" w:right="1419" w:bottom="1440" w:gutter="0" w:footer="0" w:header="0"/>
        </w:sectPr>
      </w:pPr>
    </w:p>
    <w:bookmarkStart w:id="11" w:name="page12"/>
    <w:bookmarkEnd w:id="11"/>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jc w:val="both"/>
        <w:ind w:left="20" w:right="79"/>
        <w:spacing w:after="0" w:line="228" w:lineRule="auto"/>
        <w:rPr>
          <w:sz w:val="20"/>
          <w:szCs w:val="20"/>
          <w:color w:val="auto"/>
        </w:rPr>
      </w:pPr>
      <w:r>
        <w:rPr>
          <w:rFonts w:ascii="Times New Roman" w:cs="Times New Roman" w:eastAsia="Times New Roman" w:hAnsi="Times New Roman"/>
          <w:sz w:val="17"/>
          <w:szCs w:val="17"/>
          <w:color w:val="auto"/>
        </w:rPr>
        <w:t>development cycles. Impairment in the carrying value of each asset is assessed when the undiscounted expected future cash flows derived from the asset are less than their carrying value. The Company did not recognize any impairment charges through June 30, 2016.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Issuance Costs</w:t>
      </w:r>
    </w:p>
    <w:p>
      <w:pPr>
        <w:spacing w:after="0" w:line="182" w:lineRule="exact"/>
        <w:rPr>
          <w:sz w:val="20"/>
          <w:szCs w:val="20"/>
          <w:color w:val="auto"/>
        </w:rPr>
      </w:pPr>
    </w:p>
    <w:p>
      <w:pPr>
        <w:ind w:left="20" w:right="239"/>
        <w:spacing w:after="0" w:line="228" w:lineRule="auto"/>
        <w:rPr>
          <w:sz w:val="20"/>
          <w:szCs w:val="20"/>
          <w:color w:val="auto"/>
        </w:rPr>
      </w:pPr>
      <w:r>
        <w:rPr>
          <w:rFonts w:ascii="Times New Roman" w:cs="Times New Roman" w:eastAsia="Times New Roman" w:hAnsi="Times New Roman"/>
          <w:sz w:val="17"/>
          <w:szCs w:val="17"/>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82" w:lineRule="exact"/>
        <w:rPr>
          <w:sz w:val="20"/>
          <w:szCs w:val="20"/>
          <w:color w:val="auto"/>
        </w:rPr>
      </w:pPr>
    </w:p>
    <w:p>
      <w:pPr>
        <w:ind w:left="20" w:right="399"/>
        <w:spacing w:after="0" w:line="228" w:lineRule="auto"/>
        <w:rPr>
          <w:sz w:val="20"/>
          <w:szCs w:val="20"/>
          <w:color w:val="auto"/>
        </w:rPr>
      </w:pPr>
      <w:r>
        <w:rPr>
          <w:rFonts w:ascii="Times New Roman" w:cs="Times New Roman" w:eastAsia="Times New Roman" w:hAnsi="Times New Roman"/>
          <w:sz w:val="17"/>
          <w:szCs w:val="17"/>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Recognition</w:t>
      </w:r>
      <w:r>
        <w:rPr>
          <w:rFonts w:ascii="Times New Roman" w:cs="Times New Roman" w:eastAsia="Times New Roman" w:hAnsi="Times New Roman"/>
          <w:sz w:val="17"/>
          <w:szCs w:val="17"/>
          <w:color w:val="auto"/>
        </w:rPr>
        <w:t>. Accordingly, revenue is recognized when all of the following criteria are met:</w:t>
      </w:r>
    </w:p>
    <w:p>
      <w:pPr>
        <w:spacing w:after="0" w:line="150" w:lineRule="exact"/>
        <w:rPr>
          <w:sz w:val="20"/>
          <w:szCs w:val="20"/>
          <w:color w:val="auto"/>
        </w:rPr>
      </w:pPr>
    </w:p>
    <w:p>
      <w:pPr>
        <w:ind w:left="180" w:hanging="161"/>
        <w:spacing w:after="0"/>
        <w:tabs>
          <w:tab w:leader="none" w:pos="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Persuasive evidence of an arrangement exists;</w:t>
      </w:r>
    </w:p>
    <w:p>
      <w:pPr>
        <w:spacing w:after="0" w:line="74" w:lineRule="exact"/>
        <w:rPr>
          <w:rFonts w:ascii="Times New Roman" w:cs="Times New Roman" w:eastAsia="Times New Roman" w:hAnsi="Times New Roman"/>
          <w:sz w:val="17"/>
          <w:szCs w:val="17"/>
          <w:color w:val="auto"/>
        </w:rPr>
      </w:pPr>
    </w:p>
    <w:p>
      <w:pPr>
        <w:ind w:left="160" w:hanging="141"/>
        <w:spacing w:after="0"/>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has occurred or services have been rendered;</w:t>
      </w:r>
    </w:p>
    <w:p>
      <w:pPr>
        <w:spacing w:after="0" w:line="74" w:lineRule="exact"/>
        <w:rPr>
          <w:rFonts w:ascii="Times New Roman" w:cs="Times New Roman" w:eastAsia="Times New Roman" w:hAnsi="Times New Roman"/>
          <w:sz w:val="17"/>
          <w:szCs w:val="17"/>
          <w:color w:val="auto"/>
        </w:rPr>
      </w:pPr>
    </w:p>
    <w:p>
      <w:pPr>
        <w:ind w:left="140" w:hanging="121"/>
        <w:spacing w:after="0"/>
        <w:tabs>
          <w:tab w:leader="none" w:pos="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seller’s price to the buyer is fixed or determinable; and</w:t>
      </w:r>
    </w:p>
    <w:p>
      <w:pPr>
        <w:spacing w:after="0" w:line="74" w:lineRule="exact"/>
        <w:rPr>
          <w:rFonts w:ascii="Times New Roman" w:cs="Times New Roman" w:eastAsia="Times New Roman" w:hAnsi="Times New Roman"/>
          <w:sz w:val="17"/>
          <w:szCs w:val="17"/>
          <w:color w:val="auto"/>
        </w:rPr>
      </w:pPr>
    </w:p>
    <w:p>
      <w:pPr>
        <w:ind w:left="220" w:hanging="201"/>
        <w:spacing w:after="0"/>
        <w:tabs>
          <w:tab w:leader="none" w:pos="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Collectability is reasonably assured.</w:t>
      </w:r>
    </w:p>
    <w:p>
      <w:pPr>
        <w:spacing w:after="0" w:line="383" w:lineRule="exact"/>
        <w:rPr>
          <w:sz w:val="20"/>
          <w:szCs w:val="20"/>
          <w:color w:val="auto"/>
        </w:rPr>
      </w:pPr>
    </w:p>
    <w:p>
      <w:pPr>
        <w:ind w:left="20" w:right="79"/>
        <w:spacing w:after="0" w:line="222" w:lineRule="auto"/>
        <w:rPr>
          <w:sz w:val="20"/>
          <w:szCs w:val="20"/>
          <w:color w:val="auto"/>
        </w:rPr>
      </w:pPr>
      <w:r>
        <w:rPr>
          <w:rFonts w:ascii="Times New Roman" w:cs="Times New Roman" w:eastAsia="Times New Roman" w:hAnsi="Times New Roman"/>
          <w:sz w:val="17"/>
          <w:szCs w:val="17"/>
          <w:color w:val="auto"/>
        </w:rPr>
        <w:t xml:space="preserve">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w:t>
      </w:r>
      <w:r>
        <w:rPr>
          <w:rFonts w:ascii="Times New Roman" w:cs="Times New Roman" w:eastAsia="Times New Roman" w:hAnsi="Times New Roman"/>
          <w:sz w:val="17"/>
          <w:szCs w:val="17"/>
          <w:i w:val="1"/>
          <w:iCs w:val="1"/>
          <w:color w:val="auto"/>
        </w:rPr>
        <w:t>revenue within the 12 months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following the balance sheet date are classified as deferred revenue, net of current portion.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 revenue</w:t>
      </w:r>
    </w:p>
    <w:p>
      <w:pPr>
        <w:spacing w:after="0" w:line="182" w:lineRule="exact"/>
        <w:rPr>
          <w:sz w:val="20"/>
          <w:szCs w:val="20"/>
          <w:color w:val="auto"/>
        </w:rPr>
      </w:pPr>
    </w:p>
    <w:p>
      <w:pPr>
        <w:ind w:left="20" w:right="159"/>
        <w:spacing w:after="0" w:line="215" w:lineRule="auto"/>
        <w:rPr>
          <w:sz w:val="20"/>
          <w:szCs w:val="20"/>
          <w:color w:val="auto"/>
        </w:rPr>
      </w:pPr>
      <w:r>
        <w:rPr>
          <w:rFonts w:ascii="Times New Roman" w:cs="Times New Roman" w:eastAsia="Times New Roman" w:hAnsi="Times New Roman"/>
          <w:sz w:val="17"/>
          <w:szCs w:val="17"/>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22" w:lineRule="exact"/>
        <w:rPr>
          <w:sz w:val="20"/>
          <w:szCs w:val="20"/>
          <w:color w:val="auto"/>
        </w:rPr>
      </w:pPr>
    </w:p>
    <w:p>
      <w:pPr>
        <w:ind w:left="20" w:right="19"/>
        <w:spacing w:after="0" w:line="176" w:lineRule="exact"/>
        <w:rPr>
          <w:sz w:val="20"/>
          <w:szCs w:val="20"/>
          <w:color w:val="auto"/>
        </w:rPr>
      </w:pPr>
      <w:r>
        <w:rPr>
          <w:rFonts w:ascii="Times New Roman" w:cs="Times New Roman" w:eastAsia="Times New Roman" w:hAnsi="Times New Roman"/>
          <w:sz w:val="17"/>
          <w:szCs w:val="17"/>
          <w:color w:val="auto"/>
        </w:rPr>
        <w:t>The Company determines the estimated selling price for deliverables within each agreement using vendor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objective evidence (“VSOE”) of selling price, if available,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5" w:lineRule="exact"/>
        <w:rPr>
          <w:sz w:val="20"/>
          <w:szCs w:val="20"/>
          <w:color w:val="auto"/>
        </w:rPr>
      </w:pPr>
    </w:p>
    <w:p>
      <w:pPr>
        <w:ind w:left="20" w:right="179"/>
        <w:spacing w:after="0" w:line="186" w:lineRule="exact"/>
        <w:rPr>
          <w:sz w:val="20"/>
          <w:szCs w:val="20"/>
          <w:color w:val="auto"/>
        </w:rPr>
      </w:pPr>
      <w:r>
        <w:rPr>
          <w:rFonts w:ascii="Times New Roman" w:cs="Times New Roman" w:eastAsia="Times New Roman" w:hAnsi="Times New Roman"/>
          <w:sz w:val="17"/>
          <w:szCs w:val="17"/>
          <w:color w:val="auto"/>
        </w:rPr>
        <w:t>The Company may receive upfront payments when licensing its intellectual property in conjunction with a research and development agreement. When management believes the license to its intellectual property does not have stand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alone value from the other deliverables to be provided in the arrangement, the Company generally recognizes revenue</w:t>
      </w:r>
    </w:p>
    <w:p>
      <w:pPr>
        <w:spacing w:after="0" w:line="3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59"/>
          </w:cols>
          <w:pgMar w:left="1400" w:top="110" w:right="1440" w:bottom="1440" w:gutter="0" w:footer="0" w:header="0"/>
        </w:sectPr>
      </w:pPr>
    </w:p>
    <w:bookmarkStart w:id="12" w:name="page13"/>
    <w:bookmarkEnd w:id="12"/>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20" w:right="60"/>
        <w:spacing w:after="0" w:line="176" w:lineRule="exact"/>
        <w:rPr>
          <w:sz w:val="20"/>
          <w:szCs w:val="20"/>
          <w:color w:val="auto"/>
        </w:rPr>
      </w:pPr>
      <w:r>
        <w:rPr>
          <w:rFonts w:ascii="Times New Roman" w:cs="Times New Roman" w:eastAsia="Times New Roman" w:hAnsi="Times New Roman"/>
          <w:sz w:val="17"/>
          <w:szCs w:val="17"/>
          <w:color w:val="auto"/>
        </w:rPr>
        <w:t>attributed to the license over the Company’s contractual or estimated performance period. When management believes the license to its intellectual property has stand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3" w:lineRule="exact"/>
        <w:rPr>
          <w:sz w:val="20"/>
          <w:szCs w:val="20"/>
          <w:color w:val="auto"/>
        </w:rPr>
      </w:pPr>
    </w:p>
    <w:p>
      <w:pPr>
        <w:ind w:left="20" w:right="20"/>
        <w:spacing w:after="0" w:line="216" w:lineRule="auto"/>
        <w:rPr>
          <w:sz w:val="20"/>
          <w:szCs w:val="20"/>
          <w:color w:val="auto"/>
        </w:rPr>
      </w:pPr>
      <w:r>
        <w:rPr>
          <w:rFonts w:ascii="Times New Roman" w:cs="Times New Roman" w:eastAsia="Times New Roman" w:hAnsi="Times New Roman"/>
          <w:sz w:val="17"/>
          <w:szCs w:val="17"/>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agreements</w:t>
      </w:r>
    </w:p>
    <w:p>
      <w:pPr>
        <w:spacing w:after="0" w:line="182" w:lineRule="exact"/>
        <w:rPr>
          <w:sz w:val="20"/>
          <w:szCs w:val="20"/>
          <w:color w:val="auto"/>
        </w:rPr>
      </w:pPr>
    </w:p>
    <w:p>
      <w:pPr>
        <w:ind w:left="20" w:right="180"/>
        <w:spacing w:after="0" w:line="181" w:lineRule="exact"/>
        <w:rPr>
          <w:sz w:val="20"/>
          <w:szCs w:val="20"/>
          <w:color w:val="auto"/>
        </w:rPr>
      </w:pPr>
      <w:r>
        <w:rPr>
          <w:rFonts w:ascii="Times New Roman" w:cs="Times New Roman" w:eastAsia="Times New Roman" w:hAnsi="Times New Roman"/>
          <w:sz w:val="17"/>
          <w:szCs w:val="17"/>
          <w:color w:val="auto"/>
        </w:rPr>
        <w:t>Grant revenue is generally recognized as the related research and development work is performed. Grant arrangements frequently include payment milestones which the Company has judged to be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1" w:lineRule="exact"/>
        <w:rPr>
          <w:sz w:val="20"/>
          <w:szCs w:val="20"/>
          <w:color w:val="auto"/>
        </w:rPr>
      </w:pPr>
    </w:p>
    <w:p>
      <w:pPr>
        <w:ind w:left="20" w:right="160"/>
        <w:spacing w:after="0" w:line="239" w:lineRule="auto"/>
        <w:rPr>
          <w:sz w:val="20"/>
          <w:szCs w:val="20"/>
          <w:color w:val="auto"/>
        </w:rPr>
      </w:pPr>
      <w:r>
        <w:rPr>
          <w:rFonts w:ascii="Times New Roman" w:cs="Times New Roman" w:eastAsia="Times New Roman" w:hAnsi="Times New Roman"/>
          <w:sz w:val="17"/>
          <w:szCs w:val="17"/>
          <w:color w:val="auto"/>
        </w:rPr>
        <w:t>Amounts received prior to satisfying the above revenue recognition criteria are recorded as deferred revenue in the accompanying consolidated balance sheets.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Costs</w:t>
      </w:r>
    </w:p>
    <w:p>
      <w:pPr>
        <w:spacing w:after="0" w:line="182" w:lineRule="exact"/>
        <w:rPr>
          <w:sz w:val="20"/>
          <w:szCs w:val="20"/>
          <w:color w:val="auto"/>
        </w:rPr>
      </w:pPr>
    </w:p>
    <w:p>
      <w:pPr>
        <w:jc w:val="both"/>
        <w:ind w:left="20" w:right="200"/>
        <w:spacing w:after="0" w:line="218" w:lineRule="auto"/>
        <w:rPr>
          <w:sz w:val="20"/>
          <w:szCs w:val="20"/>
          <w:color w:val="auto"/>
        </w:rPr>
      </w:pPr>
      <w:r>
        <w:rPr>
          <w:rFonts w:ascii="Times New Roman" w:cs="Times New Roman" w:eastAsia="Times New Roman" w:hAnsi="Times New Roman"/>
          <w:sz w:val="17"/>
          <w:szCs w:val="17"/>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Clinical Trial Costs</w:t>
      </w:r>
    </w:p>
    <w:p>
      <w:pPr>
        <w:spacing w:after="0" w:line="182"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7"/>
          <w:szCs w:val="17"/>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82" w:lineRule="exact"/>
        <w:rPr>
          <w:sz w:val="20"/>
          <w:szCs w:val="20"/>
          <w:color w:val="auto"/>
        </w:rPr>
      </w:pPr>
    </w:p>
    <w:p>
      <w:pPr>
        <w:ind w:left="20" w:right="200"/>
        <w:spacing w:after="0" w:line="185" w:lineRule="exact"/>
        <w:rPr>
          <w:sz w:val="20"/>
          <w:szCs w:val="20"/>
          <w:color w:val="auto"/>
        </w:rPr>
      </w:pPr>
      <w:r>
        <w:rPr>
          <w:rFonts w:ascii="Times New Roman" w:cs="Times New Roman" w:eastAsia="Times New Roman" w:hAnsi="Times New Roman"/>
          <w:sz w:val="17"/>
          <w:szCs w:val="17"/>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likely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than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not be realized.</w:t>
      </w:r>
    </w:p>
    <w:p>
      <w:pPr>
        <w:spacing w:after="0" w:line="135" w:lineRule="exact"/>
        <w:rPr>
          <w:sz w:val="20"/>
          <w:szCs w:val="20"/>
          <w:color w:val="auto"/>
        </w:rPr>
      </w:pPr>
    </w:p>
    <w:p>
      <w:pPr>
        <w:ind w:left="20" w:right="20"/>
        <w:spacing w:after="0" w:line="176" w:lineRule="exact"/>
        <w:rPr>
          <w:sz w:val="20"/>
          <w:szCs w:val="20"/>
          <w:color w:val="auto"/>
        </w:rPr>
      </w:pPr>
      <w:r>
        <w:rPr>
          <w:rFonts w:ascii="Times New Roman" w:cs="Times New Roman" w:eastAsia="Times New Roman" w:hAnsi="Times New Roman"/>
          <w:sz w:val="17"/>
          <w:szCs w:val="17"/>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likely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than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80"/>
          </w:cols>
          <w:pgMar w:left="1400" w:top="110" w:right="1419" w:bottom="1440" w:gutter="0" w:footer="0" w:header="0"/>
        </w:sectPr>
      </w:pPr>
    </w:p>
    <w:bookmarkStart w:id="13" w:name="page14"/>
    <w:bookmarkEnd w:id="13"/>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82" w:lineRule="exact"/>
        <w:rPr>
          <w:sz w:val="20"/>
          <w:szCs w:val="20"/>
          <w:color w:val="auto"/>
        </w:rPr>
      </w:pPr>
    </w:p>
    <w:p>
      <w:pPr>
        <w:ind w:left="20" w:right="60"/>
        <w:spacing w:after="0" w:line="178" w:lineRule="exact"/>
        <w:rPr>
          <w:sz w:val="20"/>
          <w:szCs w:val="20"/>
          <w:color w:val="auto"/>
        </w:rPr>
      </w:pPr>
      <w:r>
        <w:rPr>
          <w:rFonts w:ascii="Times New Roman" w:cs="Times New Roman" w:eastAsia="Times New Roman" w:hAnsi="Times New Roman"/>
          <w:sz w:val="17"/>
          <w:szCs w:val="17"/>
          <w:color w:val="auto"/>
        </w:rPr>
        <w:t>The Company has issued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measured. These warrants are valued using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Scholes option pricing model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w:t>
      </w:r>
    </w:p>
    <w:p>
      <w:pPr>
        <w:spacing w:after="0" w:line="159" w:lineRule="exact"/>
        <w:rPr>
          <w:sz w:val="20"/>
          <w:szCs w:val="20"/>
          <w:color w:val="auto"/>
        </w:rPr>
      </w:pPr>
    </w:p>
    <w:p>
      <w:pPr>
        <w:ind w:left="20" w:right="40"/>
        <w:spacing w:after="0" w:line="216" w:lineRule="auto"/>
        <w:rPr>
          <w:sz w:val="20"/>
          <w:szCs w:val="20"/>
          <w:color w:val="auto"/>
        </w:rPr>
      </w:pPr>
      <w:r>
        <w:rPr>
          <w:rFonts w:ascii="Times New Roman" w:cs="Times New Roman" w:eastAsia="Times New Roman" w:hAnsi="Times New Roman"/>
          <w:sz w:val="17"/>
          <w:szCs w:val="17"/>
          <w:color w:val="auto"/>
        </w:rPr>
        <w:t>In connection with the automatic conversion of the Company’s convertible preferred stock, which occurred upon the closing of the IPO on June 27, 2016, the preferred stock warrants became warrants to purchase common stock. The Company performed the final mark to market adjustment on the preferred stock warrant using the fair value of the underlying common shares of $14.00 per share on June 27, 2016 and recorded the change in fair value in other income (expense), net in the consolidated statement of operations and comprehensive loss. The preferred stock warrant liability was then reclassified to additional paid-in-capital as the preferred stock warrants became warrants to purchase common stock.</w:t>
      </w:r>
    </w:p>
    <w:p>
      <w:pPr>
        <w:spacing w:after="0" w:line="12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Stock</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Based Compensation</w:t>
      </w:r>
    </w:p>
    <w:p>
      <w:pPr>
        <w:spacing w:after="0" w:line="178" w:lineRule="exact"/>
        <w:rPr>
          <w:sz w:val="20"/>
          <w:szCs w:val="20"/>
          <w:color w:val="auto"/>
        </w:rPr>
      </w:pPr>
    </w:p>
    <w:p>
      <w:pPr>
        <w:ind w:left="20" w:right="180"/>
        <w:spacing w:after="0" w:line="180" w:lineRule="exact"/>
        <w:rPr>
          <w:sz w:val="20"/>
          <w:szCs w:val="20"/>
          <w:color w:val="auto"/>
        </w:rPr>
      </w:pPr>
      <w:r>
        <w:rPr>
          <w:rFonts w:ascii="Times New Roman" w:cs="Times New Roman" w:eastAsia="Times New Roman" w:hAnsi="Times New Roman"/>
          <w:sz w:val="17"/>
          <w:szCs w:val="17"/>
          <w:color w:val="auto"/>
        </w:rPr>
        <w:t>The Company accounts for all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granted to employees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employees using a fair value method.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awarded to employees is measured at the grant date fair value of stock option grants and is recognized over the requisite service period of the awards, usually the vesting period, on a straight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line basis, net of estimated forfeitures.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awarded to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employees are subject to revaluation over their vesting terms. The Company reduces recorded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recognized in the financial statements is based on awards that are ultimately expected to vest.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Comprehensive Loss</w:t>
      </w:r>
    </w:p>
    <w:p>
      <w:pPr>
        <w:spacing w:after="0" w:line="79" w:lineRule="exact"/>
        <w:rPr>
          <w:sz w:val="20"/>
          <w:szCs w:val="20"/>
          <w:color w:val="auto"/>
        </w:rPr>
      </w:pPr>
    </w:p>
    <w:p>
      <w:pPr>
        <w:ind w:left="20" w:right="160"/>
        <w:spacing w:after="0" w:line="178" w:lineRule="exact"/>
        <w:rPr>
          <w:sz w:val="20"/>
          <w:szCs w:val="20"/>
          <w:color w:val="auto"/>
        </w:rPr>
      </w:pPr>
      <w:r>
        <w:rPr>
          <w:rFonts w:ascii="Times New Roman" w:cs="Times New Roman" w:eastAsia="Times New Roman" w:hAnsi="Times New Roman"/>
          <w:sz w:val="17"/>
          <w:szCs w:val="17"/>
          <w:color w:val="auto"/>
        </w:rPr>
        <w:t>Comprehensive loss is defined as the change in the equity of a business entity during a period from transactions and other events and circumstances from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owner sources. It includes all changes in equity during a period except those resulting from investments by owners and distributions to owners. Comprehensive loss consists of both: (i) all components of net loss and (ii) all components of comprehensive loss other than net loss, referred to as other comprehensive loss. For all periods presented, other comprehensive loss is comprised solely of foreign currency translation adjustments.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Per Share</w:t>
      </w:r>
    </w:p>
    <w:p>
      <w:pPr>
        <w:spacing w:after="0" w:line="79" w:lineRule="exact"/>
        <w:rPr>
          <w:sz w:val="20"/>
          <w:szCs w:val="20"/>
          <w:color w:val="auto"/>
        </w:rPr>
      </w:pPr>
    </w:p>
    <w:p>
      <w:pPr>
        <w:ind w:left="20"/>
        <w:spacing w:after="0" w:line="180" w:lineRule="exact"/>
        <w:rPr>
          <w:sz w:val="20"/>
          <w:szCs w:val="20"/>
          <w:color w:val="auto"/>
        </w:rPr>
      </w:pPr>
      <w:r>
        <w:rPr>
          <w:rFonts w:ascii="Times New Roman" w:cs="Times New Roman" w:eastAsia="Times New Roman" w:hAnsi="Times New Roman"/>
          <w:sz w:val="17"/>
          <w:szCs w:val="17"/>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dilutive and basic and diluted loss per share have been the same.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Rent</w:t>
      </w:r>
    </w:p>
    <w:p>
      <w:pPr>
        <w:spacing w:after="0" w:line="153" w:lineRule="exact"/>
        <w:rPr>
          <w:sz w:val="20"/>
          <w:szCs w:val="20"/>
          <w:color w:val="auto"/>
        </w:rPr>
      </w:pPr>
    </w:p>
    <w:p>
      <w:pPr>
        <w:ind w:left="20"/>
        <w:spacing w:after="0" w:line="209" w:lineRule="exact"/>
        <w:rPr>
          <w:sz w:val="20"/>
          <w:szCs w:val="20"/>
          <w:color w:val="auto"/>
        </w:rPr>
      </w:pPr>
      <w:r>
        <w:rPr>
          <w:rFonts w:ascii="Times New Roman" w:cs="Times New Roman" w:eastAsia="Times New Roman" w:hAnsi="Times New Roman"/>
          <w:sz w:val="17"/>
          <w:szCs w:val="17"/>
          <w:color w:val="auto"/>
        </w:rPr>
        <w:t>Rent expense and lease incentives from operating leases are recognized on a straight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line basis over the lease term. The difference between rent expense recognized and rental payments is recorded as deferred rent in the accompanying consolidated balance sheets.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080"/>
          </w:cols>
          <w:pgMar w:left="1400" w:top="110" w:right="1419" w:bottom="1440" w:gutter="0" w:footer="0" w:header="0"/>
        </w:sectPr>
      </w:pPr>
    </w:p>
    <w:bookmarkStart w:id="14" w:name="page15"/>
    <w:bookmarkEnd w:id="14"/>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Contingent Liabilities</w:t>
      </w:r>
    </w:p>
    <w:p>
      <w:pPr>
        <w:spacing w:after="0" w:line="178" w:lineRule="exact"/>
        <w:rPr>
          <w:sz w:val="20"/>
          <w:szCs w:val="20"/>
          <w:color w:val="auto"/>
        </w:rPr>
      </w:pPr>
    </w:p>
    <w:p>
      <w:pPr>
        <w:ind w:left="20" w:right="39"/>
        <w:spacing w:after="0" w:line="217" w:lineRule="auto"/>
        <w:rPr>
          <w:sz w:val="20"/>
          <w:szCs w:val="20"/>
          <w:color w:val="auto"/>
        </w:rPr>
      </w:pPr>
      <w:r>
        <w:rPr>
          <w:rFonts w:ascii="Times New Roman" w:cs="Times New Roman" w:eastAsia="Times New Roman" w:hAnsi="Times New Roman"/>
          <w:sz w:val="17"/>
          <w:szCs w:val="17"/>
          <w:color w:val="auto"/>
        </w:rPr>
        <w:t xml:space="preserve">The Company accounts for its contingent liabilities in accordance with ASC No.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June 30, 2016 and December 31, 2015, the Company was not a party to any litigation that could have a material adverse effect on the Company’s business, financial position, results of operations or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53" w:lineRule="exact"/>
        <w:rPr>
          <w:sz w:val="20"/>
          <w:szCs w:val="20"/>
          <w:color w:val="auto"/>
        </w:rPr>
      </w:pPr>
    </w:p>
    <w:p>
      <w:pPr>
        <w:ind w:left="20" w:right="39"/>
        <w:spacing w:after="0" w:line="172" w:lineRule="exact"/>
        <w:rPr>
          <w:sz w:val="20"/>
          <w:szCs w:val="20"/>
          <w:color w:val="auto"/>
        </w:rPr>
      </w:pPr>
      <w:r>
        <w:rPr>
          <w:rFonts w:ascii="Times New Roman" w:cs="Times New Roman" w:eastAsia="Times New Roman" w:hAnsi="Times New Roman"/>
          <w:sz w:val="17"/>
          <w:szCs w:val="17"/>
          <w:color w:val="auto"/>
        </w:rPr>
        <w:t>In May 2014, the FASB issued ASU No.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09,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which amends the guidance for revenue recognition to replace numerous industry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specific requirements.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implements a five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step process for customer contract revenue recognition that focuses on transfer of control, as opposed to transfer of risk and rewards.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09 are effective for reporting periods beginning after December 15, 2017. Early adoption is permitted, but not before December 15, 2016. Entities can transition to the standard either retrospectively or as a cumulative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 adjustment as of the date of adoption. The Company is currently in the process of evaluating the effect the adoption of</w:t>
      </w:r>
    </w:p>
    <w:p>
      <w:pPr>
        <w:spacing w:after="0" w:line="6" w:lineRule="exact"/>
        <w:rPr>
          <w:sz w:val="20"/>
          <w:szCs w:val="20"/>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may have on its financial statements.</w:t>
      </w:r>
    </w:p>
    <w:p>
      <w:pPr>
        <w:spacing w:after="0" w:line="166" w:lineRule="exact"/>
        <w:rPr>
          <w:sz w:val="20"/>
          <w:szCs w:val="20"/>
          <w:color w:val="auto"/>
        </w:rPr>
      </w:pPr>
    </w:p>
    <w:p>
      <w:pPr>
        <w:ind w:left="20" w:right="99"/>
        <w:spacing w:after="0" w:line="215" w:lineRule="auto"/>
        <w:rPr>
          <w:sz w:val="20"/>
          <w:szCs w:val="20"/>
          <w:color w:val="auto"/>
        </w:rPr>
      </w:pPr>
      <w:r>
        <w:rPr>
          <w:rFonts w:ascii="Times New Roman" w:cs="Times New Roman" w:eastAsia="Times New Roman" w:hAnsi="Times New Roman"/>
          <w:sz w:val="17"/>
          <w:szCs w:val="17"/>
          <w:color w:val="auto"/>
        </w:rPr>
        <w:t>In August 2014, the FASB issued ASU 2014-15, Presentation of Financial Statements—Going Concern. ASU 2014-15 requires management of all entities to evaluate whether there are conditions and events that raise substantial doubt about the entity’s ability to continue as a going concern within one year after the financial statements are issued, and to make certain disclosures if it concludes that substantial doubt exists or when its plans alleviate substantial doubt about the entity’s ability to continue as a going concern. ASU 2014-15 is effective for the Company for annual reporting periods beginning in 2016 and for interim reporting periods starting in the first quarter of 2017. The Company is currently evaluating the impact that the standard will have on the financial statements, and has not yet determined what effect, if any, the impact of adoption will be.</w:t>
      </w:r>
    </w:p>
    <w:p>
      <w:pPr>
        <w:spacing w:after="0" w:line="122" w:lineRule="exact"/>
        <w:rPr>
          <w:sz w:val="20"/>
          <w:szCs w:val="20"/>
          <w:color w:val="auto"/>
        </w:rPr>
      </w:pPr>
    </w:p>
    <w:p>
      <w:pPr>
        <w:ind w:left="20" w:right="19"/>
        <w:spacing w:after="0" w:line="181" w:lineRule="exact"/>
        <w:rPr>
          <w:sz w:val="20"/>
          <w:szCs w:val="20"/>
          <w:color w:val="auto"/>
        </w:rPr>
      </w:pPr>
      <w:r>
        <w:rPr>
          <w:rFonts w:ascii="Times New Roman" w:cs="Times New Roman" w:eastAsia="Times New Roman" w:hAnsi="Times New Roman"/>
          <w:sz w:val="17"/>
          <w:szCs w:val="17"/>
          <w:color w:val="auto"/>
        </w:rPr>
        <w:t>In February 2016, FASB issued ASU No.2016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02”).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requires a lessee to separate the lease components from the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lease components in a contract and recognize in the statement of financial position a liability to make lease payments (the lease liability) and a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asset representing its right to use the underlying asset for the lease term. It also aligns lease accounting for lessors with the revenue recognition guidance in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is effective for fiscal years beginning after December 15, 2018, including interim periods within those fiscal years, and is to be applied at the beginning of the earliest period presented using a modified retrospective approach.</w:t>
      </w:r>
    </w:p>
    <w:p>
      <w:pPr>
        <w:spacing w:after="0" w:line="153" w:lineRule="exact"/>
        <w:rPr>
          <w:sz w:val="20"/>
          <w:szCs w:val="20"/>
          <w:color w:val="auto"/>
        </w:rPr>
      </w:pPr>
    </w:p>
    <w:p>
      <w:pPr>
        <w:ind w:left="20" w:right="19"/>
        <w:spacing w:after="0" w:line="218" w:lineRule="auto"/>
        <w:rPr>
          <w:sz w:val="20"/>
          <w:szCs w:val="20"/>
          <w:color w:val="auto"/>
        </w:rPr>
      </w:pPr>
      <w:r>
        <w:rPr>
          <w:rFonts w:ascii="Times New Roman" w:cs="Times New Roman" w:eastAsia="Times New Roman" w:hAnsi="Times New Roman"/>
          <w:sz w:val="17"/>
          <w:szCs w:val="17"/>
          <w:color w:val="auto"/>
        </w:rPr>
        <w:t>In March 2016, the FASB issued ASU 2016-09, Improvements to Employee Share-Based Payment Accounting,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We are evaluating the impact that the adoption of this standard will have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59"/>
          </w:cols>
          <w:pgMar w:left="1400" w:top="110" w:right="1440" w:bottom="1440" w:gutter="0" w:footer="0" w:header="0"/>
        </w:sectPr>
      </w:pPr>
    </w:p>
    <w:bookmarkStart w:id="15" w:name="page16"/>
    <w:bookmarkEnd w:id="15"/>
    <w:p>
      <w:pPr>
        <w:ind w:left="20"/>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Net Loss Per Share</w:t>
      </w:r>
    </w:p>
    <w:p>
      <w:pPr>
        <w:spacing w:after="0" w:line="182" w:lineRule="exact"/>
        <w:rPr>
          <w:sz w:val="20"/>
          <w:szCs w:val="20"/>
          <w:color w:val="auto"/>
        </w:rPr>
      </w:pPr>
    </w:p>
    <w:p>
      <w:pPr>
        <w:ind w:left="20" w:right="20"/>
        <w:spacing w:after="0" w:line="192" w:lineRule="exact"/>
        <w:rPr>
          <w:sz w:val="20"/>
          <w:szCs w:val="20"/>
          <w:color w:val="auto"/>
        </w:rPr>
      </w:pPr>
      <w:r>
        <w:rPr>
          <w:rFonts w:ascii="Times New Roman" w:cs="Times New Roman" w:eastAsia="Times New Roman" w:hAnsi="Times New Roman"/>
          <w:sz w:val="17"/>
          <w:szCs w:val="17"/>
          <w:color w:val="auto"/>
        </w:rPr>
        <w:t>Because the Company has reported a net loss attributable to common stockholders for all periods presented, basic and diluted net loss per share attributable to common stockholders are the same for those periods. The following table sets forth the computation of basic and diluted net loss per share (in thousands, except share and per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share data):</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5040" w:type="dxa"/>
            <w:vAlign w:val="bottom"/>
          </w:tcPr>
          <w:p>
            <w:pPr>
              <w:spacing w:after="0"/>
              <w:rPr>
                <w:sz w:val="14"/>
                <w:szCs w:val="14"/>
                <w:color w:val="auto"/>
              </w:rPr>
            </w:pPr>
          </w:p>
        </w:tc>
        <w:tc>
          <w:tcPr>
            <w:tcW w:w="20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right"/>
              <w:ind w:right="517"/>
              <w:spacing w:after="0" w:line="147"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right"/>
              <w:ind w:right="517"/>
              <w:spacing w:after="0" w:line="147"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Numerator:</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(6,923)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(6,867)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(14,399)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(12,600)</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accretion on preferred stock</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(2,210)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(1,562)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(4,566)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(3,123)</w:t>
            </w:r>
          </w:p>
        </w:tc>
        <w:tc>
          <w:tcPr>
            <w:tcW w:w="0" w:type="dxa"/>
            <w:vAlign w:val="bottom"/>
          </w:tcPr>
          <w:p>
            <w:pPr>
              <w:spacing w:after="0"/>
              <w:rPr>
                <w:sz w:val="1"/>
                <w:szCs w:val="1"/>
                <w:color w:val="auto"/>
              </w:rPr>
            </w:pPr>
          </w:p>
        </w:tc>
      </w:tr>
      <w:tr>
        <w:trPr>
          <w:trHeight w:val="204"/>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(9,133)</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(18,965)</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0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7"/>
                <w:szCs w:val="17"/>
                <w:color w:val="auto"/>
              </w:rPr>
              <w:t>Weighted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average common shares outstanding—basic and diluted</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3,322,546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2,147,184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2,749,105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2,137,144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0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loss per share attributable to common stockholders—basic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diluted</w:t>
            </w:r>
          </w:p>
        </w:tc>
        <w:tc>
          <w:tcPr>
            <w:tcW w:w="10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0" w:right="40"/>
        <w:spacing w:after="0" w:line="239" w:lineRule="auto"/>
        <w:rPr>
          <w:sz w:val="20"/>
          <w:szCs w:val="20"/>
          <w:color w:val="auto"/>
        </w:rPr>
      </w:pPr>
      <w:r>
        <w:rPr>
          <w:rFonts w:ascii="Times New Roman" w:cs="Times New Roman" w:eastAsia="Times New Roman" w:hAnsi="Times New Roman"/>
          <w:sz w:val="17"/>
          <w:szCs w:val="17"/>
          <w:color w:val="auto"/>
        </w:rPr>
        <w:t>Potential common shares issuable upon conversion of warrants to purchase common stock and stock options that are excluded from the computation of diluted weighted average shares outstanding are as follows: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558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0"/>
        </w:trPr>
        <w:tc>
          <w:tcPr>
            <w:tcW w:w="5580" w:type="dxa"/>
            <w:vAlign w:val="bottom"/>
          </w:tcPr>
          <w:p>
            <w:pPr>
              <w:spacing w:after="0"/>
              <w:rPr>
                <w:sz w:val="13"/>
                <w:szCs w:val="13"/>
                <w:color w:val="auto"/>
              </w:rPr>
            </w:pPr>
          </w:p>
        </w:tc>
        <w:tc>
          <w:tcPr>
            <w:tcW w:w="7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47"/>
        </w:trPr>
        <w:tc>
          <w:tcPr>
            <w:tcW w:w="5580" w:type="dxa"/>
            <w:vAlign w:val="bottom"/>
          </w:tcPr>
          <w:p>
            <w:pPr>
              <w:spacing w:after="0"/>
              <w:rPr>
                <w:sz w:val="12"/>
                <w:szCs w:val="12"/>
                <w:color w:val="auto"/>
              </w:rPr>
            </w:pPr>
          </w:p>
        </w:tc>
        <w:tc>
          <w:tcPr>
            <w:tcW w:w="1660" w:type="dxa"/>
            <w:vAlign w:val="bottom"/>
            <w:gridSpan w:val="3"/>
          </w:tcPr>
          <w:p>
            <w:pPr>
              <w:jc w:val="right"/>
              <w:ind w:right="398"/>
              <w:spacing w:after="0" w:line="147"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0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6,471,358</w:t>
            </w:r>
          </w:p>
        </w:tc>
      </w:tr>
      <w:tr>
        <w:trPr>
          <w:trHeight w:val="20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 to purchase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2,113,538</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1,246,536</w:t>
            </w:r>
          </w:p>
        </w:tc>
      </w:tr>
      <w:tr>
        <w:trPr>
          <w:trHeight w:val="20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warrants to purchase common stock</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113,795</w:t>
            </w: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17,094</w:t>
            </w:r>
          </w:p>
        </w:tc>
      </w:tr>
      <w:tr>
        <w:trPr>
          <w:trHeight w:val="204"/>
        </w:trPr>
        <w:tc>
          <w:tcPr>
            <w:tcW w:w="5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2,227,333</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7,734,988</w:t>
            </w:r>
          </w:p>
        </w:tc>
      </w:tr>
    </w:tbl>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4. Fair Value Measurements</w:t>
      </w:r>
    </w:p>
    <w:p>
      <w:pPr>
        <w:spacing w:after="0" w:line="182" w:lineRule="exact"/>
        <w:rPr>
          <w:sz w:val="20"/>
          <w:szCs w:val="20"/>
          <w:color w:val="auto"/>
        </w:rPr>
      </w:pPr>
    </w:p>
    <w:p>
      <w:pPr>
        <w:ind w:left="20" w:right="20"/>
        <w:spacing w:after="0" w:line="228" w:lineRule="auto"/>
        <w:rPr>
          <w:sz w:val="20"/>
          <w:szCs w:val="20"/>
          <w:color w:val="auto"/>
        </w:rPr>
      </w:pPr>
      <w:r>
        <w:rPr>
          <w:rFonts w:ascii="Times New Roman" w:cs="Times New Roman" w:eastAsia="Times New Roman" w:hAnsi="Times New Roman"/>
          <w:sz w:val="17"/>
          <w:szCs w:val="17"/>
          <w:color w:val="auto"/>
        </w:rPr>
        <w:t>The tables below present information about the Company’s financial assets and liabilities that are measured and carried at fair value as of June 30, 2016 and December 31, 2015 (in thousands) and indicate the level within the fair value hierarchy where each measurement is classified.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obligations, included in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52,004</w:t>
            </w: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6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US Treasury obligations, included in investments</w:t>
            </w:r>
          </w:p>
        </w:tc>
        <w:tc>
          <w:tcPr>
            <w:tcW w:w="14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tcPr>
          <w:p>
            <w:pPr>
              <w:ind w:left="3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1"/>
        </w:trPr>
        <w:tc>
          <w:tcPr>
            <w:tcW w:w="5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Warrants to purchase redeemable convertible preferred stock, included in other</w:t>
            </w:r>
          </w:p>
        </w:tc>
        <w:tc>
          <w:tcPr>
            <w:tcW w:w="4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vMerge w:val="restart"/>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long term liabilities</w:t>
            </w:r>
          </w:p>
        </w:tc>
        <w:tc>
          <w:tcPr>
            <w:tcW w:w="4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60" w:type="dxa"/>
            <w:vAlign w:val="bottom"/>
            <w:tcBorders>
              <w:bottom w:val="single" w:sz="8" w:color="auto"/>
            </w:tcBorders>
            <w:gridSpan w:val="2"/>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3"/>
              </w:rPr>
              <w:t>(level 1)</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obligations, included in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14,486</w:t>
            </w: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US Treasury obligations, included in investments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3,516</w:t>
            </w:r>
          </w:p>
        </w:tc>
        <w:tc>
          <w:tcPr>
            <w:tcW w:w="2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5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Warrants to purchase redeemable convertible preferred stock, included in other</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long term liabilities</w:t>
            </w: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0" w:right="240"/>
        <w:spacing w:after="0" w:line="239" w:lineRule="auto"/>
        <w:rPr>
          <w:sz w:val="20"/>
          <w:szCs w:val="20"/>
          <w:color w:val="auto"/>
        </w:rPr>
      </w:pPr>
      <w:r>
        <w:rPr>
          <w:rFonts w:ascii="Times New Roman" w:cs="Times New Roman" w:eastAsia="Times New Roman" w:hAnsi="Times New Roman"/>
          <w:sz w:val="17"/>
          <w:szCs w:val="17"/>
          <w:color w:val="auto"/>
        </w:rPr>
        <w:t>At June 30, 2016, all cash and cash equivalent investments where held in money markets, and at December 31, 2015 the average maturity for the US Treasury obligations was 106 days. Fair value of US Treasury obligations approximates amortized value.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576643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80"/>
          </w:cols>
          <w:pgMar w:left="1400" w:top="110" w:right="141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40"/>
        <w:spacing w:after="0" w:line="192" w:lineRule="exact"/>
        <w:rPr>
          <w:sz w:val="20"/>
          <w:szCs w:val="20"/>
          <w:color w:val="auto"/>
        </w:rPr>
      </w:pPr>
      <w:r>
        <w:rPr>
          <w:rFonts w:ascii="Times New Roman" w:cs="Times New Roman" w:eastAsia="Times New Roman" w:hAnsi="Times New Roman"/>
          <w:sz w:val="17"/>
          <w:szCs w:val="17"/>
          <w:color w:val="auto"/>
        </w:rPr>
        <w:t>In July 2015, the Company issued warrants for the purchase of 80,813 shares of common stock at an exercise price of $17.55 in connection with the issuance of convertible notes. These warrants expire three years from date of issuance. Common stock warrants are classified as permanent equity which are initially recorded at issuance date fair value and are not subsequently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measured.</w:t>
      </w:r>
    </w:p>
    <w:p>
      <w:pPr>
        <w:spacing w:after="0" w:line="133"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7"/>
          <w:szCs w:val="17"/>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At the IPO, these warrants were converted to warrants to purchase 17,888 of common stock at an exercise price of $16.77. These warrants are classified as permanent equity in the accompanying consolidated balance sheets and will expire four years from the date of issuance.</w:t>
      </w:r>
    </w:p>
    <w:p>
      <w:pPr>
        <w:spacing w:after="0" w:line="154"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7"/>
          <w:szCs w:val="17"/>
          <w:color w:val="auto"/>
        </w:rPr>
        <w:t>In June 30, 2016, in conjunction with the execution of a loan and security agreement (Note 8), the Company issued warrants to the lenders for the purchase of up to 37,978 shares of the Company’s Series E Preferred at an exercise price of $4.50 per share. At the IPO, these warrants were converted to warrants to purchase 15,094 of common stock at an exercise price of $11.32. These warrants are classified as permanent equity in the accompanying consolidated balance sheets and will expire four years from the date of issuance.</w:t>
      </w:r>
    </w:p>
    <w:p>
      <w:pPr>
        <w:sectPr>
          <w:pgSz w:w="11900" w:h="16838" w:orient="portrait"/>
          <w:cols w:equalWidth="0" w:num="1">
            <w:col w:w="9080"/>
          </w:cols>
          <w:pgMar w:left="1420" w:top="110" w:right="1399" w:bottom="1440" w:gutter="0" w:footer="0" w:header="0"/>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441960</wp:posOffset>
            </wp:positionV>
            <wp:extent cx="4606925" cy="130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06925"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Laboratory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606925" cy="130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06925" cy="130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606925" cy="130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06925" cy="130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Office equipment</w:t>
      </w:r>
    </w:p>
    <w:p>
      <w:pPr>
        <w:spacing w:after="0" w:line="230" w:lineRule="auto"/>
        <w:rPr>
          <w:sz w:val="20"/>
          <w:szCs w:val="20"/>
          <w:color w:val="auto"/>
        </w:rPr>
      </w:pPr>
      <w:r>
        <w:rPr>
          <w:rFonts w:ascii="Times New Roman" w:cs="Times New Roman" w:eastAsia="Times New Roman" w:hAnsi="Times New Roman"/>
          <w:sz w:val="17"/>
          <w:szCs w:val="17"/>
          <w:color w:val="auto"/>
        </w:rPr>
        <w:t>P,P&amp;E—Construction in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6"/>
        </w:trPr>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w:t>
            </w: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 w:lineRule="exact"/>
        <w:rPr>
          <w:sz w:val="20"/>
          <w:szCs w:val="20"/>
          <w:color w:val="auto"/>
        </w:rPr>
      </w:pPr>
    </w:p>
    <w:p>
      <w:pPr>
        <w:jc w:val="right"/>
        <w:ind w:right="1960"/>
        <w:spacing w:after="0"/>
        <w:tabs>
          <w:tab w:leader="none" w:pos="1400" w:val="left"/>
          <w:tab w:leader="none" w:pos="800" w:val="left"/>
          <w:tab w:leader="none" w:pos="420" w:val="left"/>
        </w:tabs>
        <w:rPr>
          <w:sz w:val="20"/>
          <w:szCs w:val="20"/>
          <w:color w:val="auto"/>
        </w:rPr>
      </w:pPr>
      <w:r>
        <w:rPr>
          <w:rFonts w:ascii="Times New Roman" w:cs="Times New Roman" w:eastAsia="Times New Roman" w:hAnsi="Times New Roman"/>
          <w:sz w:val="17"/>
          <w:szCs w:val="17"/>
          <w:color w:val="auto"/>
        </w:rPr>
        <w:t>$</w:t>
        <w:tab/>
        <w:t>4,424</w:t>
        <w:tab/>
        <w:t>$</w:t>
      </w:r>
      <w:r>
        <w:rPr>
          <w:sz w:val="20"/>
          <w:szCs w:val="20"/>
          <w:color w:val="auto"/>
        </w:rPr>
        <w:tab/>
      </w:r>
      <w:r>
        <w:rPr>
          <w:rFonts w:ascii="Times New Roman" w:cs="Times New Roman" w:eastAsia="Times New Roman" w:hAnsi="Times New Roman"/>
          <w:sz w:val="17"/>
          <w:szCs w:val="17"/>
          <w:color w:val="auto"/>
        </w:rPr>
        <w:t>4,028</w:t>
      </w:r>
    </w:p>
    <w:p>
      <w:pPr>
        <w:spacing w:after="0" w:line="10" w:lineRule="exact"/>
        <w:rPr>
          <w:sz w:val="20"/>
          <w:szCs w:val="20"/>
          <w:color w:val="auto"/>
        </w:rPr>
      </w:pPr>
    </w:p>
    <w:p>
      <w:pPr>
        <w:jc w:val="both"/>
        <w:ind w:left="380"/>
        <w:spacing w:after="0"/>
        <w:tabs>
          <w:tab w:leader="none" w:pos="1360" w:val="left"/>
        </w:tabs>
        <w:rPr>
          <w:sz w:val="20"/>
          <w:szCs w:val="20"/>
          <w:color w:val="auto"/>
        </w:rPr>
      </w:pPr>
      <w:r>
        <w:rPr>
          <w:rFonts w:ascii="Times New Roman" w:cs="Times New Roman" w:eastAsia="Times New Roman" w:hAnsi="Times New Roman"/>
          <w:sz w:val="17"/>
          <w:szCs w:val="17"/>
          <w:color w:val="auto"/>
        </w:rPr>
        <w:t>438</w:t>
      </w:r>
      <w:r>
        <w:rPr>
          <w:sz w:val="20"/>
          <w:szCs w:val="20"/>
          <w:color w:val="auto"/>
        </w:rPr>
        <w:tab/>
      </w:r>
      <w:r>
        <w:rPr>
          <w:rFonts w:ascii="Times New Roman" w:cs="Times New Roman" w:eastAsia="Times New Roman" w:hAnsi="Times New Roman"/>
          <w:sz w:val="17"/>
          <w:szCs w:val="17"/>
          <w:color w:val="auto"/>
        </w:rPr>
        <w:t>409</w:t>
      </w:r>
    </w:p>
    <w:p>
      <w:pPr>
        <w:spacing w:after="0" w:line="9" w:lineRule="exact"/>
        <w:rPr>
          <w:sz w:val="20"/>
          <w:szCs w:val="20"/>
          <w:color w:val="auto"/>
        </w:rPr>
      </w:pPr>
    </w:p>
    <w:p>
      <w:pPr>
        <w:ind w:left="400"/>
        <w:spacing w:after="0"/>
        <w:tabs>
          <w:tab w:leader="none" w:pos="1440" w:val="left"/>
        </w:tabs>
        <w:rPr>
          <w:sz w:val="20"/>
          <w:szCs w:val="20"/>
          <w:color w:val="auto"/>
        </w:rPr>
      </w:pPr>
      <w:r>
        <w:rPr>
          <w:rFonts w:ascii="Times New Roman" w:cs="Times New Roman" w:eastAsia="Times New Roman" w:hAnsi="Times New Roman"/>
          <w:sz w:val="17"/>
          <w:szCs w:val="17"/>
          <w:color w:val="auto"/>
        </w:rPr>
        <w:t>119</w:t>
      </w:r>
      <w:r>
        <w:rPr>
          <w:sz w:val="20"/>
          <w:szCs w:val="20"/>
          <w:color w:val="auto"/>
        </w:rPr>
        <w:tab/>
      </w:r>
      <w:r>
        <w:rPr>
          <w:rFonts w:ascii="Times New Roman" w:cs="Times New Roman" w:eastAsia="Times New Roman" w:hAnsi="Times New Roman"/>
          <w:sz w:val="17"/>
          <w:szCs w:val="17"/>
          <w:color w:val="auto"/>
        </w:rPr>
        <w:t>91</w:t>
      </w:r>
    </w:p>
    <w:p>
      <w:pPr>
        <w:spacing w:after="0" w:line="10" w:lineRule="exact"/>
        <w:rPr>
          <w:sz w:val="20"/>
          <w:szCs w:val="20"/>
          <w:color w:val="auto"/>
        </w:rPr>
      </w:pPr>
    </w:p>
    <w:p>
      <w:pPr>
        <w:jc w:val="both"/>
        <w:ind w:left="380"/>
        <w:spacing w:after="0"/>
        <w:tabs>
          <w:tab w:leader="none" w:pos="1360" w:val="left"/>
        </w:tabs>
        <w:rPr>
          <w:sz w:val="20"/>
          <w:szCs w:val="20"/>
          <w:color w:val="auto"/>
        </w:rPr>
      </w:pPr>
      <w:r>
        <w:rPr>
          <w:rFonts w:ascii="Times New Roman" w:cs="Times New Roman" w:eastAsia="Times New Roman" w:hAnsi="Times New Roman"/>
          <w:sz w:val="17"/>
          <w:szCs w:val="17"/>
          <w:color w:val="auto"/>
        </w:rPr>
        <w:t>222</w:t>
      </w:r>
      <w:r>
        <w:rPr>
          <w:sz w:val="20"/>
          <w:szCs w:val="20"/>
          <w:color w:val="auto"/>
        </w:rPr>
        <w:tab/>
      </w:r>
      <w:r>
        <w:rPr>
          <w:rFonts w:ascii="Times New Roman" w:cs="Times New Roman" w:eastAsia="Times New Roman" w:hAnsi="Times New Roman"/>
          <w:sz w:val="17"/>
          <w:szCs w:val="17"/>
          <w:color w:val="auto"/>
        </w:rPr>
        <w:t>222</w:t>
      </w:r>
    </w:p>
    <w:p>
      <w:pPr>
        <w:spacing w:after="0" w:line="10" w:lineRule="exact"/>
        <w:rPr>
          <w:sz w:val="20"/>
          <w:szCs w:val="20"/>
          <w:color w:val="auto"/>
        </w:rPr>
      </w:pPr>
    </w:p>
    <w:p>
      <w:pPr>
        <w:ind w:left="1460" w:hanging="990"/>
        <w:spacing w:after="0"/>
        <w:tabs>
          <w:tab w:leader="none" w:pos="14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w:t>
      </w:r>
    </w:p>
    <w:p>
      <w:pPr>
        <w:spacing w:after="0" w:line="10"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—144</w:t>
      </w:r>
    </w:p>
    <w:p>
      <w:pPr>
        <w:spacing w:after="0" w:line="8" w:lineRule="exact"/>
        <w:rPr>
          <w:sz w:val="20"/>
          <w:szCs w:val="20"/>
          <w:color w:val="auto"/>
        </w:rPr>
      </w:pPr>
    </w:p>
    <w:p>
      <w:pPr>
        <w:sectPr>
          <w:pgSz w:w="11900" w:h="16838" w:orient="portrait"/>
          <w:cols w:equalWidth="0" w:num="2">
            <w:col w:w="4760" w:space="720"/>
            <w:col w:w="3600"/>
          </w:cols>
          <w:pgMar w:left="1420" w:top="110" w:right="139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54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4,956</w:t>
            </w:r>
          </w:p>
        </w:tc>
        <w:tc>
          <w:tcPr>
            <w:tcW w:w="80" w:type="dxa"/>
            <w:vAlign w:val="bottom"/>
            <w:tcBorders>
              <w:top w:val="single" w:sz="8" w:color="CCEEFF"/>
            </w:tcBorders>
            <w:shd w:val="clear" w:color="auto" w:fill="CCEEFF"/>
          </w:tcPr>
          <w:p>
            <w:pPr>
              <w:spacing w:after="0"/>
              <w:rPr>
                <w:sz w:val="17"/>
                <w:szCs w:val="17"/>
                <w:color w:val="auto"/>
              </w:rPr>
            </w:pPr>
          </w:p>
        </w:tc>
      </w:tr>
      <w:tr>
        <w:trPr>
          <w:trHeight w:val="206"/>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(3,317)</w:t>
            </w:r>
          </w:p>
        </w:tc>
        <w:tc>
          <w:tcPr>
            <w:tcW w:w="2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(2,927)</w:t>
            </w:r>
          </w:p>
        </w:tc>
      </w:tr>
      <w:tr>
        <w:trPr>
          <w:trHeight w:val="204"/>
        </w:trPr>
        <w:tc>
          <w:tcPr>
            <w:tcW w:w="5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1,954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7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Depreciation expense for the three months ended June 30, 2016 and 2015 was $0.2 million and $0.5 million respectively and for the six months ended June 30, 2016 and 2015, was $0.4 million and $0.7 million,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Accrued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4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0"/>
        </w:trPr>
        <w:tc>
          <w:tcPr>
            <w:tcW w:w="3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w:t>
            </w:r>
          </w:p>
        </w:tc>
        <w:tc>
          <w:tcPr>
            <w:tcW w:w="16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17"/>
                <w:szCs w:val="17"/>
                <w:color w:val="auto"/>
              </w:rPr>
            </w:pPr>
          </w:p>
        </w:tc>
      </w:tr>
      <w:tr>
        <w:trPr>
          <w:trHeight w:val="206"/>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Legal</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Bonus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80" w:type="dxa"/>
            <w:vAlign w:val="bottom"/>
            <w:shd w:val="clear" w:color="auto" w:fill="CCEEFF"/>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deferred rent and lease incentive</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patent fees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Accrued R&amp;D costs</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shd w:val="clear" w:color="auto" w:fill="CCEEFF"/>
          </w:tcPr>
          <w:p>
            <w:pPr>
              <w:spacing w:after="0"/>
              <w:rPr>
                <w:sz w:val="17"/>
                <w:szCs w:val="17"/>
                <w:color w:val="auto"/>
              </w:rPr>
            </w:pPr>
          </w:p>
        </w:tc>
        <w:tc>
          <w:tcPr>
            <w:tcW w:w="1840" w:type="dxa"/>
            <w:vAlign w:val="bottom"/>
          </w:tcPr>
          <w:p>
            <w:pPr>
              <w:spacing w:after="0"/>
              <w:rPr>
                <w:sz w:val="17"/>
                <w:szCs w:val="17"/>
                <w:color w:val="auto"/>
              </w:rPr>
            </w:pPr>
          </w:p>
        </w:tc>
      </w:tr>
      <w:tr>
        <w:trPr>
          <w:trHeight w:val="204"/>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66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3,378</w:t>
            </w: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785"/>
        </w:trPr>
        <w:tc>
          <w:tcPr>
            <w:tcW w:w="3980" w:type="dxa"/>
            <w:vAlign w:val="bottom"/>
          </w:tcPr>
          <w:p>
            <w:pPr>
              <w:spacing w:after="0"/>
              <w:rPr>
                <w:sz w:val="24"/>
                <w:szCs w:val="24"/>
                <w:color w:val="auto"/>
              </w:rPr>
            </w:pPr>
          </w:p>
        </w:tc>
        <w:tc>
          <w:tcPr>
            <w:tcW w:w="150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82"/>
        </w:trPr>
        <w:tc>
          <w:tcPr>
            <w:tcW w:w="39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r>
    </w:tbl>
    <w:p>
      <w:pPr>
        <w:sectPr>
          <w:pgSz w:w="11900" w:h="16838" w:orient="portrait"/>
          <w:cols w:equalWidth="0" w:num="1">
            <w:col w:w="9080"/>
          </w:cols>
          <w:pgMar w:left="1420" w:top="110" w:right="1399" w:bottom="1440" w:gutter="0" w:footer="0" w:header="0"/>
          <w:type w:val="continuous"/>
        </w:sectPr>
      </w:pPr>
    </w:p>
    <w:bookmarkStart w:id="17" w:name="page18"/>
    <w:bookmarkEnd w:id="17"/>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1" w:right="6460" w:hanging="1"/>
        <w:spacing w:after="0" w:line="443" w:lineRule="auto"/>
        <w:tabs>
          <w:tab w:leader="none" w:pos="173"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Operating Leases</w:t>
      </w:r>
    </w:p>
    <w:p>
      <w:pPr>
        <w:ind w:left="1" w:right="20"/>
        <w:spacing w:after="0" w:line="181" w:lineRule="exact"/>
        <w:rPr>
          <w:sz w:val="20"/>
          <w:szCs w:val="20"/>
          <w:color w:val="auto"/>
        </w:rPr>
      </w:pPr>
      <w:r>
        <w:rPr>
          <w:rFonts w:ascii="Times New Roman" w:cs="Times New Roman" w:eastAsia="Times New Roman" w:hAnsi="Times New Roman"/>
          <w:sz w:val="17"/>
          <w:szCs w:val="17"/>
          <w:color w:val="auto"/>
        </w:rPr>
        <w:t>The Company has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cancellable operating lease for its laboratory and office space that expires in March 2017. The lease agreement includes a rent escalation clause, and accordingly, rent expense is being recognized on a straight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line basis over the lease term. In addition,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53" w:lineRule="exact"/>
        <w:rPr>
          <w:sz w:val="20"/>
          <w:szCs w:val="20"/>
          <w:color w:val="auto"/>
        </w:rPr>
      </w:pPr>
    </w:p>
    <w:p>
      <w:pPr>
        <w:ind w:left="1" w:right="200"/>
        <w:spacing w:after="0" w:line="239" w:lineRule="auto"/>
        <w:rPr>
          <w:sz w:val="20"/>
          <w:szCs w:val="20"/>
          <w:color w:val="auto"/>
        </w:rPr>
      </w:pPr>
      <w:r>
        <w:rPr>
          <w:rFonts w:ascii="Times New Roman" w:cs="Times New Roman" w:eastAsia="Times New Roman" w:hAnsi="Times New Roman"/>
          <w:sz w:val="17"/>
          <w:szCs w:val="17"/>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151" w:lineRule="exact"/>
        <w:rPr>
          <w:sz w:val="20"/>
          <w:szCs w:val="20"/>
          <w:color w:val="auto"/>
        </w:rPr>
      </w:pPr>
    </w:p>
    <w:p>
      <w:pPr>
        <w:ind w:left="1"/>
        <w:spacing w:after="0" w:line="185" w:lineRule="exact"/>
        <w:rPr>
          <w:sz w:val="20"/>
          <w:szCs w:val="20"/>
          <w:color w:val="auto"/>
        </w:rPr>
      </w:pPr>
      <w:r>
        <w:rPr>
          <w:rFonts w:ascii="Times New Roman" w:cs="Times New Roman" w:eastAsia="Times New Roman" w:hAnsi="Times New Roman"/>
          <w:sz w:val="17"/>
          <w:szCs w:val="17"/>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 The combined lease term remains unchanged and will expire in March 2017. Rent expense is recorded over the lease term on a straight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line basis.</w:t>
      </w:r>
    </w:p>
    <w:p>
      <w:pPr>
        <w:spacing w:after="0" w:line="135" w:lineRule="exact"/>
        <w:rPr>
          <w:sz w:val="20"/>
          <w:szCs w:val="20"/>
          <w:color w:val="auto"/>
        </w:rPr>
      </w:pPr>
    </w:p>
    <w:p>
      <w:pPr>
        <w:jc w:val="both"/>
        <w:ind w:left="1" w:right="520"/>
        <w:spacing w:after="0" w:line="228" w:lineRule="auto"/>
        <w:rPr>
          <w:sz w:val="20"/>
          <w:szCs w:val="20"/>
          <w:color w:val="auto"/>
        </w:rPr>
      </w:pPr>
      <w:r>
        <w:rPr>
          <w:rFonts w:ascii="Times New Roman" w:cs="Times New Roman" w:eastAsia="Times New Roman" w:hAnsi="Times New Roman"/>
          <w:sz w:val="17"/>
          <w:szCs w:val="17"/>
          <w:color w:val="auto"/>
        </w:rPr>
        <w:t>Deferred rent and lease incentive liability totaled $0.3 million and $0.5 million as of June 30, 2016 and December 31, 2015, respectively. Included in that amount, the current portion of deferred rent and lease incentive liability is classified as accrued expenses and was $0.3 million and $0.4 million at June 30, 2016 and December 31, 2015, respectively.</w:t>
      </w:r>
    </w:p>
    <w:p>
      <w:pPr>
        <w:spacing w:after="0" w:line="150" w:lineRule="exact"/>
        <w:rPr>
          <w:sz w:val="20"/>
          <w:szCs w:val="20"/>
          <w:color w:val="auto"/>
        </w:rPr>
      </w:pPr>
    </w:p>
    <w:p>
      <w:pPr>
        <w:ind w:left="1" w:right="80"/>
        <w:spacing w:after="0" w:line="228" w:lineRule="auto"/>
        <w:rPr>
          <w:sz w:val="20"/>
          <w:szCs w:val="20"/>
          <w:color w:val="auto"/>
        </w:rPr>
      </w:pPr>
      <w:r>
        <w:rPr>
          <w:rFonts w:ascii="Times New Roman" w:cs="Times New Roman" w:eastAsia="Times New Roman" w:hAnsi="Times New Roman"/>
          <w:sz w:val="17"/>
          <w:szCs w:val="17"/>
          <w:color w:val="auto"/>
        </w:rPr>
        <w:t>The Company subleased a portion of its facility to a tenant with a term that would have expired in March 2017. In March 2015, the tenant terminated the sublease and vacated the space. The sublease amount from the tenant was recorded as a reduction of lease expense and totaled $0.2 million for the year ended December 31, 2015.</w:t>
      </w:r>
    </w:p>
    <w:p>
      <w:pPr>
        <w:spacing w:after="0" w:line="122" w:lineRule="exact"/>
        <w:rPr>
          <w:sz w:val="20"/>
          <w:szCs w:val="20"/>
          <w:color w:val="auto"/>
        </w:rPr>
      </w:pPr>
    </w:p>
    <w:p>
      <w:pPr>
        <w:ind w:left="1"/>
        <w:spacing w:after="0" w:line="196" w:lineRule="exact"/>
        <w:rPr>
          <w:sz w:val="20"/>
          <w:szCs w:val="20"/>
          <w:color w:val="auto"/>
        </w:rPr>
      </w:pPr>
      <w:r>
        <w:rPr>
          <w:rFonts w:ascii="Times New Roman" w:cs="Times New Roman" w:eastAsia="Times New Roman" w:hAnsi="Times New Roman"/>
          <w:sz w:val="17"/>
          <w:szCs w:val="17"/>
          <w:color w:val="auto"/>
        </w:rPr>
        <w:t>The Company has a month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facility agreement for its Moscow, Russia facility. Rent expense is recognized as incurred.</w:t>
      </w:r>
    </w:p>
    <w:p>
      <w:pPr>
        <w:spacing w:after="0" w:line="206" w:lineRule="exact"/>
        <w:rPr>
          <w:sz w:val="20"/>
          <w:szCs w:val="20"/>
          <w:color w:val="auto"/>
        </w:rPr>
      </w:pPr>
    </w:p>
    <w:p>
      <w:pPr>
        <w:ind w:left="1" w:right="160"/>
        <w:spacing w:after="0" w:line="181" w:lineRule="exact"/>
        <w:rPr>
          <w:sz w:val="20"/>
          <w:szCs w:val="20"/>
          <w:color w:val="auto"/>
        </w:rPr>
      </w:pPr>
      <w:r>
        <w:rPr>
          <w:rFonts w:ascii="Times New Roman" w:cs="Times New Roman" w:eastAsia="Times New Roman" w:hAnsi="Times New Roman"/>
          <w:sz w:val="17"/>
          <w:szCs w:val="17"/>
          <w:color w:val="auto"/>
        </w:rPr>
        <w:t>Rent expense, net of sublease payments, for the three months ended June 30, 2016 and June 30, 2015 was $.3 million, $.3 million respectively, and for the six months ended June 30, 2016 and June 30, 2015 was $0.7 million and $0.5 million, respectively. As of December 31, 2015, future minimum lease payments for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cancellable leases were $1.2 million in 2016, and $0.3 million in 2017.</w:t>
      </w:r>
    </w:p>
    <w:p>
      <w:pPr>
        <w:spacing w:after="0" w:line="1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7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As permitted under Delaware law, the Company indemnifies its directors for certain events or occurrences while the director is, or</w:t>
      </w:r>
    </w:p>
    <w:p>
      <w:pPr>
        <w:ind w:left="1"/>
        <w:spacing w:after="0" w:line="205" w:lineRule="auto"/>
        <w:rPr>
          <w:sz w:val="20"/>
          <w:szCs w:val="20"/>
          <w:color w:val="auto"/>
        </w:rPr>
      </w:pPr>
      <w:r>
        <w:rPr>
          <w:rFonts w:ascii="Times New Roman" w:cs="Times New Roman" w:eastAsia="Times New Roman" w:hAnsi="Times New Roman"/>
          <w:sz w:val="17"/>
          <w:szCs w:val="17"/>
          <w:color w:val="auto"/>
        </w:rPr>
        <w:t>was, serving at the Company’s request in such capacity. The term of the indemnification is for the director’s lifetime. The maximum</w:t>
      </w:r>
    </w:p>
    <w:p>
      <w:pPr>
        <w:ind w:left="1"/>
        <w:spacing w:after="0" w:line="205" w:lineRule="auto"/>
        <w:rPr>
          <w:sz w:val="20"/>
          <w:szCs w:val="20"/>
          <w:color w:val="auto"/>
        </w:rPr>
      </w:pPr>
      <w:r>
        <w:rPr>
          <w:rFonts w:ascii="Times New Roman" w:cs="Times New Roman" w:eastAsia="Times New Roman" w:hAnsi="Times New Roman"/>
          <w:sz w:val="17"/>
          <w:szCs w:val="17"/>
          <w:color w:val="auto"/>
        </w:rPr>
        <w:t>potential amount of future payments the Company could be required to make is unlimited; however, the Company has directors’</w:t>
      </w:r>
    </w:p>
    <w:p>
      <w:pPr>
        <w:ind w:left="1"/>
        <w:spacing w:after="0" w:line="205" w:lineRule="auto"/>
        <w:rPr>
          <w:sz w:val="20"/>
          <w:szCs w:val="20"/>
          <w:color w:val="auto"/>
        </w:rPr>
      </w:pPr>
      <w:r>
        <w:rPr>
          <w:rFonts w:ascii="Times New Roman" w:cs="Times New Roman" w:eastAsia="Times New Roman" w:hAnsi="Times New Roman"/>
          <w:sz w:val="17"/>
          <w:szCs w:val="17"/>
          <w:color w:val="auto"/>
        </w:rPr>
        <w:t>insurance coverage that limits its exposure and enables it to recover a portion of any future amounts paid. The Company also has</w:t>
      </w:r>
    </w:p>
    <w:p>
      <w:pPr>
        <w:ind w:left="1"/>
        <w:spacing w:after="0" w:line="206" w:lineRule="auto"/>
        <w:rPr>
          <w:sz w:val="20"/>
          <w:szCs w:val="20"/>
          <w:color w:val="auto"/>
        </w:rPr>
      </w:pPr>
      <w:r>
        <w:rPr>
          <w:rFonts w:ascii="Times New Roman" w:cs="Times New Roman" w:eastAsia="Times New Roman" w:hAnsi="Times New Roman"/>
          <w:sz w:val="17"/>
          <w:szCs w:val="17"/>
          <w:color w:val="auto"/>
        </w:rPr>
        <w:t>indemnification arrangements under certain of its facility leases that require it to indemnify the landlord against certain costs,</w:t>
      </w:r>
    </w:p>
    <w:p>
      <w:pPr>
        <w:ind w:left="1"/>
        <w:spacing w:after="0" w:line="205" w:lineRule="auto"/>
        <w:rPr>
          <w:sz w:val="20"/>
          <w:szCs w:val="20"/>
          <w:color w:val="auto"/>
        </w:rPr>
      </w:pPr>
      <w:r>
        <w:rPr>
          <w:rFonts w:ascii="Times New Roman" w:cs="Times New Roman" w:eastAsia="Times New Roman" w:hAnsi="Times New Roman"/>
          <w:sz w:val="17"/>
          <w:szCs w:val="17"/>
          <w:color w:val="auto"/>
        </w:rPr>
        <w:t>expenses, fines, suits, claims, demands, liabilities, and actions directly resulting from certain breaches, violations, or</w:t>
      </w:r>
    </w:p>
    <w:p>
      <w:pPr>
        <w:ind w:left="1"/>
        <w:spacing w:after="0" w:line="167"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performance of any covenant or condition of the Company’s lease. The term of the indemnification is for the term of the</w:t>
      </w:r>
    </w:p>
    <w:p>
      <w:pPr>
        <w:ind w:left="1"/>
        <w:spacing w:after="0" w:line="206" w:lineRule="auto"/>
        <w:rPr>
          <w:sz w:val="20"/>
          <w:szCs w:val="20"/>
          <w:color w:val="auto"/>
        </w:rPr>
      </w:pPr>
      <w:r>
        <w:rPr>
          <w:rFonts w:ascii="Times New Roman" w:cs="Times New Roman" w:eastAsia="Times New Roman" w:hAnsi="Times New Roman"/>
          <w:sz w:val="17"/>
          <w:szCs w:val="17"/>
          <w:color w:val="auto"/>
        </w:rPr>
        <w:t>related lease agreement. The maximum potential amount of future payments the Company could be required to make under these</w:t>
      </w:r>
    </w:p>
    <w:p>
      <w:pPr>
        <w:ind w:left="1"/>
        <w:spacing w:after="0" w:line="205" w:lineRule="auto"/>
        <w:rPr>
          <w:sz w:val="20"/>
          <w:szCs w:val="20"/>
          <w:color w:val="auto"/>
        </w:rPr>
      </w:pPr>
      <w:r>
        <w:rPr>
          <w:rFonts w:ascii="Times New Roman" w:cs="Times New Roman" w:eastAsia="Times New Roman" w:hAnsi="Times New Roman"/>
          <w:sz w:val="17"/>
          <w:szCs w:val="17"/>
          <w:color w:val="auto"/>
        </w:rPr>
        <w:t>indemnification agreements is unlimited. To date, the Company had not experienced any material losses related to any of its</w:t>
      </w:r>
    </w:p>
    <w:p>
      <w:pPr>
        <w:ind w:left="1"/>
        <w:spacing w:after="0" w:line="205" w:lineRule="auto"/>
        <w:rPr>
          <w:sz w:val="20"/>
          <w:szCs w:val="20"/>
          <w:color w:val="auto"/>
        </w:rPr>
      </w:pPr>
      <w:r>
        <w:rPr>
          <w:rFonts w:ascii="Times New Roman" w:cs="Times New Roman" w:eastAsia="Times New Roman" w:hAnsi="Times New Roman"/>
          <w:sz w:val="17"/>
          <w:szCs w:val="17"/>
          <w:color w:val="auto"/>
        </w:rPr>
        <w:t>indemnification obligations, and no material claims with respect thereto were outstanding. The Company does not expect</w:t>
      </w:r>
    </w:p>
    <w:p>
      <w:pPr>
        <w:ind w:left="1"/>
        <w:spacing w:after="0" w:line="205" w:lineRule="auto"/>
        <w:rPr>
          <w:sz w:val="20"/>
          <w:szCs w:val="20"/>
          <w:color w:val="auto"/>
        </w:rPr>
      </w:pPr>
      <w:r>
        <w:rPr>
          <w:rFonts w:ascii="Times New Roman" w:cs="Times New Roman" w:eastAsia="Times New Roman" w:hAnsi="Times New Roman"/>
          <w:sz w:val="17"/>
          <w:szCs w:val="17"/>
          <w:color w:val="auto"/>
        </w:rPr>
        <w:t>significant claims related to these indemnification obligations and, accordingly, has concluded that the fair value of these</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obligations is negligible, and no related reserves have been established.</w:t>
      </w:r>
    </w:p>
    <w:p>
      <w:pPr>
        <w:spacing w:after="0" w:line="160" w:lineRule="exact"/>
        <w:rPr>
          <w:sz w:val="20"/>
          <w:szCs w:val="20"/>
          <w:color w:val="auto"/>
        </w:rPr>
      </w:pPr>
    </w:p>
    <w:p>
      <w:pPr>
        <w:ind w:left="1" w:right="100"/>
        <w:spacing w:after="0" w:line="228" w:lineRule="auto"/>
        <w:rPr>
          <w:sz w:val="20"/>
          <w:szCs w:val="20"/>
          <w:color w:val="auto"/>
        </w:rPr>
      </w:pPr>
      <w:r>
        <w:rPr>
          <w:rFonts w:ascii="Times New Roman" w:cs="Times New Roman" w:eastAsia="Times New Roman" w:hAnsi="Times New Roman"/>
          <w:sz w:val="17"/>
          <w:szCs w:val="17"/>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18" w:name="page19"/>
    <w:bookmarkEnd w:id="18"/>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1" w:right="8180" w:hanging="1"/>
        <w:spacing w:after="0" w:line="489" w:lineRule="auto"/>
        <w:tabs>
          <w:tab w:leader="none" w:pos="17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 Term Loans</w:t>
      </w:r>
    </w:p>
    <w:p>
      <w:pPr>
        <w:ind w:left="1" w:right="100"/>
        <w:spacing w:after="0" w:line="212" w:lineRule="auto"/>
        <w:rPr>
          <w:sz w:val="20"/>
          <w:szCs w:val="20"/>
          <w:color w:val="auto"/>
        </w:rPr>
      </w:pPr>
      <w:r>
        <w:rPr>
          <w:rFonts w:ascii="Times New Roman" w:cs="Times New Roman" w:eastAsia="Times New Roman" w:hAnsi="Times New Roman"/>
          <w:sz w:val="17"/>
          <w:szCs w:val="17"/>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and, on its own, would not require extinguishment accounting. As a result of the refinancing, the stated interest rate was also adjusted to reflect the current market borrowing rate. As of June 30, 2016 and December 31, 2015, the outstanding principal balance under the Term Loans was $12.0 million.</w:t>
      </w:r>
    </w:p>
    <w:p>
      <w:pPr>
        <w:spacing w:after="0" w:line="123" w:lineRule="exact"/>
        <w:rPr>
          <w:sz w:val="20"/>
          <w:szCs w:val="20"/>
          <w:color w:val="auto"/>
        </w:rPr>
      </w:pPr>
    </w:p>
    <w:p>
      <w:pPr>
        <w:ind w:left="1" w:right="60"/>
        <w:spacing w:after="0" w:line="176" w:lineRule="exact"/>
        <w:rPr>
          <w:sz w:val="20"/>
          <w:szCs w:val="20"/>
          <w:color w:val="auto"/>
        </w:rPr>
      </w:pPr>
      <w:r>
        <w:rPr>
          <w:rFonts w:ascii="Times New Roman" w:cs="Times New Roman" w:eastAsia="Times New Roman" w:hAnsi="Times New Roman"/>
          <w:sz w:val="17"/>
          <w:szCs w:val="17"/>
          <w:color w:val="auto"/>
        </w:rPr>
        <w:t>According to ASC 470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40, the refinancing and modification of the prior debt in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156" w:lineRule="exact"/>
        <w:rPr>
          <w:sz w:val="20"/>
          <w:szCs w:val="20"/>
          <w:color w:val="auto"/>
        </w:rPr>
      </w:pPr>
    </w:p>
    <w:p>
      <w:pPr>
        <w:ind w:left="1" w:right="60"/>
        <w:spacing w:after="0" w:line="218" w:lineRule="auto"/>
        <w:rPr>
          <w:sz w:val="20"/>
          <w:szCs w:val="20"/>
          <w:color w:val="auto"/>
        </w:rPr>
      </w:pPr>
      <w:r>
        <w:rPr>
          <w:rFonts w:ascii="Times New Roman" w:cs="Times New Roman" w:eastAsia="Times New Roman" w:hAnsi="Times New Roman"/>
          <w:sz w:val="17"/>
          <w:szCs w:val="17"/>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54" w:lineRule="exact"/>
        <w:rPr>
          <w:sz w:val="20"/>
          <w:szCs w:val="20"/>
          <w:color w:val="auto"/>
        </w:rPr>
      </w:pPr>
    </w:p>
    <w:p>
      <w:pPr>
        <w:ind w:left="1"/>
        <w:spacing w:after="0" w:line="213" w:lineRule="auto"/>
        <w:rPr>
          <w:sz w:val="20"/>
          <w:szCs w:val="20"/>
          <w:color w:val="auto"/>
        </w:rPr>
      </w:pPr>
      <w:r>
        <w:rPr>
          <w:rFonts w:ascii="Times New Roman" w:cs="Times New Roman" w:eastAsia="Times New Roman" w:hAnsi="Times New Roman"/>
          <w:sz w:val="17"/>
          <w:szCs w:val="17"/>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56" w:lineRule="exact"/>
        <w:rPr>
          <w:sz w:val="20"/>
          <w:szCs w:val="20"/>
          <w:color w:val="auto"/>
        </w:rPr>
      </w:pPr>
    </w:p>
    <w:p>
      <w:pPr>
        <w:ind w:left="1" w:right="20"/>
        <w:spacing w:after="0" w:line="215" w:lineRule="auto"/>
        <w:rPr>
          <w:sz w:val="20"/>
          <w:szCs w:val="20"/>
          <w:color w:val="auto"/>
        </w:rPr>
      </w:pPr>
      <w:r>
        <w:rPr>
          <w:rFonts w:ascii="Times New Roman" w:cs="Times New Roman" w:eastAsia="Times New Roman" w:hAnsi="Times New Roman"/>
          <w:sz w:val="17"/>
          <w:szCs w:val="17"/>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17,888 shares of the Company’s common stock. Additionally, with the refinancing of the Term Loans at December 31, 2015, the Company granted the lenders 37,978 shares of the Company’s Series E Preferred which also was converted at the IPO to warrants to purchase 15,094 shares of Company’s common stock. The initial grant date fair value of the warrants of $0.1 million, $0.1 million and $0.1 million respectively, was recorded as a loan discount.</w:t>
      </w:r>
    </w:p>
    <w:p>
      <w:pPr>
        <w:spacing w:after="0" w:line="150" w:lineRule="exact"/>
        <w:rPr>
          <w:sz w:val="20"/>
          <w:szCs w:val="20"/>
          <w:color w:val="auto"/>
        </w:rPr>
      </w:pPr>
    </w:p>
    <w:p>
      <w:pPr>
        <w:jc w:val="both"/>
        <w:ind w:left="1" w:right="140"/>
        <w:spacing w:after="0" w:line="228" w:lineRule="auto"/>
        <w:rPr>
          <w:sz w:val="20"/>
          <w:szCs w:val="20"/>
          <w:color w:val="auto"/>
        </w:rPr>
      </w:pPr>
      <w:r>
        <w:rPr>
          <w:rFonts w:ascii="Times New Roman" w:cs="Times New Roman" w:eastAsia="Times New Roman" w:hAnsi="Times New Roman"/>
          <w:sz w:val="17"/>
          <w:szCs w:val="17"/>
          <w:color w:val="auto"/>
        </w:rPr>
        <w:t>Term Loan discounts are amortized as additional interest expense over the term of the loans. Interest expense for the three months ended June 30, 2016 and 2015 totaled $0.3 million and $0.3 million, respectively, and for the six months ended June 30, 2016 and 2015 was $0.6 million and $0.5 million, respectively.</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19" w:name="page20"/>
    <w:bookmarkEnd w:id="19"/>
    <w:tbl>
      <w:tblPr>
        <w:tblLayout w:type="fixed"/>
        <w:tblInd w:w="1" w:type="dxa"/>
        <w:tblCellMar>
          <w:top w:w="0" w:type="dxa"/>
          <w:left w:w="0" w:type="dxa"/>
          <w:bottom w:w="0" w:type="dxa"/>
          <w:right w:w="0" w:type="dxa"/>
        </w:tblCellMar>
      </w:tblPr>
      <w:tr>
        <w:trPr>
          <w:trHeight w:val="195"/>
        </w:trPr>
        <w:tc>
          <w:tcPr>
            <w:tcW w:w="1220" w:type="dxa"/>
            <w:vAlign w:val="bottom"/>
            <w:tcBorders>
              <w:bottom w:val="single" w:sz="8" w:color="0563C1"/>
            </w:tcBorders>
          </w:tcPr>
          <w:p>
            <w:pPr>
              <w:spacing w:after="0"/>
              <w:rPr>
                <w:rFonts w:ascii="Times New Roman" w:cs="Times New Roman" w:eastAsia="Times New Roman" w:hAnsi="Times New Roman"/>
                <w:sz w:val="17"/>
                <w:szCs w:val="17"/>
                <w:color w:val="0563C1"/>
                <w:w w:val="98"/>
              </w:rPr>
            </w:pPr>
            <w:hyperlink w:anchor="page2">
              <w:r>
                <w:rPr>
                  <w:rFonts w:ascii="Times New Roman" w:cs="Times New Roman" w:eastAsia="Times New Roman" w:hAnsi="Times New Roman"/>
                  <w:sz w:val="17"/>
                  <w:szCs w:val="17"/>
                  <w:color w:val="0563C1"/>
                  <w:w w:val="98"/>
                </w:rPr>
                <w:t>Table of Contents</w:t>
              </w:r>
            </w:hyperlink>
          </w:p>
        </w:tc>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01"/>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Future minimum payments on the Term Loans as of December 31, 2015 are as follows (in thousands):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7"/>
        </w:trPr>
        <w:tc>
          <w:tcPr>
            <w:tcW w:w="79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Year ended December 31,</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6"/>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6740" w:type="dxa"/>
            <w:vAlign w:val="bottom"/>
          </w:tcPr>
          <w:p>
            <w:pPr>
              <w:spacing w:after="0"/>
              <w:rPr>
                <w:sz w:val="17"/>
                <w:szCs w:val="17"/>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c>
          <w:tcPr>
            <w:tcW w:w="140" w:type="dxa"/>
            <w:vAlign w:val="bottom"/>
          </w:tcPr>
          <w:p>
            <w:pPr>
              <w:spacing w:after="0"/>
              <w:rPr>
                <w:sz w:val="17"/>
                <w:szCs w:val="17"/>
                <w:color w:val="auto"/>
              </w:rPr>
            </w:pPr>
          </w:p>
        </w:tc>
      </w:tr>
      <w:tr>
        <w:trPr>
          <w:trHeight w:val="20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6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w:t>
            </w:r>
          </w:p>
        </w:tc>
        <w:tc>
          <w:tcPr>
            <w:tcW w:w="140" w:type="dxa"/>
            <w:vAlign w:val="bottom"/>
            <w:shd w:val="clear" w:color="auto" w:fill="CCEEFF"/>
          </w:tcPr>
          <w:p>
            <w:pPr>
              <w:spacing w:after="0"/>
              <w:rPr>
                <w:sz w:val="17"/>
                <w:szCs w:val="17"/>
                <w:color w:val="auto"/>
              </w:rPr>
            </w:pPr>
          </w:p>
        </w:tc>
      </w:tr>
      <w:tr>
        <w:trPr>
          <w:trHeight w:val="206"/>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2018</w:t>
            </w:r>
          </w:p>
        </w:tc>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5,318</w:t>
            </w:r>
          </w:p>
        </w:tc>
        <w:tc>
          <w:tcPr>
            <w:tcW w:w="140" w:type="dxa"/>
            <w:vAlign w:val="bottom"/>
          </w:tcPr>
          <w:p>
            <w:pPr>
              <w:spacing w:after="0"/>
              <w:rPr>
                <w:sz w:val="17"/>
                <w:szCs w:val="17"/>
                <w:color w:val="auto"/>
              </w:rPr>
            </w:pPr>
          </w:p>
        </w:tc>
      </w:tr>
      <w:tr>
        <w:trPr>
          <w:trHeight w:val="20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p>
        </w:tc>
        <w:tc>
          <w:tcPr>
            <w:tcW w:w="67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40" w:type="dxa"/>
            <w:vAlign w:val="bottom"/>
            <w:shd w:val="clear" w:color="auto" w:fill="CCEEFF"/>
          </w:tcPr>
          <w:p>
            <w:pPr>
              <w:spacing w:after="0"/>
              <w:rPr>
                <w:sz w:val="17"/>
                <w:szCs w:val="17"/>
                <w:color w:val="auto"/>
              </w:rPr>
            </w:pPr>
          </w:p>
        </w:tc>
      </w:tr>
      <w:tr>
        <w:trPr>
          <w:trHeight w:val="199"/>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 payments</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14,988</w:t>
            </w:r>
          </w:p>
        </w:tc>
        <w:tc>
          <w:tcPr>
            <w:tcW w:w="140" w:type="dxa"/>
            <w:vAlign w:val="bottom"/>
          </w:tcPr>
          <w:p>
            <w:pPr>
              <w:spacing w:after="0"/>
              <w:rPr>
                <w:sz w:val="17"/>
                <w:szCs w:val="17"/>
                <w:color w:val="auto"/>
              </w:rPr>
            </w:pPr>
          </w:p>
        </w:tc>
      </w:tr>
      <w:tr>
        <w:trPr>
          <w:trHeight w:val="20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(2,268)</w:t>
            </w:r>
          </w:p>
        </w:tc>
      </w:tr>
      <w:tr>
        <w:trPr>
          <w:trHeight w:val="206"/>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Debt discount and deferred charges</w:t>
            </w:r>
          </w:p>
        </w:tc>
        <w:tc>
          <w:tcPr>
            <w:tcW w:w="2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(919)</w:t>
            </w:r>
          </w:p>
        </w:tc>
      </w:tr>
      <w:tr>
        <w:trPr>
          <w:trHeight w:val="20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of issuance costs</w:t>
            </w: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shd w:val="clear" w:color="auto" w:fill="CCEEFF"/>
          </w:tcPr>
          <w:p>
            <w:pPr>
              <w:spacing w:after="0"/>
              <w:rPr>
                <w:sz w:val="17"/>
                <w:szCs w:val="17"/>
                <w:color w:val="auto"/>
              </w:rPr>
            </w:pPr>
          </w:p>
        </w:tc>
      </w:tr>
      <w:tr>
        <w:trPr>
          <w:trHeight w:val="204"/>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Loans payable, net of current portion</w:t>
            </w: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11,855</w:t>
            </w:r>
          </w:p>
        </w:tc>
        <w:tc>
          <w:tcPr>
            <w:tcW w:w="140" w:type="dxa"/>
            <w:vAlign w:val="bottom"/>
          </w:tcPr>
          <w:p>
            <w:pPr>
              <w:spacing w:after="0"/>
              <w:rPr>
                <w:sz w:val="17"/>
                <w:szCs w:val="17"/>
                <w:color w:val="auto"/>
              </w:rPr>
            </w:pPr>
          </w:p>
        </w:tc>
      </w:tr>
    </w:tbl>
    <w:p>
      <w:pPr>
        <w:spacing w:after="0" w:line="1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Convertible Notes</w:t>
      </w:r>
    </w:p>
    <w:p>
      <w:pPr>
        <w:spacing w:after="0" w:line="182" w:lineRule="exact"/>
        <w:rPr>
          <w:sz w:val="20"/>
          <w:szCs w:val="20"/>
          <w:color w:val="auto"/>
        </w:rPr>
      </w:pPr>
    </w:p>
    <w:p>
      <w:pPr>
        <w:ind w:left="1"/>
        <w:spacing w:after="0" w:line="210" w:lineRule="auto"/>
        <w:rPr>
          <w:sz w:val="20"/>
          <w:szCs w:val="20"/>
          <w:color w:val="auto"/>
        </w:rPr>
      </w:pPr>
      <w:r>
        <w:rPr>
          <w:rFonts w:ascii="Times New Roman" w:cs="Times New Roman" w:eastAsia="Times New Roman" w:hAnsi="Times New Roman"/>
          <w:sz w:val="17"/>
          <w:szCs w:val="17"/>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9). The difference between the carrying value and accrued interest of the convertible notes that were converted and the combined fair value of the Series E Preferred shares and common stock warrants issued were negligible. There was no interest expense related to the convertible notes for the three months or six months ended June 30, 2016, and $0.1 million for each of the three months and six months ended June 30, 2015.</w:t>
      </w:r>
    </w:p>
    <w:p>
      <w:pPr>
        <w:spacing w:after="0" w:line="2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9. Preferred Stock</w:t>
      </w:r>
    </w:p>
    <w:p>
      <w:pPr>
        <w:spacing w:after="0" w:line="182" w:lineRule="exact"/>
        <w:rPr>
          <w:sz w:val="20"/>
          <w:szCs w:val="20"/>
          <w:color w:val="auto"/>
        </w:rPr>
      </w:pPr>
    </w:p>
    <w:p>
      <w:pPr>
        <w:ind w:left="1" w:right="360"/>
        <w:spacing w:after="0" w:line="239" w:lineRule="auto"/>
        <w:rPr>
          <w:sz w:val="20"/>
          <w:szCs w:val="20"/>
          <w:color w:val="auto"/>
        </w:rPr>
      </w:pPr>
      <w:r>
        <w:rPr>
          <w:rFonts w:ascii="Times New Roman" w:cs="Times New Roman" w:eastAsia="Times New Roman" w:hAnsi="Times New Roman"/>
          <w:sz w:val="17"/>
          <w:szCs w:val="17"/>
          <w:color w:val="auto"/>
        </w:rPr>
        <w:t>The Company issued Preferred Stock with a $0.0001 par value to investors for cash or as settlement for outstanding debt under convertible notes.</w:t>
      </w:r>
    </w:p>
    <w:p>
      <w:pPr>
        <w:spacing w:after="0" w:line="151" w:lineRule="exact"/>
        <w:rPr>
          <w:sz w:val="20"/>
          <w:szCs w:val="20"/>
          <w:color w:val="auto"/>
        </w:rPr>
      </w:pPr>
    </w:p>
    <w:p>
      <w:pPr>
        <w:ind w:left="1" w:right="160"/>
        <w:spacing w:after="0" w:line="212" w:lineRule="auto"/>
        <w:rPr>
          <w:sz w:val="20"/>
          <w:szCs w:val="20"/>
          <w:color w:val="auto"/>
        </w:rPr>
      </w:pPr>
      <w:r>
        <w:rPr>
          <w:rFonts w:ascii="Times New Roman" w:cs="Times New Roman" w:eastAsia="Times New Roman" w:hAnsi="Times New Roman"/>
          <w:sz w:val="17"/>
          <w:szCs w:val="17"/>
          <w:color w:val="auto"/>
        </w:rPr>
        <w:t>The Company had issued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w:t>
      </w:r>
    </w:p>
    <w:p>
      <w:pPr>
        <w:spacing w:after="0" w:line="2" w:lineRule="exact"/>
        <w:rPr>
          <w:sz w:val="20"/>
          <w:szCs w:val="20"/>
          <w:color w:val="auto"/>
        </w:rPr>
      </w:pPr>
    </w:p>
    <w:p>
      <w:pPr>
        <w:ind w:left="1" w:right="40" w:hanging="1"/>
        <w:spacing w:after="0" w:line="228" w:lineRule="auto"/>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2,111,109 shares of Series SRN Redeemable Convertible Preferred Stock (“Series SRN Preferred”) and (vi) 8,888,888 shares of Series E Preferred.</w:t>
      </w:r>
    </w:p>
    <w:p>
      <w:pPr>
        <w:spacing w:after="0" w:line="151" w:lineRule="exact"/>
        <w:rPr>
          <w:sz w:val="20"/>
          <w:szCs w:val="20"/>
          <w:color w:val="auto"/>
        </w:rPr>
      </w:pPr>
    </w:p>
    <w:p>
      <w:pPr>
        <w:ind w:left="1"/>
        <w:spacing w:after="0" w:line="172" w:lineRule="exact"/>
        <w:rPr>
          <w:sz w:val="20"/>
          <w:szCs w:val="20"/>
          <w:color w:val="auto"/>
        </w:rPr>
      </w:pPr>
      <w:r>
        <w:rPr>
          <w:rFonts w:ascii="Times New Roman" w:cs="Times New Roman" w:eastAsia="Times New Roman" w:hAnsi="Times New Roman"/>
          <w:sz w:val="17"/>
          <w:szCs w:val="17"/>
          <w:color w:val="auto"/>
        </w:rPr>
        <w:t>In April 2014 and August 2014, the Company issued an additional 3,211,105 shares of Series D Preferred at $4.50 per share for total net proceeds of $14,349,239. In July 2014, the Company issued 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$16.77 per share, the elimination of a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 and the amended Series SRN Preferred shares were recorded at their fair value of $4.50 per share. The difference of $1.5 million was recorded as additional paid in capital.</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98" w:right="141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line="178" w:lineRule="exact"/>
        <w:rPr>
          <w:sz w:val="20"/>
          <w:szCs w:val="20"/>
          <w:color w:val="auto"/>
        </w:rPr>
      </w:pPr>
      <w:r>
        <w:rPr>
          <w:rFonts w:ascii="Times New Roman" w:cs="Times New Roman" w:eastAsia="Times New Roman" w:hAnsi="Times New Roman"/>
          <w:sz w:val="17"/>
          <w:szCs w:val="17"/>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 capital.</w:t>
      </w:r>
    </w:p>
    <w:p>
      <w:pPr>
        <w:spacing w:after="0" w:line="133" w:lineRule="exact"/>
        <w:rPr>
          <w:sz w:val="20"/>
          <w:szCs w:val="20"/>
          <w:color w:val="auto"/>
        </w:rPr>
      </w:pPr>
    </w:p>
    <w:p>
      <w:pPr>
        <w:ind w:right="660"/>
        <w:spacing w:after="0" w:line="239" w:lineRule="auto"/>
        <w:rPr>
          <w:sz w:val="20"/>
          <w:szCs w:val="20"/>
          <w:color w:val="auto"/>
        </w:rPr>
      </w:pPr>
      <w:r>
        <w:rPr>
          <w:rFonts w:ascii="Times New Roman" w:cs="Times New Roman" w:eastAsia="Times New Roman" w:hAnsi="Times New Roman"/>
          <w:sz w:val="17"/>
          <w:szCs w:val="17"/>
          <w:color w:val="auto"/>
        </w:rPr>
        <w:t>All outstanding shares of the Company’s convertible preferred stock automatically converted into 10,126,118 shares of the Company’s common stock upon the closing of the IPO on June 27, 2016.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Common Stock</w:t>
      </w:r>
    </w:p>
    <w:p>
      <w:pPr>
        <w:spacing w:after="0" w:line="182"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7"/>
          <w:szCs w:val="17"/>
          <w:color w:val="auto"/>
        </w:rPr>
        <w:t>The voting, dividend and liquidation rights of the common stockholders are subject to and qualified by the rights, powers and preferences of the Preferred Stock. The common stock has the following characteristics: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182" w:lineRule="exact"/>
        <w:rPr>
          <w:sz w:val="20"/>
          <w:szCs w:val="20"/>
          <w:color w:val="auto"/>
        </w:rPr>
      </w:pPr>
    </w:p>
    <w:p>
      <w:pPr>
        <w:jc w:val="both"/>
        <w:ind w:right="140"/>
        <w:spacing w:after="0" w:line="228" w:lineRule="auto"/>
        <w:rPr>
          <w:sz w:val="20"/>
          <w:szCs w:val="20"/>
          <w:color w:val="auto"/>
        </w:rPr>
      </w:pPr>
      <w:r>
        <w:rPr>
          <w:rFonts w:ascii="Times New Roman" w:cs="Times New Roman" w:eastAsia="Times New Roman" w:hAnsi="Times New Roman"/>
          <w:sz w:val="17"/>
          <w:szCs w:val="17"/>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82"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7"/>
          <w:szCs w:val="17"/>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June 30, 2016, no dividends have been declared or paid on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w:t>
      </w:r>
    </w:p>
    <w:p>
      <w:pPr>
        <w:spacing w:after="0" w:line="182" w:lineRule="exact"/>
        <w:rPr>
          <w:sz w:val="20"/>
          <w:szCs w:val="20"/>
          <w:color w:val="auto"/>
        </w:rPr>
      </w:pPr>
    </w:p>
    <w:p>
      <w:pPr>
        <w:ind w:right="260"/>
        <w:spacing w:after="0" w:line="192" w:lineRule="exact"/>
        <w:rPr>
          <w:sz w:val="20"/>
          <w:szCs w:val="20"/>
          <w:color w:val="auto"/>
        </w:rPr>
      </w:pPr>
      <w:r>
        <w:rPr>
          <w:rFonts w:ascii="Times New Roman" w:cs="Times New Roman" w:eastAsia="Times New Roman" w:hAnsi="Times New Roman"/>
          <w:sz w:val="17"/>
          <w:szCs w:val="17"/>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converted basis.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Reserved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authorized shares of common stock for future issuance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Periods ending</w:t>
            </w:r>
          </w:p>
        </w:tc>
        <w:tc>
          <w:tcPr>
            <w:tcW w:w="100" w:type="dxa"/>
            <w:vAlign w:val="bottom"/>
          </w:tcPr>
          <w:p>
            <w:pPr>
              <w:spacing w:after="0"/>
              <w:rPr>
                <w:sz w:val="14"/>
                <w:szCs w:val="14"/>
                <w:color w:val="auto"/>
              </w:rPr>
            </w:pPr>
          </w:p>
        </w:tc>
      </w:tr>
      <w:tr>
        <w:trPr>
          <w:trHeight w:val="160"/>
        </w:trPr>
        <w:tc>
          <w:tcPr>
            <w:tcW w:w="6560" w:type="dxa"/>
            <w:vAlign w:val="bottom"/>
          </w:tcPr>
          <w:p>
            <w:pPr>
              <w:spacing w:after="0"/>
              <w:rPr>
                <w:sz w:val="13"/>
                <w:szCs w:val="13"/>
                <w:color w:val="auto"/>
              </w:rPr>
            </w:pP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60"/>
        </w:trPr>
        <w:tc>
          <w:tcPr>
            <w:tcW w:w="6560" w:type="dxa"/>
            <w:vAlign w:val="bottom"/>
          </w:tcPr>
          <w:p>
            <w:pPr>
              <w:spacing w:after="0"/>
              <w:rPr>
                <w:sz w:val="13"/>
                <w:szCs w:val="13"/>
                <w:color w:val="auto"/>
              </w:rPr>
            </w:pPr>
          </w:p>
        </w:tc>
        <w:tc>
          <w:tcPr>
            <w:tcW w:w="11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Series A Preferred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664,068</w:t>
            </w:r>
          </w:p>
        </w:tc>
        <w:tc>
          <w:tcPr>
            <w:tcW w:w="100" w:type="dxa"/>
            <w:vAlign w:val="bottom"/>
            <w:shd w:val="clear" w:color="auto" w:fill="CCEEFF"/>
          </w:tcPr>
          <w:p>
            <w:pPr>
              <w:spacing w:after="0"/>
              <w:rPr>
                <w:sz w:val="17"/>
                <w:szCs w:val="17"/>
                <w:color w:val="auto"/>
              </w:rPr>
            </w:pPr>
          </w:p>
        </w:tc>
      </w:tr>
      <w:tr>
        <w:trPr>
          <w:trHeight w:val="206"/>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Series B Preferred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1,907,006</w:t>
            </w:r>
          </w:p>
        </w:tc>
        <w:tc>
          <w:tcPr>
            <w:tcW w:w="100" w:type="dxa"/>
            <w:vAlign w:val="bottom"/>
          </w:tcPr>
          <w:p>
            <w:pPr>
              <w:spacing w:after="0"/>
              <w:rPr>
                <w:sz w:val="17"/>
                <w:szCs w:val="17"/>
                <w:color w:val="auto"/>
              </w:rPr>
            </w:pPr>
          </w:p>
        </w:tc>
      </w:tr>
      <w:tr>
        <w:trPr>
          <w:trHeight w:val="20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Series C Preferred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1,282,051</w:t>
            </w:r>
          </w:p>
        </w:tc>
        <w:tc>
          <w:tcPr>
            <w:tcW w:w="100" w:type="dxa"/>
            <w:vAlign w:val="bottom"/>
            <w:shd w:val="clear" w:color="auto" w:fill="CCEEFF"/>
          </w:tcPr>
          <w:p>
            <w:pPr>
              <w:spacing w:after="0"/>
              <w:rPr>
                <w:sz w:val="17"/>
                <w:szCs w:val="17"/>
                <w:color w:val="auto"/>
              </w:rPr>
            </w:pPr>
          </w:p>
        </w:tc>
      </w:tr>
      <w:tr>
        <w:trPr>
          <w:trHeight w:val="206"/>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Series D Preferred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2,191,412</w:t>
            </w:r>
          </w:p>
        </w:tc>
        <w:tc>
          <w:tcPr>
            <w:tcW w:w="100" w:type="dxa"/>
            <w:vAlign w:val="bottom"/>
          </w:tcPr>
          <w:p>
            <w:pPr>
              <w:spacing w:after="0"/>
              <w:rPr>
                <w:sz w:val="17"/>
                <w:szCs w:val="17"/>
                <w:color w:val="auto"/>
              </w:rPr>
            </w:pPr>
          </w:p>
        </w:tc>
      </w:tr>
      <w:tr>
        <w:trPr>
          <w:trHeight w:val="20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Series SRN Preferred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1,798,433</w:t>
            </w:r>
          </w:p>
        </w:tc>
        <w:tc>
          <w:tcPr>
            <w:tcW w:w="100" w:type="dxa"/>
            <w:vAlign w:val="bottom"/>
            <w:shd w:val="clear" w:color="auto" w:fill="CCEEFF"/>
          </w:tcPr>
          <w:p>
            <w:pPr>
              <w:spacing w:after="0"/>
              <w:rPr>
                <w:sz w:val="17"/>
                <w:szCs w:val="17"/>
                <w:color w:val="auto"/>
              </w:rPr>
            </w:pPr>
          </w:p>
        </w:tc>
      </w:tr>
      <w:tr>
        <w:trPr>
          <w:trHeight w:val="206"/>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Series E Preferred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2,662,885</w:t>
            </w:r>
          </w:p>
        </w:tc>
        <w:tc>
          <w:tcPr>
            <w:tcW w:w="100" w:type="dxa"/>
            <w:vAlign w:val="bottom"/>
          </w:tcPr>
          <w:p>
            <w:pPr>
              <w:spacing w:after="0"/>
              <w:rPr>
                <w:sz w:val="17"/>
                <w:szCs w:val="17"/>
                <w:color w:val="auto"/>
              </w:rPr>
            </w:pPr>
          </w:p>
        </w:tc>
      </w:tr>
      <w:tr>
        <w:trPr>
          <w:trHeight w:val="20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common warrants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113,795</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651,618</w:t>
            </w:r>
          </w:p>
        </w:tc>
        <w:tc>
          <w:tcPr>
            <w:tcW w:w="100" w:type="dxa"/>
            <w:vAlign w:val="bottom"/>
            <w:shd w:val="clear" w:color="auto" w:fill="CCEEFF"/>
          </w:tcPr>
          <w:p>
            <w:pPr>
              <w:spacing w:after="0"/>
              <w:rPr>
                <w:sz w:val="17"/>
                <w:szCs w:val="17"/>
                <w:color w:val="auto"/>
              </w:rPr>
            </w:pPr>
          </w:p>
        </w:tc>
      </w:tr>
      <w:tr>
        <w:trPr>
          <w:trHeight w:val="206"/>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Shares available for future stock incentive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819,451</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100,034</w:t>
            </w:r>
          </w:p>
        </w:tc>
        <w:tc>
          <w:tcPr>
            <w:tcW w:w="100" w:type="dxa"/>
            <w:vAlign w:val="bottom"/>
          </w:tcPr>
          <w:p>
            <w:pPr>
              <w:spacing w:after="0"/>
              <w:rPr>
                <w:sz w:val="17"/>
                <w:szCs w:val="17"/>
                <w:color w:val="auto"/>
              </w:rPr>
            </w:pPr>
          </w:p>
        </w:tc>
      </w:tr>
      <w:tr>
        <w:trPr>
          <w:trHeight w:val="20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outstanding common stock options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2,113,538</w:t>
            </w:r>
          </w:p>
        </w:tc>
        <w:tc>
          <w:tcPr>
            <w:tcW w:w="2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1,569,379</w:t>
            </w:r>
          </w:p>
        </w:tc>
        <w:tc>
          <w:tcPr>
            <w:tcW w:w="100" w:type="dxa"/>
            <w:vAlign w:val="bottom"/>
            <w:shd w:val="clear" w:color="auto" w:fill="CCEEFF"/>
          </w:tcPr>
          <w:p>
            <w:pPr>
              <w:spacing w:after="0"/>
              <w:rPr>
                <w:sz w:val="17"/>
                <w:szCs w:val="17"/>
                <w:color w:val="auto"/>
              </w:rPr>
            </w:pPr>
          </w:p>
        </w:tc>
      </w:tr>
      <w:tr>
        <w:trPr>
          <w:trHeight w:val="204"/>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3,046,784</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12,826,886</w:t>
            </w:r>
          </w:p>
        </w:tc>
        <w:tc>
          <w:tcPr>
            <w:tcW w:w="100" w:type="dxa"/>
            <w:vAlign w:val="bottom"/>
          </w:tcPr>
          <w:p>
            <w:pPr>
              <w:spacing w:after="0"/>
              <w:rPr>
                <w:sz w:val="17"/>
                <w:szCs w:val="17"/>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Stock Incentive Plans</w:t>
      </w:r>
    </w:p>
    <w:p>
      <w:pPr>
        <w:spacing w:after="0" w:line="182" w:lineRule="exact"/>
        <w:rPr>
          <w:sz w:val="20"/>
          <w:szCs w:val="20"/>
          <w:color w:val="auto"/>
        </w:rPr>
      </w:pPr>
    </w:p>
    <w:p>
      <w:pPr>
        <w:spacing w:after="0" w:line="178" w:lineRule="exact"/>
        <w:rPr>
          <w:sz w:val="20"/>
          <w:szCs w:val="20"/>
          <w:color w:val="auto"/>
        </w:rPr>
      </w:pPr>
      <w:r>
        <w:rPr>
          <w:rFonts w:ascii="Times New Roman" w:cs="Times New Roman" w:eastAsia="Times New Roman" w:hAnsi="Times New Roman"/>
          <w:sz w:val="17"/>
          <w:szCs w:val="17"/>
          <w:color w:val="auto"/>
        </w:rPr>
        <w:t>The Company maintained the 2008 Equity Incentive Plan (the “Plan”) for employees, consultants, advisors, and directors. The Plan provided for the granting of incentive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qualified stock option and restricted stock awards as determined by the Board. As of June 30, 2016, a total of 2,213,412 shares of common stock are authorized for grants under the Plan with 10,163 shares available for future grant. All stock options granted under the 2008 Plan may be exercised into restricted stock subject to forfeiture provisions upon termination.</w:t>
      </w:r>
    </w:p>
    <w:p>
      <w:pPr>
        <w:spacing w:after="0" w:line="15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7"/>
          <w:szCs w:val="17"/>
          <w:color w:val="auto"/>
        </w:rPr>
        <w:t>The Plan provided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was estimated on the grant date using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Scholes. Expected volatilities were based on historical volatilities from guideline companies, since there was no active market for the Company’s common stock. The Company used the “simplified” method to estimate the expected life of options granted and are expected to be outstanding. The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interest rate used is the rate for a U.S. Treasury zero coupon issue with a remaining life consistent with the options expected life on the grant date. The Company has not paid, and does not expect to pay, any cash dividends in the foreseeable future. Forfeitures were estimated at the time of grant and were adjusted, if necessary, in subsequent periods if actual forfeitures differed from those estimates. The Company had estimated a forfeitures rate of 10% based on historical attrition trends. The Company records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only on the awards that are expected to vest.</w:t>
      </w:r>
    </w:p>
    <w:p>
      <w:pPr>
        <w:spacing w:after="0" w:line="140"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7"/>
          <w:szCs w:val="17"/>
          <w:color w:val="auto"/>
        </w:rPr>
        <w:t>As of the S-1 registration date of May 24, 2016, the Company ceased granting awards under the Plan; however, awards issued under the Plan remain subject to the terms of the applicable Plan agreement.</w:t>
      </w:r>
    </w:p>
    <w:p>
      <w:pPr>
        <w:spacing w:after="0" w:line="112" w:lineRule="exact"/>
        <w:rPr>
          <w:sz w:val="20"/>
          <w:szCs w:val="20"/>
          <w:color w:val="auto"/>
        </w:rPr>
      </w:pPr>
    </w:p>
    <w:p>
      <w:pPr>
        <w:ind w:right="100"/>
        <w:spacing w:after="0" w:line="181" w:lineRule="exact"/>
        <w:rPr>
          <w:sz w:val="20"/>
          <w:szCs w:val="20"/>
          <w:color w:val="auto"/>
        </w:rPr>
      </w:pPr>
      <w:r>
        <w:rPr>
          <w:rFonts w:ascii="Times New Roman" w:cs="Times New Roman" w:eastAsia="Times New Roman" w:hAnsi="Times New Roman"/>
          <w:sz w:val="17"/>
          <w:szCs w:val="17"/>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qualified stock option and restricted stock awards as determined by the Board. As of June 30, 2016, a total of 1,210,256 shares of common stock are authorized for grants under the 2016 Plan with 819,451 shares available for future grant.</w:t>
      </w:r>
    </w:p>
    <w:p>
      <w:pPr>
        <w:spacing w:after="0" w:line="15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7"/>
          <w:szCs w:val="17"/>
          <w:color w:val="auto"/>
        </w:rPr>
        <w:t>The 2016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7"/>
          <w:szCs w:val="17"/>
          <w:color w:val="auto"/>
        </w:rPr>
        <w:t>On June 7, 2016, the Company’s stockholders approved the 2016 Employee Stock Purchase Plan (the “ESPP”), which became effective June 21, 2016. A total of 173,076 shares of common stock were reserved for issuance under the ESPP. In addition, the number of shares of common stock that may be issued under the ESPP will automatically increase on the first day of each calendar year, beginning in 2017 and ending in and including 2026, by an amount equal to (i) 1% of the number of shares of the Company’s common stock outstanding on the last day of the applicable preceding calendar year and (ii) such smaller number of shares as is determined by the Company’s Board of Directors.</w:t>
      </w:r>
    </w:p>
    <w:p>
      <w:pPr>
        <w:spacing w:after="0" w:line="15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The weighted average assumptions used for employee stock option grants issued for the six month period ended June 30, 2016 and in 2015:</w:t>
      </w:r>
    </w:p>
    <w:p>
      <w:pPr>
        <w:spacing w:after="0" w:line="3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5900"/>
        <w:spacing w:after="0" w:line="220"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60"/>
        </w:trPr>
        <w:tc>
          <w:tcPr>
            <w:tcW w:w="54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3"/>
                <w:szCs w:val="13"/>
                <w:color w:val="auto"/>
              </w:rPr>
            </w:pPr>
          </w:p>
        </w:tc>
      </w:tr>
      <w:tr>
        <w:trPr>
          <w:trHeight w:val="160"/>
        </w:trPr>
        <w:tc>
          <w:tcPr>
            <w:tcW w:w="5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1.39 %</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1.70 %</w:t>
            </w:r>
          </w:p>
        </w:tc>
      </w:tr>
      <w:tr>
        <w:trPr>
          <w:trHeight w:val="167"/>
        </w:trPr>
        <w:tc>
          <w:tcPr>
            <w:tcW w:w="54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Expected dividend yield</w:t>
            </w:r>
          </w:p>
        </w:tc>
        <w:tc>
          <w:tcPr>
            <w:tcW w:w="840" w:type="dxa"/>
            <w:vAlign w:val="bottom"/>
            <w:gridSpan w:val="2"/>
          </w:tcPr>
          <w:p>
            <w:pPr>
              <w:jc w:val="right"/>
              <w:ind w:right="280"/>
              <w:spacing w:after="0" w:line="167"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0"/>
              <w:spacing w:after="0" w:line="167" w:lineRule="exact"/>
              <w:rPr>
                <w:sz w:val="20"/>
                <w:szCs w:val="20"/>
                <w:color w:val="auto"/>
              </w:rPr>
            </w:pPr>
            <w:r>
              <w:rPr>
                <w:rFonts w:ascii="Times New Roman" w:cs="Times New Roman" w:eastAsia="Times New Roman" w:hAnsi="Times New Roman"/>
                <w:sz w:val="17"/>
                <w:szCs w:val="17"/>
                <w:color w:val="auto"/>
              </w:rPr>
              <w:t>—</w:t>
            </w:r>
          </w:p>
        </w:tc>
      </w:tr>
      <w:tr>
        <w:trPr>
          <w:trHeight w:val="20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380" w:type="dxa"/>
            <w:vAlign w:val="bottom"/>
            <w:shd w:val="clear" w:color="auto" w:fill="CCEEFF"/>
          </w:tcPr>
          <w:p>
            <w:pPr>
              <w:spacing w:after="0"/>
              <w:rPr>
                <w:sz w:val="17"/>
                <w:szCs w:val="17"/>
                <w:color w:val="auto"/>
              </w:rPr>
            </w:pPr>
          </w:p>
        </w:tc>
      </w:tr>
      <w:tr>
        <w:trPr>
          <w:trHeight w:val="206"/>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96.10 %</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93.50 %</w:t>
            </w:r>
          </w:p>
        </w:tc>
      </w:tr>
      <w:tr>
        <w:trPr>
          <w:trHeight w:val="20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fair value of common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$ 12.60</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9.22</w:t>
            </w:r>
          </w:p>
        </w:tc>
        <w:tc>
          <w:tcPr>
            <w:tcW w:w="380" w:type="dxa"/>
            <w:vAlign w:val="bottom"/>
            <w:shd w:val="clear" w:color="auto" w:fill="CCEEFF"/>
          </w:tcPr>
          <w:p>
            <w:pPr>
              <w:spacing w:after="0"/>
              <w:rPr>
                <w:sz w:val="17"/>
                <w:szCs w:val="17"/>
                <w:color w:val="auto"/>
              </w:rPr>
            </w:pPr>
          </w:p>
        </w:tc>
      </w:tr>
    </w:tbl>
    <w:p>
      <w:pPr>
        <w:spacing w:after="0" w:line="177"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7"/>
          <w:szCs w:val="17"/>
          <w:color w:val="auto"/>
        </w:rPr>
        <w:t>The resulting weighted average grant date fair value of stock options granted to employees during the six months ended June 30, 2016 and year ended December 31, 2015 was $9.84 and $5.03, respectively. The aggregate intrinsic value of stock options exercised during the six months ended June 30, 2016 and year ended December 31, 2015 was $0.9 million and $0.3 million, respectively.</w:t>
      </w:r>
    </w:p>
    <w:p>
      <w:pPr>
        <w:spacing w:after="0" w:line="15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7"/>
          <w:szCs w:val="17"/>
          <w:color w:val="auto"/>
        </w:rPr>
        <w:t>As of June 30, 2016 and December 31, 2015, total unrecognized compensation expense related to unvested employee stock options was $5.7 million and $2.3 million, respectively, which is expected to be recognized over a weighted average period of 3.0 years and 3.1 years, respectively.</w:t>
      </w:r>
    </w:p>
    <w:p>
      <w:pPr>
        <w:spacing w:after="0" w:line="12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The weighted average assumptions used for unvested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stock options are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tcPr>
          <w:p>
            <w:pPr>
              <w:spacing w:after="0"/>
              <w:rPr>
                <w:sz w:val="14"/>
                <w:szCs w:val="14"/>
                <w:color w:val="auto"/>
              </w:rPr>
            </w:pPr>
          </w:p>
        </w:tc>
        <w:tc>
          <w:tcPr>
            <w:tcW w:w="13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66"/>
        </w:trPr>
        <w:tc>
          <w:tcPr>
            <w:tcW w:w="5520" w:type="dxa"/>
            <w:vAlign w:val="bottom"/>
          </w:tcPr>
          <w:p>
            <w:pPr>
              <w:spacing w:after="0"/>
              <w:rPr>
                <w:sz w:val="14"/>
                <w:szCs w:val="14"/>
                <w:color w:val="auto"/>
              </w:rPr>
            </w:pPr>
          </w:p>
        </w:tc>
        <w:tc>
          <w:tcPr>
            <w:tcW w:w="13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0"/>
        </w:trPr>
        <w:tc>
          <w:tcPr>
            <w:tcW w:w="55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3"/>
                <w:szCs w:val="13"/>
                <w:color w:val="auto"/>
              </w:rPr>
            </w:pPr>
          </w:p>
        </w:tc>
      </w:tr>
      <w:tr>
        <w:trPr>
          <w:trHeight w:val="160"/>
        </w:trPr>
        <w:tc>
          <w:tcPr>
            <w:tcW w:w="5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6"/>
        </w:trPr>
        <w:tc>
          <w:tcPr>
            <w:tcW w:w="5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interest rate</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1.46 %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1.50 %</w:t>
            </w:r>
          </w:p>
        </w:tc>
      </w:tr>
      <w:tr>
        <w:trPr>
          <w:trHeight w:val="167"/>
        </w:trPr>
        <w:tc>
          <w:tcPr>
            <w:tcW w:w="55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Expected dividend yield</w:t>
            </w:r>
          </w:p>
        </w:tc>
        <w:tc>
          <w:tcPr>
            <w:tcW w:w="660" w:type="dxa"/>
            <w:vAlign w:val="bottom"/>
            <w:gridSpan w:val="2"/>
          </w:tcPr>
          <w:p>
            <w:pPr>
              <w:jc w:val="right"/>
              <w:ind w:right="280"/>
              <w:spacing w:after="0" w:line="167"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60"/>
              <w:spacing w:after="0" w:line="167" w:lineRule="exact"/>
              <w:rPr>
                <w:sz w:val="20"/>
                <w:szCs w:val="20"/>
                <w:color w:val="auto"/>
              </w:rPr>
            </w:pPr>
            <w:r>
              <w:rPr>
                <w:rFonts w:ascii="Times New Roman" w:cs="Times New Roman" w:eastAsia="Times New Roman" w:hAnsi="Times New Roman"/>
                <w:sz w:val="17"/>
                <w:szCs w:val="17"/>
                <w:color w:val="auto"/>
              </w:rPr>
              <w:t>—</w:t>
            </w:r>
          </w:p>
        </w:tc>
      </w:tr>
      <w:tr>
        <w:trPr>
          <w:trHeight w:val="20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220" w:type="dxa"/>
            <w:vAlign w:val="bottom"/>
            <w:shd w:val="clear" w:color="auto" w:fill="CCEEFF"/>
          </w:tcPr>
          <w:p>
            <w:pPr>
              <w:spacing w:after="0"/>
              <w:rPr>
                <w:sz w:val="17"/>
                <w:szCs w:val="17"/>
                <w:color w:val="auto"/>
              </w:rPr>
            </w:pPr>
          </w:p>
        </w:tc>
      </w:tr>
      <w:tr>
        <w:trPr>
          <w:trHeight w:val="232"/>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90.37 %</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97.07 %</w:t>
            </w:r>
          </w:p>
        </w:tc>
      </w:tr>
    </w:tbl>
    <w:p>
      <w:pPr>
        <w:spacing w:after="0" w:line="109"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7"/>
          <w:szCs w:val="17"/>
          <w:color w:val="auto"/>
        </w:rPr>
        <w:t>The unvested options held by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employees are revalued using the Company’s estimate of fair value on each vesting and reporting date through the remaining vesting period.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based compensation expense of $0.1 million and $0.4 million was recorded during the six months end June 30, 2016 and for the year ended December 31, 2015.</w:t>
      </w:r>
    </w:p>
    <w:p>
      <w:pPr>
        <w:spacing w:after="0" w:line="123" w:lineRule="exact"/>
        <w:rPr>
          <w:sz w:val="20"/>
          <w:szCs w:val="20"/>
          <w:color w:val="auto"/>
        </w:rPr>
      </w:pPr>
    </w:p>
    <w:p>
      <w:pPr>
        <w:ind w:right="280"/>
        <w:spacing w:after="0" w:line="209" w:lineRule="exact"/>
        <w:rPr>
          <w:sz w:val="20"/>
          <w:szCs w:val="20"/>
          <w:color w:val="auto"/>
        </w:rPr>
      </w:pPr>
      <w:r>
        <w:rPr>
          <w:rFonts w:ascii="Times New Roman" w:cs="Times New Roman" w:eastAsia="Times New Roman" w:hAnsi="Times New Roman"/>
          <w:sz w:val="17"/>
          <w:szCs w:val="17"/>
          <w:color w:val="auto"/>
        </w:rPr>
        <w:t>As of June 30, 2016 and December 31, 2015, total unrecognized compensation expense related to unvested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stock options was $0.9 million and $0.1 million, respectively.</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under the Plan and the 2016 Plan since December 31,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restart"/>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220" w:type="dxa"/>
            <w:vAlign w:val="bottom"/>
            <w:gridSpan w:val="2"/>
          </w:tcPr>
          <w:p>
            <w:pPr>
              <w:jc w:val="center"/>
              <w:ind w:right="160"/>
              <w:spacing w:after="0" w:line="161" w:lineRule="exact"/>
              <w:rPr>
                <w:sz w:val="20"/>
                <w:szCs w:val="20"/>
                <w:color w:val="auto"/>
              </w:rPr>
            </w:pPr>
            <w:r>
              <w:rPr>
                <w:rFonts w:ascii="Times New Roman" w:cs="Times New Roman" w:eastAsia="Times New Roman" w:hAnsi="Times New Roman"/>
                <w:sz w:val="14"/>
                <w:szCs w:val="14"/>
                <w:b w:val="1"/>
                <w:bCs w:val="1"/>
                <w:color w:val="auto"/>
                <w:w w:val="97"/>
              </w:rPr>
              <w:t>Weighted</w:t>
            </w:r>
            <w:r>
              <w:rPr>
                <w:rFonts w:ascii="MS PGothic" w:cs="MS PGothic" w:eastAsia="MS PGothic" w:hAnsi="MS PGothic"/>
                <w:sz w:val="14"/>
                <w:szCs w:val="14"/>
                <w:color w:val="auto"/>
                <w:strike w:val="1"/>
                <w:w w:val="97"/>
              </w:rPr>
              <w:t>‑</w:t>
            </w:r>
            <w:r>
              <w:rPr>
                <w:rFonts w:ascii="Times New Roman" w:cs="Times New Roman" w:eastAsia="Times New Roman" w:hAnsi="Times New Roman"/>
                <w:sz w:val="14"/>
                <w:szCs w:val="14"/>
                <w:b w:val="1"/>
                <w:bCs w:val="1"/>
                <w:color w:val="auto"/>
                <w:w w:val="97"/>
              </w:rPr>
              <w:t>average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remaining</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7"/>
        </w:trPr>
        <w:tc>
          <w:tcPr>
            <w:tcW w:w="48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contractual term</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6"/>
        </w:trPr>
        <w:tc>
          <w:tcPr>
            <w:tcW w:w="48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0"/>
        </w:trPr>
        <w:tc>
          <w:tcPr>
            <w:tcW w:w="488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Employee</w:t>
            </w: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2015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1,247,160</w:t>
            </w:r>
          </w:p>
        </w:tc>
        <w:tc>
          <w:tcPr>
            <w:tcW w:w="1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Exercised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(21,088)</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Forfeited</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(3,462)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Outstanding at June 30, 2016</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1,711,787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11,574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at June 30, 2016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740,887</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880" w:type="dxa"/>
            <w:vAlign w:val="bottom"/>
            <w:tcBorders>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Vested and expected to vest at June 30, 2016</w:t>
            </w:r>
          </w:p>
        </w:tc>
        <w:tc>
          <w:tcPr>
            <w:tcW w:w="7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99"/>
              </w:rPr>
              <w:t>1,565,466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6.89</w:t>
            </w: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7.62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11,134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8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Employee</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2015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322,220</w:t>
            </w:r>
          </w:p>
        </w:tc>
        <w:tc>
          <w:tcPr>
            <w:tcW w:w="1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Exercised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(5,084)</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8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7"/>
                <w:szCs w:val="17"/>
                <w:color w:val="auto"/>
              </w:rPr>
              <w:t>Forfeited</w:t>
            </w:r>
          </w:p>
        </w:tc>
        <w:tc>
          <w:tcPr>
            <w:tcW w:w="900" w:type="dxa"/>
            <w:vAlign w:val="bottom"/>
            <w:gridSpan w:val="2"/>
            <w:shd w:val="clear" w:color="auto" w:fill="CCEEFF"/>
          </w:tcPr>
          <w:p>
            <w:pPr>
              <w:jc w:val="right"/>
              <w:ind w:right="200"/>
              <w:spacing w:after="0" w:line="167"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Outstanding at June 30, 2016</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401,751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at June 30, 2016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320,339</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88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Vested and expected to vest at June 30, 2016</w:t>
            </w:r>
          </w:p>
        </w:tc>
        <w:tc>
          <w:tcPr>
            <w:tcW w:w="7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401,594</w:t>
            </w:r>
          </w:p>
        </w:tc>
        <w:tc>
          <w:tcPr>
            <w:tcW w:w="160" w:type="dxa"/>
            <w:vAlign w:val="bottom"/>
          </w:tcPr>
          <w:p>
            <w:pPr>
              <w:spacing w:after="0"/>
              <w:rPr>
                <w:sz w:val="17"/>
                <w:szCs w:val="17"/>
                <w:color w:val="auto"/>
              </w:rPr>
            </w:pPr>
          </w:p>
        </w:tc>
        <w:tc>
          <w:tcPr>
            <w:tcW w:w="2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3.84</w:t>
            </w:r>
          </w:p>
        </w:tc>
        <w:tc>
          <w:tcPr>
            <w:tcW w:w="160" w:type="dxa"/>
            <w:vAlign w:val="bottom"/>
          </w:tcPr>
          <w:p>
            <w:pPr>
              <w:spacing w:after="0"/>
              <w:rPr>
                <w:sz w:val="17"/>
                <w:szCs w:val="17"/>
                <w:color w:val="auto"/>
              </w:rPr>
            </w:pPr>
          </w:p>
        </w:tc>
        <w:tc>
          <w:tcPr>
            <w:tcW w:w="10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6.02</w:t>
            </w:r>
          </w:p>
        </w:tc>
        <w:tc>
          <w:tcPr>
            <w:tcW w:w="160" w:type="dxa"/>
            <w:vAlign w:val="bottom"/>
          </w:tcPr>
          <w:p>
            <w:pPr>
              <w:spacing w:after="0"/>
              <w:rPr>
                <w:sz w:val="17"/>
                <w:szCs w:val="17"/>
                <w:color w:val="auto"/>
              </w:rPr>
            </w:pPr>
          </w:p>
        </w:tc>
        <w:tc>
          <w:tcPr>
            <w:tcW w:w="1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82" w:lineRule="exact"/>
        <w:rPr>
          <w:sz w:val="20"/>
          <w:szCs w:val="20"/>
          <w:color w:val="auto"/>
        </w:rPr>
      </w:pPr>
    </w:p>
    <w:p>
      <w:pPr>
        <w:ind w:right="160"/>
        <w:spacing w:after="0" w:line="213" w:lineRule="auto"/>
        <w:rPr>
          <w:sz w:val="20"/>
          <w:szCs w:val="20"/>
          <w:color w:val="auto"/>
        </w:rPr>
      </w:pPr>
      <w:r>
        <w:rPr>
          <w:rFonts w:ascii="Times New Roman" w:cs="Times New Roman" w:eastAsia="Times New Roman" w:hAnsi="Times New Roman"/>
          <w:sz w:val="17"/>
          <w:szCs w:val="17"/>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has a repurchase provision whereby the Company has the right to 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As of June 30, 2016 and December 31, 2015, the remaining liability was less than $0.1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fair value of restricted shares that vested during the six month period ended June 30, 2016 was less than $0.1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restricted stock award activity of the Plan and the 2016 Plan since December 31,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center"/>
              <w:ind w:right="16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p>
        </w:tc>
      </w:tr>
      <w:tr>
        <w:trPr>
          <w:trHeight w:val="167"/>
        </w:trPr>
        <w:tc>
          <w:tcPr>
            <w:tcW w:w="5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67"/>
        </w:trPr>
        <w:tc>
          <w:tcPr>
            <w:tcW w:w="5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exercise</w:t>
            </w:r>
          </w:p>
        </w:tc>
      </w:tr>
      <w:tr>
        <w:trPr>
          <w:trHeight w:val="166"/>
        </w:trPr>
        <w:tc>
          <w:tcPr>
            <w:tcW w:w="56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price</w:t>
            </w:r>
          </w:p>
        </w:tc>
      </w:tr>
      <w:tr>
        <w:trPr>
          <w:trHeight w:val="160"/>
        </w:trPr>
        <w:tc>
          <w:tcPr>
            <w:tcW w:w="56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0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80" w:type="dxa"/>
            <w:vAlign w:val="bottom"/>
            <w:shd w:val="clear" w:color="auto" w:fill="CCEEFF"/>
          </w:tcPr>
          <w:p>
            <w:pPr>
              <w:spacing w:after="0"/>
              <w:rPr>
                <w:sz w:val="17"/>
                <w:szCs w:val="17"/>
                <w:color w:val="auto"/>
              </w:rPr>
            </w:pPr>
          </w:p>
        </w:tc>
      </w:tr>
      <w:tr>
        <w:trPr>
          <w:trHeight w:val="167"/>
        </w:trPr>
        <w:tc>
          <w:tcPr>
            <w:tcW w:w="562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Issued</w:t>
            </w:r>
          </w:p>
        </w:tc>
        <w:tc>
          <w:tcPr>
            <w:tcW w:w="76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line="167" w:lineRule="exact"/>
              <w:rPr>
                <w:sz w:val="20"/>
                <w:szCs w:val="20"/>
                <w:color w:val="auto"/>
              </w:rPr>
            </w:pPr>
            <w:r>
              <w:rPr>
                <w:rFonts w:ascii="Times New Roman" w:cs="Times New Roman" w:eastAsia="Times New Roman" w:hAnsi="Times New Roman"/>
                <w:sz w:val="17"/>
                <w:szCs w:val="17"/>
                <w:color w:val="auto"/>
              </w:rPr>
              <w:t>—</w:t>
            </w:r>
          </w:p>
        </w:tc>
      </w:tr>
      <w:tr>
        <w:trPr>
          <w:trHeight w:val="206"/>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Vested</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(3,791)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80" w:type="dxa"/>
            <w:vAlign w:val="bottom"/>
            <w:shd w:val="clear" w:color="auto" w:fill="CCEEFF"/>
          </w:tcPr>
          <w:p>
            <w:pPr>
              <w:spacing w:after="0"/>
              <w:rPr>
                <w:sz w:val="17"/>
                <w:szCs w:val="17"/>
                <w:color w:val="auto"/>
              </w:rPr>
            </w:pPr>
          </w:p>
        </w:tc>
      </w:tr>
      <w:tr>
        <w:trPr>
          <w:trHeight w:val="204"/>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Unvested as of June 30, 2016</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3,783</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u w:val="single" w:color="auto"/>
                <w:color w:val="auto"/>
              </w:rPr>
              <w:t>77</w:t>
            </w:r>
          </w:p>
        </w:tc>
        <w:tc>
          <w:tcPr>
            <w:tcW w:w="180" w:type="dxa"/>
            <w:vAlign w:val="bottom"/>
          </w:tcPr>
          <w:p>
            <w:pPr>
              <w:spacing w:after="0"/>
              <w:rPr>
                <w:sz w:val="17"/>
                <w:szCs w:val="17"/>
                <w:color w:val="auto"/>
              </w:rPr>
            </w:pPr>
          </w:p>
        </w:tc>
      </w:tr>
    </w:tbl>
    <w:p>
      <w:pPr>
        <w:spacing w:after="0" w:line="177"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7"/>
          <w:szCs w:val="17"/>
          <w:color w:val="auto"/>
        </w:rPr>
        <w:t>As of June 30, 2016 and December 31, 2015, total unrecognized compensation expense related to restricted stock awards was less than $0.1 million, which the Company expects to recognize over a weighted average period of approximately 0.5 years and 1.0 years, respectively.</w:t>
      </w:r>
    </w:p>
    <w:p>
      <w:pPr>
        <w:spacing w:after="0" w:line="3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140"/>
          </w:cols>
          <w:pgMar w:left="1420" w:top="110" w:right="1339" w:bottom="1440" w:gutter="0" w:footer="0" w:header="0"/>
        </w:sectPr>
      </w:pPr>
    </w:p>
    <w:bookmarkStart w:id="24" w:name="page25"/>
    <w:bookmarkEnd w:id="24"/>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right="200"/>
        <w:spacing w:after="0" w:line="239" w:lineRule="auto"/>
        <w:rPr>
          <w:sz w:val="20"/>
          <w:szCs w:val="20"/>
          <w:color w:val="auto"/>
        </w:rPr>
      </w:pPr>
      <w:r>
        <w:rPr>
          <w:rFonts w:ascii="Times New Roman" w:cs="Times New Roman" w:eastAsia="Times New Roman" w:hAnsi="Times New Roman"/>
          <w:sz w:val="17"/>
          <w:szCs w:val="17"/>
          <w:color w:val="auto"/>
        </w:rPr>
        <w:t>The Company recorded stock-based compensation expense related to stock options and restricted common stock in the following expense categories of its consolidated statements of operations and comprehensive loss (in thousands):</w:t>
      </w:r>
    </w:p>
    <w:p>
      <w:pPr>
        <w:sectPr>
          <w:pgSz w:w="11900" w:h="16838" w:orient="portrait"/>
          <w:cols w:equalWidth="0" w:num="1">
            <w:col w:w="9061"/>
          </w:cols>
          <w:pgMar w:left="1419" w:top="110" w:right="1419" w:bottom="1440" w:gutter="0" w:footer="0" w:header="0"/>
        </w:sectPr>
      </w:pPr>
    </w:p>
    <w:p>
      <w:pPr>
        <w:spacing w:after="0" w:line="362" w:lineRule="exact"/>
        <w:rPr>
          <w:sz w:val="20"/>
          <w:szCs w:val="20"/>
          <w:color w:val="auto"/>
        </w:rPr>
      </w:pPr>
    </w:p>
    <w:p>
      <w:pPr>
        <w:jc w:val="center"/>
        <w:ind w:left="5861"/>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31" w:lineRule="exact"/>
        <w:rPr>
          <w:sz w:val="20"/>
          <w:szCs w:val="20"/>
          <w:color w:val="auto"/>
        </w:rPr>
      </w:pPr>
    </w:p>
    <w:p>
      <w:pPr>
        <w:jc w:val="center"/>
        <w:ind w:left="5821"/>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-4445</wp:posOffset>
            </wp:positionV>
            <wp:extent cx="988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ind w:left="5901"/>
        <w:spacing w:after="0"/>
        <w:tabs>
          <w:tab w:leader="none" w:pos="6761"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3175</wp:posOffset>
            </wp:positionV>
            <wp:extent cx="9880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980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wp:posOffset>
            </wp:positionV>
            <wp:extent cx="980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7101" w:space="540"/>
            <w:col w:w="1420"/>
          </w:cols>
          <w:pgMar w:left="1419" w:top="110" w:right="1419" w:bottom="1440" w:gutter="0" w:footer="0" w:header="0"/>
          <w:type w:val="continuous"/>
        </w:sectPr>
      </w:pPr>
    </w:p>
    <w:tbl>
      <w:tblPr>
        <w:tblLayout w:type="fixed"/>
        <w:tblInd w:w="1" w:type="dxa"/>
        <w:tblCellMar>
          <w:top w:w="0" w:type="dxa"/>
          <w:left w:w="0" w:type="dxa"/>
          <w:bottom w:w="0" w:type="dxa"/>
          <w:right w:w="0" w:type="dxa"/>
        </w:tblCellMar>
      </w:tblPr>
      <w:tr>
        <w:trPr>
          <w:trHeight w:val="20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shd w:val="clear" w:color="auto" w:fill="CCEEFF"/>
          </w:tcPr>
          <w:p>
            <w:pPr>
              <w:spacing w:after="0"/>
              <w:rPr>
                <w:sz w:val="17"/>
                <w:szCs w:val="17"/>
                <w:color w:val="auto"/>
              </w:rPr>
            </w:pPr>
          </w:p>
        </w:tc>
      </w:tr>
      <w:tr>
        <w:trPr>
          <w:trHeight w:val="20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tcBorders>
              <w:bottom w:val="single" w:sz="8" w:color="CCEEFF"/>
            </w:tcBorders>
          </w:tcPr>
          <w:p>
            <w:pPr>
              <w:spacing w:after="0"/>
              <w:rPr>
                <w:sz w:val="17"/>
                <w:szCs w:val="17"/>
                <w:color w:val="auto"/>
              </w:rPr>
            </w:pPr>
          </w:p>
        </w:tc>
      </w:tr>
      <w:tr>
        <w:trPr>
          <w:trHeight w:val="204"/>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85" w:lineRule="exact"/>
        <w:rPr>
          <w:sz w:val="20"/>
          <w:szCs w:val="20"/>
          <w:color w:val="auto"/>
        </w:rPr>
      </w:pPr>
    </w:p>
    <w:p>
      <w:pPr>
        <w:ind w:left="1" w:right="6680" w:hanging="1"/>
        <w:spacing w:after="0" w:line="460" w:lineRule="auto"/>
        <w:tabs>
          <w:tab w:leader="none" w:pos="259"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Arrangements Sanofi Collaboration Agreement</w:t>
      </w:r>
    </w:p>
    <w:p>
      <w:pPr>
        <w:spacing w:after="0" w:line="1" w:lineRule="exact"/>
        <w:rPr>
          <w:sz w:val="20"/>
          <w:szCs w:val="20"/>
          <w:color w:val="auto"/>
        </w:rPr>
      </w:pPr>
    </w:p>
    <w:p>
      <w:pPr>
        <w:ind w:left="1" w:right="240"/>
        <w:spacing w:after="0" w:line="228" w:lineRule="auto"/>
        <w:rPr>
          <w:sz w:val="20"/>
          <w:szCs w:val="20"/>
          <w:color w:val="auto"/>
        </w:rPr>
      </w:pPr>
      <w:r>
        <w:rPr>
          <w:rFonts w:ascii="Times New Roman" w:cs="Times New Roman" w:eastAsia="Times New Roman" w:hAnsi="Times New Roman"/>
          <w:sz w:val="17"/>
          <w:szCs w:val="17"/>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50" w:lineRule="exact"/>
        <w:rPr>
          <w:sz w:val="20"/>
          <w:szCs w:val="20"/>
          <w:color w:val="auto"/>
        </w:rPr>
      </w:pPr>
    </w:p>
    <w:p>
      <w:pPr>
        <w:ind w:left="1" w:right="120"/>
        <w:spacing w:after="0" w:line="228" w:lineRule="auto"/>
        <w:rPr>
          <w:sz w:val="20"/>
          <w:szCs w:val="20"/>
          <w:color w:val="auto"/>
        </w:rPr>
      </w:pPr>
      <w:r>
        <w:rPr>
          <w:rFonts w:ascii="Times New Roman" w:cs="Times New Roman" w:eastAsia="Times New Roman" w:hAnsi="Times New Roman"/>
          <w:sz w:val="17"/>
          <w:szCs w:val="17"/>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0" w:lineRule="exact"/>
        <w:rPr>
          <w:sz w:val="20"/>
          <w:szCs w:val="20"/>
          <w:color w:val="auto"/>
        </w:rPr>
      </w:pPr>
    </w:p>
    <w:p>
      <w:pPr>
        <w:ind w:left="1" w:right="240"/>
        <w:spacing w:after="0" w:line="228" w:lineRule="auto"/>
        <w:rPr>
          <w:sz w:val="20"/>
          <w:szCs w:val="20"/>
          <w:color w:val="auto"/>
        </w:rPr>
      </w:pPr>
      <w:r>
        <w:rPr>
          <w:rFonts w:ascii="Times New Roman" w:cs="Times New Roman" w:eastAsia="Times New Roman" w:hAnsi="Times New Roman"/>
          <w:sz w:val="17"/>
          <w:szCs w:val="17"/>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50" w:lineRule="exact"/>
        <w:rPr>
          <w:sz w:val="20"/>
          <w:szCs w:val="20"/>
          <w:color w:val="auto"/>
        </w:rPr>
      </w:pPr>
    </w:p>
    <w:p>
      <w:pPr>
        <w:ind w:left="1" w:right="160"/>
        <w:spacing w:after="0" w:line="222" w:lineRule="auto"/>
        <w:rPr>
          <w:sz w:val="20"/>
          <w:szCs w:val="20"/>
          <w:color w:val="auto"/>
        </w:rPr>
      </w:pPr>
      <w:r>
        <w:rPr>
          <w:rFonts w:ascii="Times New Roman" w:cs="Times New Roman" w:eastAsia="Times New Roman" w:hAnsi="Times New Roman"/>
          <w:sz w:val="17"/>
          <w:szCs w:val="17"/>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151" w:lineRule="exact"/>
        <w:rPr>
          <w:sz w:val="20"/>
          <w:szCs w:val="20"/>
          <w:color w:val="auto"/>
        </w:rPr>
      </w:pPr>
    </w:p>
    <w:p>
      <w:pPr>
        <w:ind w:left="1" w:right="60"/>
        <w:spacing w:after="0" w:line="173" w:lineRule="exact"/>
        <w:rPr>
          <w:sz w:val="20"/>
          <w:szCs w:val="20"/>
          <w:color w:val="auto"/>
        </w:rPr>
      </w:pPr>
      <w:r>
        <w:rPr>
          <w:rFonts w:ascii="Times New Roman" w:cs="Times New Roman" w:eastAsia="Times New Roman" w:hAnsi="Times New Roman"/>
          <w:sz w:val="17"/>
          <w:szCs w:val="17"/>
          <w:color w:val="auto"/>
        </w:rPr>
        <w:t>The research term for the first indication continues until the earlier of (a) the nomination of a development candidate for the initial indication or (b) the third anniversary of the agreement. The research term for the second indication (celiac disease) will expire upon the earlier of (a) the nomination of a development candidate for the second indication and (b) May 7, 2019. In the event that the Company is unable to complete its research obligations by the expiration of the applicable research term, its obligation will be limited to exercising commercially reasonable efforts to complete such research up to one year after the end of the research term. Each party is responsible for its own internal costs, as well as any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party or out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the Company for expenses incurred within certain approved limits.</w:t>
      </w:r>
    </w:p>
    <w:p>
      <w:pPr>
        <w:spacing w:after="0" w:line="14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Under the terms of the research collaboration portion of the Sanofi Agreement, the Company is required to use commercially</w:t>
      </w:r>
    </w:p>
    <w:p>
      <w:pPr>
        <w:ind w:left="1"/>
        <w:spacing w:after="0" w:line="205" w:lineRule="auto"/>
        <w:rPr>
          <w:sz w:val="20"/>
          <w:szCs w:val="20"/>
          <w:color w:val="auto"/>
        </w:rPr>
      </w:pPr>
      <w:r>
        <w:rPr>
          <w:rFonts w:ascii="Times New Roman" w:cs="Times New Roman" w:eastAsia="Times New Roman" w:hAnsi="Times New Roman"/>
          <w:sz w:val="17"/>
          <w:szCs w:val="17"/>
          <w:color w:val="auto"/>
        </w:rPr>
        <w:t>reasonable efforts to perform the activities set out for the Company in the research and development plans created and overseen by</w:t>
      </w:r>
    </w:p>
    <w:p>
      <w:pPr>
        <w:ind w:left="1"/>
        <w:spacing w:after="0" w:line="205" w:lineRule="auto"/>
        <w:rPr>
          <w:sz w:val="20"/>
          <w:szCs w:val="20"/>
          <w:color w:val="auto"/>
        </w:rPr>
      </w:pPr>
      <w:r>
        <w:rPr>
          <w:rFonts w:ascii="Times New Roman" w:cs="Times New Roman" w:eastAsia="Times New Roman" w:hAnsi="Times New Roman"/>
          <w:sz w:val="17"/>
          <w:szCs w:val="17"/>
          <w:color w:val="auto"/>
        </w:rPr>
        <w:t>a joint research committee. The Company is responsible for manufacturing all vaccines required for research, development and</w:t>
      </w:r>
    </w:p>
    <w:p>
      <w:pPr>
        <w:ind w:left="1"/>
        <w:spacing w:after="0" w:line="205" w:lineRule="auto"/>
        <w:rPr>
          <w:sz w:val="20"/>
          <w:szCs w:val="20"/>
          <w:color w:val="auto"/>
        </w:rPr>
      </w:pPr>
      <w:r>
        <w:rPr>
          <w:rFonts w:ascii="Times New Roman" w:cs="Times New Roman" w:eastAsia="Times New Roman" w:hAnsi="Times New Roman"/>
          <w:sz w:val="17"/>
          <w:szCs w:val="17"/>
          <w:color w:val="auto"/>
        </w:rPr>
        <w:t>commercialization of licensed products. Pursuant to the Sanofi Agreement, Sanofi has paid the Company an initial payment of</w:t>
      </w:r>
    </w:p>
    <w:p>
      <w:pPr>
        <w:ind w:left="1"/>
        <w:spacing w:after="0" w:line="206" w:lineRule="auto"/>
        <w:rPr>
          <w:sz w:val="20"/>
          <w:szCs w:val="20"/>
          <w:color w:val="auto"/>
        </w:rPr>
      </w:pPr>
      <w:r>
        <w:rPr>
          <w:rFonts w:ascii="Times New Roman" w:cs="Times New Roman" w:eastAsia="Times New Roman" w:hAnsi="Times New Roman"/>
          <w:sz w:val="17"/>
          <w:szCs w:val="17"/>
          <w:color w:val="auto"/>
        </w:rPr>
        <w:t>$2.0 million for the initial indication and an additional $2.0 million for the second indication of celiac disease. Sanofi is obligated to</w:t>
      </w:r>
    </w:p>
    <w:p>
      <w:pPr>
        <w:ind w:left="1"/>
        <w:spacing w:after="0" w:line="205" w:lineRule="auto"/>
        <w:rPr>
          <w:sz w:val="20"/>
          <w:szCs w:val="20"/>
          <w:color w:val="auto"/>
        </w:rPr>
      </w:pPr>
      <w:r>
        <w:rPr>
          <w:rFonts w:ascii="Times New Roman" w:cs="Times New Roman" w:eastAsia="Times New Roman" w:hAnsi="Times New Roman"/>
          <w:sz w:val="17"/>
          <w:szCs w:val="17"/>
          <w:color w:val="auto"/>
        </w:rPr>
        <w:t>make additional payments to the Company during preclinical research totaling up to $3.0 million for each indication, which has</w:t>
      </w:r>
    </w:p>
    <w:p>
      <w:pPr>
        <w:ind w:left="1"/>
        <w:spacing w:after="0" w:line="205" w:lineRule="auto"/>
        <w:rPr>
          <w:sz w:val="20"/>
          <w:szCs w:val="20"/>
          <w:color w:val="auto"/>
        </w:rPr>
      </w:pPr>
      <w:r>
        <w:rPr>
          <w:rFonts w:ascii="Times New Roman" w:cs="Times New Roman" w:eastAsia="Times New Roman" w:hAnsi="Times New Roman"/>
          <w:sz w:val="17"/>
          <w:szCs w:val="17"/>
          <w:color w:val="auto"/>
        </w:rPr>
        <w:t>been received for the food allergy indication. For each indication, the Company is also eligible for (i) a $5.0 million development</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candidate milestone payable to the Company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type w:val="continuous"/>
        </w:sectPr>
      </w:pPr>
    </w:p>
    <w:bookmarkStart w:id="25" w:name="page26"/>
    <w:bookmarkEnd w:id="25"/>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line="178" w:lineRule="exact"/>
        <w:rPr>
          <w:sz w:val="20"/>
          <w:szCs w:val="20"/>
          <w:color w:val="auto"/>
        </w:rPr>
      </w:pPr>
      <w:r>
        <w:rPr>
          <w:rFonts w:ascii="Times New Roman" w:cs="Times New Roman" w:eastAsia="Times New Roman" w:hAnsi="Times New Roman"/>
          <w:sz w:val="17"/>
          <w:szCs w:val="17"/>
          <w:color w:val="auto"/>
        </w:rPr>
        <w:t>at the start of preclinical development, (ii) further development milestones up to an aggregate of $127.0 million, which includes up to an aggregate of $57.0 million following the initiation of Phase I, Phase II and Phase III clinical trials for the indication and filing of the first biologic license application, more than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thirds of which is attributable to the initiation of the Phase 3 clinical trial and the filing of the first biologic license application, and an aggregate of $70.0 million upon achieving various regulatory approvals in the United States, European Union, Japan and Brazil, Russia, India or China, of which the majority is attributable to regulatory approvals in the United States, (iii) sales milestones of up to an aggregate of $170.0 million, and (iv) tiered royalties on annual net sales of licensed products at percentages ranging from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single to low double digits.</w:t>
      </w:r>
    </w:p>
    <w:p>
      <w:pPr>
        <w:spacing w:after="0" w:line="133"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7"/>
          <w:szCs w:val="17"/>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 However, the Company is in discussions with Sanofi to extend the research term for the first indication by one year (until November 27, 2016).</w:t>
      </w:r>
    </w:p>
    <w:p>
      <w:pPr>
        <w:spacing w:after="0" w:line="153"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revenue in the amount of $0.3 million and $0.5 million for the three months ended June 30, 2016 and 2015, respectively, and $0.4 million and $1.0 million for the six months ended June 30, 2016 and 2015,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Research and Collaboration Agreements</w:t>
      </w:r>
    </w:p>
    <w:p>
      <w:pPr>
        <w:spacing w:after="0" w:line="18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7"/>
          <w:szCs w:val="17"/>
          <w:color w:val="auto"/>
        </w:rPr>
        <w:t>The Company has entered into other research and collaboration agreements in 2016 and 2015 for which the Company recognized revenue in the amount less than $0.1 million for each of the three and six months ended June 30, 2016 and 2015.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Agreements</w:t>
      </w:r>
    </w:p>
    <w:p>
      <w:pPr>
        <w:spacing w:after="0" w:line="18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NIH</w:t>
      </w:r>
    </w:p>
    <w:p>
      <w:pPr>
        <w:spacing w:after="0" w:line="18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The Company has two grants through the NIH. The first grant, for an aggregate amount of $8.1 million, was awarded in May 2014 to support research in the development of a next generation vaccine for smoking cessation and relapse prevention. The Company recognized revenue in the amount of $1.2 million and $0.6 million for the three months ended June 30, 2016 and 2015, respectively, and $3.0 million and $1.0 million for the six months ended June 30, 2016 and 2015, respectively under the arrangement.</w:t>
      </w:r>
    </w:p>
    <w:p>
      <w:pPr>
        <w:spacing w:after="0" w:line="151"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17"/>
          <w:szCs w:val="17"/>
          <w:color w:val="auto"/>
        </w:rPr>
        <w:t>The second grant is for an aggregate amount of $0.2 million, which was awarded in September 2015 for the development of nanoparticles for immune tolerance to factor VIII. The Company recognized revenue in an amount less than $0.1 million for the three and six months ended June 30, 2016.</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JDRF</w:t>
      </w:r>
    </w:p>
    <w:p>
      <w:pPr>
        <w:spacing w:after="0" w:line="182" w:lineRule="exact"/>
        <w:rPr>
          <w:sz w:val="20"/>
          <w:szCs w:val="20"/>
          <w:color w:val="auto"/>
        </w:rPr>
      </w:pPr>
    </w:p>
    <w:p>
      <w:pPr>
        <w:jc w:val="both"/>
        <w:ind w:right="179"/>
        <w:spacing w:after="0" w:line="228" w:lineRule="auto"/>
        <w:rPr>
          <w:sz w:val="20"/>
          <w:szCs w:val="20"/>
          <w:color w:val="auto"/>
        </w:rPr>
      </w:pPr>
      <w:r>
        <w:rPr>
          <w:rFonts w:ascii="Times New Roman" w:cs="Times New Roman" w:eastAsia="Times New Roman" w:hAnsi="Times New Roman"/>
          <w:sz w:val="17"/>
          <w:szCs w:val="17"/>
          <w:color w:val="auto"/>
        </w:rPr>
        <w:t>The JDRF grant is a joint grant with Sanofi entered into in September 2014 for $0.4 million to conduct Type 1 Diabetes research. The Company recognized revenue in the amount of $0.1 million for each of the three months ended June 30, 2016 and 2015, and $0.1 million and $0.2 million for the six months ended June 30, 2016 and 2015,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Bill and Melinda Gates Foundation</w:t>
      </w:r>
    </w:p>
    <w:p>
      <w:pPr>
        <w:spacing w:after="0" w:line="182" w:lineRule="exact"/>
        <w:rPr>
          <w:sz w:val="20"/>
          <w:szCs w:val="20"/>
          <w:color w:val="auto"/>
        </w:rPr>
      </w:pPr>
    </w:p>
    <w:p>
      <w:pPr>
        <w:ind w:right="39"/>
        <w:spacing w:after="0" w:line="216" w:lineRule="auto"/>
        <w:rPr>
          <w:sz w:val="20"/>
          <w:szCs w:val="20"/>
          <w:color w:val="auto"/>
        </w:rPr>
      </w:pPr>
      <w:r>
        <w:rPr>
          <w:rFonts w:ascii="Times New Roman" w:cs="Times New Roman" w:eastAsia="Times New Roman" w:hAnsi="Times New Roman"/>
          <w:sz w:val="17"/>
          <w:szCs w:val="17"/>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is recognized on a proportional performance basis as it relates to employee time expended on the research, along reimbursement for external costs directly related to, and approved, by the grant terms. The Company recognized revenue in the amount of $0.1 million and less than $0.1 million for the three months ended June 30, 2016 and 2015, respectively, and $0.3 million and $0.1 million for the six months ended June 30, 2016 and 2015,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Minpromtorg</w:t>
      </w:r>
    </w:p>
    <w:p>
      <w:pPr>
        <w:spacing w:after="0" w:line="182" w:lineRule="exact"/>
        <w:rPr>
          <w:sz w:val="20"/>
          <w:szCs w:val="20"/>
          <w:color w:val="auto"/>
        </w:rPr>
      </w:pPr>
    </w:p>
    <w:p>
      <w:pPr>
        <w:ind w:right="59"/>
        <w:spacing w:after="0" w:line="216" w:lineRule="auto"/>
        <w:rPr>
          <w:sz w:val="20"/>
          <w:szCs w:val="20"/>
          <w:color w:val="auto"/>
        </w:rPr>
      </w:pPr>
      <w:r>
        <w:rPr>
          <w:rFonts w:ascii="Times New Roman" w:cs="Times New Roman" w:eastAsia="Times New Roman" w:hAnsi="Times New Roman"/>
          <w:sz w:val="17"/>
          <w:szCs w:val="17"/>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the clinical trial was delayed or terminated prior to completion. As a result of the penalty provision, the Company concluded the amounts received under the agreement were not fixed or determinable. In 2014, the Company terminated its plan to conduct the clinical trial in Russia subjecting the Company to the penalty obligation.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February 2015, the Company received an executed final settlement agreement from Minpromtorg that included the repayment of</w:t>
      </w:r>
    </w:p>
    <w:p>
      <w:pPr>
        <w:spacing w:after="0" w:line="205" w:lineRule="auto"/>
        <w:rPr>
          <w:sz w:val="20"/>
          <w:szCs w:val="20"/>
          <w:color w:val="auto"/>
        </w:rPr>
      </w:pPr>
      <w:r>
        <w:rPr>
          <w:rFonts w:ascii="Times New Roman" w:cs="Times New Roman" w:eastAsia="Times New Roman" w:hAnsi="Times New Roman"/>
          <w:sz w:val="17"/>
          <w:szCs w:val="17"/>
          <w:color w:val="auto"/>
        </w:rPr>
        <w:t>funds previously received by the Company totaling $0.2 million, and a penalty fee that equaled to 10% of the contract value, or</w:t>
      </w:r>
    </w:p>
    <w:p>
      <w:pPr>
        <w:spacing w:after="0" w:line="205" w:lineRule="auto"/>
        <w:rPr>
          <w:sz w:val="20"/>
          <w:szCs w:val="20"/>
          <w:color w:val="auto"/>
        </w:rPr>
      </w:pPr>
      <w:r>
        <w:rPr>
          <w:rFonts w:ascii="Times New Roman" w:cs="Times New Roman" w:eastAsia="Times New Roman" w:hAnsi="Times New Roman"/>
          <w:sz w:val="17"/>
          <w:szCs w:val="17"/>
          <w:color w:val="auto"/>
        </w:rPr>
        <w:t>$0.2 million. The Company paid the settlement payment in March 2015 and all mutual claims under the contract were terminated.</w:t>
      </w:r>
    </w:p>
    <w:p>
      <w:pPr>
        <w:spacing w:after="0" w:line="205" w:lineRule="auto"/>
        <w:rPr>
          <w:sz w:val="20"/>
          <w:szCs w:val="20"/>
          <w:color w:val="auto"/>
        </w:rPr>
      </w:pPr>
      <w:r>
        <w:rPr>
          <w:rFonts w:ascii="Times New Roman" w:cs="Times New Roman" w:eastAsia="Times New Roman" w:hAnsi="Times New Roman"/>
          <w:sz w:val="17"/>
          <w:szCs w:val="17"/>
          <w:color w:val="auto"/>
        </w:rPr>
        <w:t>According to the terms of the agreement, Minpromtorg has the right to audit the expenditure incurred under the agreement for a</w:t>
      </w:r>
    </w:p>
    <w:p>
      <w:pPr>
        <w:spacing w:after="0" w:line="206" w:lineRule="auto"/>
        <w:rPr>
          <w:sz w:val="20"/>
          <w:szCs w:val="20"/>
          <w:color w:val="auto"/>
        </w:rPr>
      </w:pPr>
      <w:r>
        <w:rPr>
          <w:rFonts w:ascii="Times New Roman" w:cs="Times New Roman" w:eastAsia="Times New Roman" w:hAnsi="Times New Roman"/>
          <w:sz w:val="17"/>
          <w:szCs w:val="17"/>
          <w:color w:val="auto"/>
        </w:rPr>
        <w:t>period up to three years from each research milestone date. All grant funding received in excess of the penalty settlement will</w:t>
      </w:r>
    </w:p>
    <w:p>
      <w:pPr>
        <w:spacing w:after="0" w:line="205" w:lineRule="auto"/>
        <w:rPr>
          <w:sz w:val="20"/>
          <w:szCs w:val="20"/>
          <w:color w:val="auto"/>
        </w:rPr>
      </w:pPr>
      <w:r>
        <w:rPr>
          <w:rFonts w:ascii="Times New Roman" w:cs="Times New Roman" w:eastAsia="Times New Roman" w:hAnsi="Times New Roman"/>
          <w:sz w:val="17"/>
          <w:szCs w:val="17"/>
          <w:color w:val="auto"/>
        </w:rPr>
        <w:t>remain as a liability on the balance sheet until such time the audit period has expired and at which time, the amount will be</w:t>
      </w:r>
    </w:p>
    <w:p>
      <w:pPr>
        <w:spacing w:after="0"/>
        <w:rPr>
          <w:sz w:val="20"/>
          <w:szCs w:val="20"/>
          <w:color w:val="auto"/>
        </w:rPr>
      </w:pPr>
      <w:r>
        <w:rPr>
          <w:rFonts w:ascii="Times New Roman" w:cs="Times New Roman" w:eastAsia="Times New Roman" w:hAnsi="Times New Roman"/>
          <w:sz w:val="17"/>
          <w:szCs w:val="17"/>
          <w:color w:val="auto"/>
        </w:rPr>
        <w:t>recognized as revenue. Through June 30, 2016, the Company received payments totaling approximately $1.4 million.</w:t>
      </w:r>
    </w:p>
    <w:p>
      <w:pPr>
        <w:spacing w:after="0" w:line="160" w:lineRule="exact"/>
        <w:rPr>
          <w:sz w:val="20"/>
          <w:szCs w:val="20"/>
          <w:color w:val="auto"/>
        </w:rPr>
      </w:pPr>
    </w:p>
    <w:p>
      <w:pPr>
        <w:ind w:right="139"/>
        <w:spacing w:after="0" w:line="228" w:lineRule="auto"/>
        <w:rPr>
          <w:sz w:val="20"/>
          <w:szCs w:val="20"/>
          <w:color w:val="auto"/>
        </w:rPr>
      </w:pPr>
      <w:r>
        <w:rPr>
          <w:rFonts w:ascii="Times New Roman" w:cs="Times New Roman" w:eastAsia="Times New Roman" w:hAnsi="Times New Roman"/>
          <w:sz w:val="17"/>
          <w:szCs w:val="17"/>
          <w:color w:val="auto"/>
        </w:rPr>
        <w:t>The first audit period expired on December 31, 2015, and as a result $0.4 million of revenue was recognized for the year ended December 31, 2015. The second audit expired during the six months ended June 30, 2016, and as a result $0.2 million of revenue was recognized for the six months ended June 30, 2016.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February 2015, the Company received an executed final settlement agreement from Minpromtorg that included the repayment of</w:t>
      </w:r>
    </w:p>
    <w:p>
      <w:pPr>
        <w:spacing w:after="0" w:line="205" w:lineRule="auto"/>
        <w:rPr>
          <w:sz w:val="20"/>
          <w:szCs w:val="20"/>
          <w:color w:val="auto"/>
        </w:rPr>
      </w:pPr>
      <w:r>
        <w:rPr>
          <w:rFonts w:ascii="Times New Roman" w:cs="Times New Roman" w:eastAsia="Times New Roman" w:hAnsi="Times New Roman"/>
          <w:sz w:val="17"/>
          <w:szCs w:val="17"/>
          <w:color w:val="auto"/>
        </w:rPr>
        <w:t>funds previously received by the Company totaling $0.2 million, and a penalty fee that equaled to 10% of the contract value, or</w:t>
      </w:r>
    </w:p>
    <w:p>
      <w:pPr>
        <w:spacing w:after="0" w:line="205" w:lineRule="auto"/>
        <w:rPr>
          <w:sz w:val="20"/>
          <w:szCs w:val="20"/>
          <w:color w:val="auto"/>
        </w:rPr>
      </w:pPr>
      <w:r>
        <w:rPr>
          <w:rFonts w:ascii="Times New Roman" w:cs="Times New Roman" w:eastAsia="Times New Roman" w:hAnsi="Times New Roman"/>
          <w:sz w:val="17"/>
          <w:szCs w:val="17"/>
          <w:color w:val="auto"/>
        </w:rPr>
        <w:t>$0.2 million. The Company paid the settlement payment in March 2015 and all mutual claims under the contract were terminated.</w:t>
      </w:r>
    </w:p>
    <w:p>
      <w:pPr>
        <w:spacing w:after="0" w:line="205" w:lineRule="auto"/>
        <w:rPr>
          <w:sz w:val="20"/>
          <w:szCs w:val="20"/>
          <w:color w:val="auto"/>
        </w:rPr>
      </w:pPr>
      <w:r>
        <w:rPr>
          <w:rFonts w:ascii="Times New Roman" w:cs="Times New Roman" w:eastAsia="Times New Roman" w:hAnsi="Times New Roman"/>
          <w:sz w:val="17"/>
          <w:szCs w:val="17"/>
          <w:color w:val="auto"/>
        </w:rPr>
        <w:t>According to the terms of the agreement, Minpromtorg has the right to audit the expenditure incurred under the agreement for a</w:t>
      </w:r>
    </w:p>
    <w:p>
      <w:pPr>
        <w:spacing w:after="0" w:line="206" w:lineRule="auto"/>
        <w:rPr>
          <w:sz w:val="20"/>
          <w:szCs w:val="20"/>
          <w:color w:val="auto"/>
        </w:rPr>
      </w:pPr>
      <w:r>
        <w:rPr>
          <w:rFonts w:ascii="Times New Roman" w:cs="Times New Roman" w:eastAsia="Times New Roman" w:hAnsi="Times New Roman"/>
          <w:sz w:val="17"/>
          <w:szCs w:val="17"/>
          <w:color w:val="auto"/>
        </w:rPr>
        <w:t>period up to three years from each research milestone date. All grant funding received in excess of the penalty settlement will</w:t>
      </w:r>
    </w:p>
    <w:p>
      <w:pPr>
        <w:spacing w:after="0" w:line="205" w:lineRule="auto"/>
        <w:rPr>
          <w:sz w:val="20"/>
          <w:szCs w:val="20"/>
          <w:color w:val="auto"/>
        </w:rPr>
      </w:pPr>
      <w:r>
        <w:rPr>
          <w:rFonts w:ascii="Times New Roman" w:cs="Times New Roman" w:eastAsia="Times New Roman" w:hAnsi="Times New Roman"/>
          <w:sz w:val="17"/>
          <w:szCs w:val="17"/>
          <w:color w:val="auto"/>
        </w:rPr>
        <w:t>remain as a liability on the balance sheet until such time the audit period has expired and at which time, the amount will be</w:t>
      </w:r>
    </w:p>
    <w:p>
      <w:pPr>
        <w:spacing w:after="0"/>
        <w:rPr>
          <w:sz w:val="20"/>
          <w:szCs w:val="20"/>
          <w:color w:val="auto"/>
        </w:rPr>
      </w:pPr>
      <w:r>
        <w:rPr>
          <w:rFonts w:ascii="Times New Roman" w:cs="Times New Roman" w:eastAsia="Times New Roman" w:hAnsi="Times New Roman"/>
          <w:sz w:val="17"/>
          <w:szCs w:val="17"/>
          <w:color w:val="auto"/>
        </w:rPr>
        <w:t>recognized as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Skolkovo</w:t>
      </w:r>
    </w:p>
    <w:p>
      <w:pPr>
        <w:spacing w:after="0" w:line="182" w:lineRule="exact"/>
        <w:rPr>
          <w:sz w:val="20"/>
          <w:szCs w:val="20"/>
          <w:color w:val="auto"/>
        </w:rPr>
      </w:pPr>
    </w:p>
    <w:p>
      <w:pPr>
        <w:ind w:right="19"/>
        <w:spacing w:after="0" w:line="218" w:lineRule="auto"/>
        <w:rPr>
          <w:sz w:val="20"/>
          <w:szCs w:val="20"/>
          <w:color w:val="auto"/>
        </w:rPr>
      </w:pPr>
      <w:r>
        <w:rPr>
          <w:rFonts w:ascii="Times New Roman" w:cs="Times New Roman" w:eastAsia="Times New Roman" w:hAnsi="Times New Roman"/>
          <w:sz w:val="17"/>
          <w:szCs w:val="17"/>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has received from Skolkovo $1.8 million through the six months ended June 30, 2016.</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39"/>
          </w:cols>
          <w:pgMar w:left="1420" w:top="110" w:right="1440" w:bottom="1440" w:gutter="0" w:footer="0" w:header="0"/>
        </w:sectPr>
      </w:pPr>
    </w:p>
    <w:bookmarkStart w:id="27" w:name="page28"/>
    <w:bookmarkEnd w:id="27"/>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right="40"/>
        <w:spacing w:after="0" w:line="216" w:lineRule="auto"/>
        <w:rPr>
          <w:sz w:val="20"/>
          <w:szCs w:val="20"/>
          <w:color w:val="auto"/>
        </w:rPr>
      </w:pPr>
      <w:r>
        <w:rPr>
          <w:rFonts w:ascii="Times New Roman" w:cs="Times New Roman" w:eastAsia="Times New Roman" w:hAnsi="Times New Roman"/>
          <w:sz w:val="17"/>
          <w:szCs w:val="17"/>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125" w:lineRule="exact"/>
        <w:rPr>
          <w:sz w:val="20"/>
          <w:szCs w:val="20"/>
          <w:color w:val="auto"/>
        </w:rPr>
      </w:pPr>
    </w:p>
    <w:p>
      <w:pPr>
        <w:ind w:left="1"/>
        <w:spacing w:after="0" w:line="196" w:lineRule="exact"/>
        <w:rPr>
          <w:sz w:val="20"/>
          <w:szCs w:val="20"/>
          <w:color w:val="auto"/>
        </w:rPr>
      </w:pPr>
      <w:r>
        <w:rPr>
          <w:rFonts w:ascii="Times New Roman" w:cs="Times New Roman" w:eastAsia="Times New Roman" w:hAnsi="Times New Roman"/>
          <w:sz w:val="17"/>
          <w:szCs w:val="17"/>
          <w:b w:val="1"/>
          <w:bCs w:val="1"/>
          <w:color w:val="auto"/>
        </w:rPr>
        <w:t>13. Related</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Party Transactions</w:t>
      </w:r>
    </w:p>
    <w:p>
      <w:pPr>
        <w:spacing w:after="0" w:line="206" w:lineRule="exact"/>
        <w:rPr>
          <w:sz w:val="20"/>
          <w:szCs w:val="20"/>
          <w:color w:val="auto"/>
        </w:rPr>
      </w:pPr>
    </w:p>
    <w:p>
      <w:pPr>
        <w:ind w:left="1" w:right="100"/>
        <w:spacing w:after="0" w:line="216" w:lineRule="auto"/>
        <w:rPr>
          <w:sz w:val="20"/>
          <w:szCs w:val="20"/>
          <w:color w:val="auto"/>
        </w:rPr>
      </w:pPr>
      <w:r>
        <w:rPr>
          <w:rFonts w:ascii="Times New Roman" w:cs="Times New Roman" w:eastAsia="Times New Roman" w:hAnsi="Times New Roman"/>
          <w:sz w:val="17"/>
          <w:szCs w:val="17"/>
          <w:color w:val="auto"/>
        </w:rPr>
        <w:t>As part of the Series B Preferred and Series D Preferred financings (as described in Note 9), the Company’s landlord (the “Landlord”) purchased 49,254 shares of Series B Preferred at $2.0303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9). The Landlord paid the same price as the price paid by other investors in each of these Preferred Stock purchases. At the IPO, all preferred stock was converted to common stock.</w:t>
      </w:r>
    </w:p>
    <w:p>
      <w:pPr>
        <w:spacing w:after="0" w:line="153" w:lineRule="exact"/>
        <w:rPr>
          <w:sz w:val="20"/>
          <w:szCs w:val="20"/>
          <w:color w:val="auto"/>
        </w:rPr>
      </w:pPr>
    </w:p>
    <w:p>
      <w:pPr>
        <w:ind w:left="1" w:right="360"/>
        <w:spacing w:after="0" w:line="239" w:lineRule="auto"/>
        <w:rPr>
          <w:sz w:val="20"/>
          <w:szCs w:val="20"/>
          <w:color w:val="auto"/>
        </w:rPr>
      </w:pPr>
      <w:r>
        <w:rPr>
          <w:rFonts w:ascii="Times New Roman" w:cs="Times New Roman" w:eastAsia="Times New Roman" w:hAnsi="Times New Roman"/>
          <w:sz w:val="17"/>
          <w:szCs w:val="17"/>
          <w:color w:val="auto"/>
        </w:rPr>
        <w:t>The Company incurred expenses for consulting services provided by its founders totaling $0.1 million during each of the three months ended June 30, 2016 and 2015, and $0.2 million for each of the six months ended June 30, 2016 and 2015.</w:t>
      </w:r>
    </w:p>
    <w:p>
      <w:pPr>
        <w:spacing w:after="0" w:line="147" w:lineRule="exact"/>
        <w:rPr>
          <w:sz w:val="20"/>
          <w:szCs w:val="20"/>
          <w:color w:val="auto"/>
        </w:rPr>
      </w:pPr>
    </w:p>
    <w:p>
      <w:pPr>
        <w:ind w:left="261" w:hanging="261"/>
        <w:spacing w:after="0"/>
        <w:tabs>
          <w:tab w:leader="none" w:pos="26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Technology License Agreements</w:t>
      </w:r>
    </w:p>
    <w:p>
      <w:pPr>
        <w:spacing w:after="0" w:line="177" w:lineRule="exact"/>
        <w:rPr>
          <w:rFonts w:ascii="Times New Roman" w:cs="Times New Roman" w:eastAsia="Times New Roman" w:hAnsi="Times New Roman"/>
          <w:sz w:val="17"/>
          <w:szCs w:val="17"/>
          <w:b w:val="1"/>
          <w:bCs w:val="1"/>
          <w:color w:val="auto"/>
        </w:rPr>
      </w:pPr>
    </w:p>
    <w:p>
      <w:pPr>
        <w:ind w:left="1"/>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MIT</w:t>
      </w:r>
    </w:p>
    <w:p>
      <w:pPr>
        <w:spacing w:after="0" w:line="182" w:lineRule="exact"/>
        <w:rPr>
          <w:sz w:val="20"/>
          <w:szCs w:val="20"/>
          <w:color w:val="auto"/>
        </w:rPr>
      </w:pPr>
    </w:p>
    <w:p>
      <w:pPr>
        <w:ind w:left="1" w:right="160"/>
        <w:spacing w:after="0" w:line="176" w:lineRule="exact"/>
        <w:rPr>
          <w:sz w:val="20"/>
          <w:szCs w:val="20"/>
          <w:color w:val="auto"/>
        </w:rPr>
      </w:pPr>
      <w:r>
        <w:rPr>
          <w:rFonts w:ascii="Times New Roman" w:cs="Times New Roman" w:eastAsia="Times New Roman" w:hAnsi="Times New Roman"/>
          <w:sz w:val="17"/>
          <w:szCs w:val="17"/>
          <w:color w:val="auto"/>
        </w:rPr>
        <w:t>On November 25, 2008, the Company entered into an Exclusive Patent License agreement with the Massachusetts Institute of Technology (“MIT”). The Company received an exclusive royalty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cross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expense in 2008.</w:t>
      </w:r>
    </w:p>
    <w:p>
      <w:pPr>
        <w:spacing w:after="0" w:line="13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Shenyang Sunshine Pharmaceutical Co., Ltd</w:t>
      </w:r>
    </w:p>
    <w:p>
      <w:pPr>
        <w:spacing w:after="0" w:line="182" w:lineRule="exact"/>
        <w:rPr>
          <w:sz w:val="20"/>
          <w:szCs w:val="20"/>
          <w:color w:val="auto"/>
        </w:rPr>
      </w:pPr>
    </w:p>
    <w:p>
      <w:pPr>
        <w:ind w:left="1"/>
        <w:spacing w:after="0" w:line="172" w:lineRule="exact"/>
        <w:rPr>
          <w:sz w:val="20"/>
          <w:szCs w:val="20"/>
          <w:color w:val="auto"/>
        </w:rPr>
      </w:pPr>
      <w:r>
        <w:rPr>
          <w:rFonts w:ascii="Times New Roman" w:cs="Times New Roman" w:eastAsia="Times New Roman" w:hAnsi="Times New Roman"/>
          <w:sz w:val="17"/>
          <w:szCs w:val="17"/>
          <w:color w:val="auto"/>
        </w:rPr>
        <w:t>In May 2014, the Company entered into a license agreement with Shenyang Sunshine Pharmaceutical Co., Ltd., (“3SBio”) which is referred to as the 3SBio License. Pursuant to the 3SBio License, the Company was granted an exclusive license to certain pegsiticase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patents and related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owned or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5" w:lineRule="exact"/>
        <w:rPr>
          <w:sz w:val="20"/>
          <w:szCs w:val="20"/>
          <w:color w:val="auto"/>
        </w:rPr>
      </w:pPr>
    </w:p>
    <w:p>
      <w:pPr>
        <w:ind w:left="1" w:right="40"/>
        <w:spacing w:after="0" w:line="180" w:lineRule="exact"/>
        <w:rPr>
          <w:sz w:val="20"/>
          <w:szCs w:val="20"/>
          <w:color w:val="auto"/>
        </w:rPr>
      </w:pPr>
      <w:r>
        <w:rPr>
          <w:rFonts w:ascii="Times New Roman" w:cs="Times New Roman" w:eastAsia="Times New Roman" w:hAnsi="Times New Roman"/>
          <w:sz w:val="17"/>
          <w:szCs w:val="17"/>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payments under the 3SBio</w:t>
      </w: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1"/>
          </w:cols>
          <w:pgMar w:left="1419" w:top="110" w:right="143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License. The Company is required to make future payments to 3SBio contingent upon the occurrence of events related to the</w:t>
      </w:r>
    </w:p>
    <w:p>
      <w:pPr>
        <w:spacing w:after="0" w:line="205" w:lineRule="auto"/>
        <w:rPr>
          <w:sz w:val="20"/>
          <w:szCs w:val="20"/>
          <w:color w:val="auto"/>
        </w:rPr>
      </w:pPr>
      <w:r>
        <w:rPr>
          <w:rFonts w:ascii="Times New Roman" w:cs="Times New Roman" w:eastAsia="Times New Roman" w:hAnsi="Times New Roman"/>
          <w:sz w:val="17"/>
          <w:szCs w:val="17"/>
          <w:color w:val="auto"/>
        </w:rPr>
        <w:t>achievement of clinical and regulatory approval milestones of up to an aggregate of $21.0 million for products containing the</w:t>
      </w:r>
    </w:p>
    <w:p>
      <w:pPr>
        <w:spacing w:after="0" w:line="205" w:lineRule="auto"/>
        <w:rPr>
          <w:sz w:val="20"/>
          <w:szCs w:val="20"/>
          <w:color w:val="auto"/>
        </w:rPr>
      </w:pPr>
      <w:r>
        <w:rPr>
          <w:rFonts w:ascii="Times New Roman" w:cs="Times New Roman" w:eastAsia="Times New Roman" w:hAnsi="Times New Roman"/>
          <w:sz w:val="17"/>
          <w:szCs w:val="17"/>
          <w:color w:val="auto"/>
        </w:rPr>
        <w:t>Company’s SVP technology, and up to an aggregate of $41.5 million for products without the Company’s SVP technology. The</w:t>
      </w:r>
    </w:p>
    <w:p>
      <w:pPr>
        <w:spacing w:after="0" w:line="167" w:lineRule="exact"/>
        <w:rPr>
          <w:sz w:val="20"/>
          <w:szCs w:val="20"/>
          <w:color w:val="auto"/>
        </w:rPr>
      </w:pPr>
      <w:r>
        <w:rPr>
          <w:rFonts w:ascii="Times New Roman" w:cs="Times New Roman" w:eastAsia="Times New Roman" w:hAnsi="Times New Roman"/>
          <w:sz w:val="17"/>
          <w:szCs w:val="17"/>
          <w:color w:val="auto"/>
        </w:rPr>
        <w:t>Company is also required to pay 3SBio tiered royalties on annual worldwide net sales (on a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and</w:t>
      </w:r>
    </w:p>
    <w:p>
      <w:pPr>
        <w:spacing w:after="0" w:line="168" w:lineRule="exact"/>
        <w:rPr>
          <w:sz w:val="20"/>
          <w:szCs w:val="20"/>
          <w:color w:val="auto"/>
        </w:rPr>
      </w:pPr>
      <w:r>
        <w:rPr>
          <w:rFonts w:ascii="Times New Roman" w:cs="Times New Roman" w:eastAsia="Times New Roman" w:hAnsi="Times New Roman"/>
          <w:sz w:val="17"/>
          <w:szCs w:val="17"/>
          <w:color w:val="auto"/>
        </w:rPr>
        <w:t>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product basis) related to the pegsiticase component of products at percentages ranging from the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mid single digits</w:t>
      </w:r>
    </w:p>
    <w:p>
      <w:pPr>
        <w:spacing w:after="0" w:line="167" w:lineRule="exact"/>
        <w:rPr>
          <w:sz w:val="20"/>
          <w:szCs w:val="20"/>
          <w:color w:val="auto"/>
        </w:rPr>
      </w:pPr>
      <w:r>
        <w:rPr>
          <w:rFonts w:ascii="Times New Roman" w:cs="Times New Roman" w:eastAsia="Times New Roman" w:hAnsi="Times New Roman"/>
          <w:sz w:val="17"/>
          <w:szCs w:val="17"/>
          <w:color w:val="auto"/>
        </w:rPr>
        <w:t>for products containing the Company’s SVP technology, and a range of no more than ten percentage points from the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single</w:t>
      </w:r>
    </w:p>
    <w:p>
      <w:pPr>
        <w:spacing w:after="0" w:line="167" w:lineRule="exact"/>
        <w:rPr>
          <w:sz w:val="20"/>
          <w:szCs w:val="20"/>
          <w:color w:val="auto"/>
        </w:rPr>
      </w:pPr>
      <w:r>
        <w:rPr>
          <w:rFonts w:ascii="Times New Roman" w:cs="Times New Roman" w:eastAsia="Times New Roman" w:hAnsi="Times New Roman"/>
          <w:sz w:val="17"/>
          <w:szCs w:val="17"/>
          <w:color w:val="auto"/>
        </w:rPr>
        <w:t>digits to low double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digits for products without the Company’s SVP technology. The Company will pay these royalties to 3SBio,</w:t>
      </w:r>
    </w:p>
    <w:p>
      <w:pPr>
        <w:spacing w:after="0" w:line="168" w:lineRule="exact"/>
        <w:rPr>
          <w:sz w:val="20"/>
          <w:szCs w:val="20"/>
          <w:color w:val="auto"/>
        </w:rPr>
      </w:pPr>
      <w:r>
        <w:rPr>
          <w:rFonts w:ascii="Times New Roman" w:cs="Times New Roman" w:eastAsia="Times New Roman" w:hAnsi="Times New Roman"/>
          <w:sz w:val="17"/>
          <w:szCs w:val="17"/>
          <w:color w:val="auto"/>
        </w:rPr>
        <w:t>subject to specified reductions, on a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and 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product basis until the later of (i) the date that all of the</w:t>
      </w:r>
    </w:p>
    <w:p>
      <w:pPr>
        <w:spacing w:after="0" w:line="205" w:lineRule="auto"/>
        <w:rPr>
          <w:sz w:val="20"/>
          <w:szCs w:val="20"/>
          <w:color w:val="auto"/>
        </w:rPr>
      </w:pPr>
      <w:r>
        <w:rPr>
          <w:rFonts w:ascii="Times New Roman" w:cs="Times New Roman" w:eastAsia="Times New Roman" w:hAnsi="Times New Roman"/>
          <w:sz w:val="17"/>
          <w:szCs w:val="17"/>
          <w:color w:val="auto"/>
        </w:rPr>
        <w:t>patent rights for that product have expired in that country, or (ii) a specified number of years from the first commercial sale of such</w:t>
      </w:r>
    </w:p>
    <w:p>
      <w:pPr>
        <w:spacing w:after="0"/>
        <w:rPr>
          <w:sz w:val="20"/>
          <w:szCs w:val="20"/>
          <w:color w:val="auto"/>
        </w:rPr>
      </w:pPr>
      <w:r>
        <w:rPr>
          <w:rFonts w:ascii="Times New Roman" w:cs="Times New Roman" w:eastAsia="Times New Roman" w:hAnsi="Times New Roman"/>
          <w:sz w:val="17"/>
          <w:szCs w:val="17"/>
          <w:color w:val="auto"/>
        </w:rPr>
        <w:t>product in such country.</w:t>
      </w:r>
    </w:p>
    <w:p>
      <w:pPr>
        <w:spacing w:after="0" w:line="160" w:lineRule="exact"/>
        <w:rPr>
          <w:sz w:val="20"/>
          <w:szCs w:val="20"/>
          <w:color w:val="auto"/>
        </w:rPr>
      </w:pPr>
    </w:p>
    <w:p>
      <w:pPr>
        <w:spacing w:after="0" w:line="176" w:lineRule="exact"/>
        <w:rPr>
          <w:sz w:val="20"/>
          <w:szCs w:val="20"/>
          <w:color w:val="auto"/>
        </w:rPr>
      </w:pPr>
      <w:r>
        <w:rPr>
          <w:rFonts w:ascii="Times New Roman" w:cs="Times New Roman" w:eastAsia="Times New Roman" w:hAnsi="Times New Roman"/>
          <w:sz w:val="17"/>
          <w:szCs w:val="17"/>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or 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product basis in certain circumstances. The Company may also terminate the 3SBio License on a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or 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product basis for any reason effective upon 60 days’ prior written notice to 3SBio or, with respect to a given product, immediately upon written notice to 3SBio if the Company identifies a safety or efficacy concern related to such product.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Massachusetts Eye and Ear Infirmary and The Schepens Eye Research Institute, Inc.</w:t>
      </w:r>
    </w:p>
    <w:p>
      <w:pPr>
        <w:spacing w:after="0" w:line="182" w:lineRule="exact"/>
        <w:rPr>
          <w:sz w:val="20"/>
          <w:szCs w:val="20"/>
          <w:color w:val="auto"/>
        </w:rPr>
      </w:pPr>
    </w:p>
    <w:p>
      <w:pPr>
        <w:ind w:right="100"/>
        <w:spacing w:after="0" w:line="176" w:lineRule="exact"/>
        <w:rPr>
          <w:sz w:val="20"/>
          <w:szCs w:val="20"/>
          <w:color w:val="auto"/>
        </w:rPr>
      </w:pPr>
      <w:r>
        <w:rPr>
          <w:rFonts w:ascii="Times New Roman" w:cs="Times New Roman" w:eastAsia="Times New Roman" w:hAnsi="Times New Roman"/>
          <w:sz w:val="17"/>
          <w:szCs w:val="17"/>
          <w:color w:val="auto"/>
        </w:rPr>
        <w:t>In May 2016, the Company entered into a license agreement with the Massachusetts Eye and Ear Infirmary and The Schepens Eye Research Institute, Inc., (collectively, “MEE”)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owned or controlled by MEE, for use of Anc80 gene therapy vectors for gene augmentation therapies expressing certain target sequences.</w:t>
      </w:r>
    </w:p>
    <w:p>
      <w:pPr>
        <w:spacing w:after="0" w:line="153"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17"/>
          <w:szCs w:val="17"/>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5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7"/>
          <w:szCs w:val="17"/>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54" w:lineRule="exact"/>
        <w:rPr>
          <w:sz w:val="20"/>
          <w:szCs w:val="20"/>
          <w:color w:val="auto"/>
        </w:rPr>
      </w:pPr>
    </w:p>
    <w:p>
      <w:pPr>
        <w:ind w:right="40"/>
        <w:spacing w:after="0" w:line="174" w:lineRule="exact"/>
        <w:rPr>
          <w:sz w:val="20"/>
          <w:szCs w:val="20"/>
          <w:color w:val="auto"/>
        </w:rPr>
      </w:pPr>
      <w:r>
        <w:rPr>
          <w:rFonts w:ascii="Times New Roman" w:cs="Times New Roman" w:eastAsia="Times New Roman" w:hAnsi="Times New Roman"/>
          <w:sz w:val="17"/>
          <w:szCs w:val="17"/>
          <w:color w:val="auto"/>
        </w:rPr>
        <w:t>Pursuant to the MEE Agreement, the Company agreed to pay MEE a license fee in the low six figures, annual license maintenance fees ranging from the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twenty thousands to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licensed product basis, totaling up to an aggregate of between $4,175,000 to $37,025,000 and sales milestones on a licensed 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licensed product basis, totaling up to an aggregate of between $50,000,000 to $70,000,000; tiered royalties on a licensed 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licensed product and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basis equal to a percentage of net sales ranging from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single digits to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teens, subject to the prevalence of the targeted disease and certain reductions; and a percentage, in a range expected to be in the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six figures to mid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six figures, depending on the prevalence of the targeted disease.</w:t>
      </w:r>
    </w:p>
    <w:p>
      <w:pPr>
        <w:spacing w:after="0" w:line="13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The MEE License will continue until the expiration of the last to expire of the patent rights licensed thereunder. The Company may terminate the MEE License in whole or in part upon prior written notice. MEE may terminate the MEE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59" w:lineRule="exact"/>
        <w:rPr>
          <w:sz w:val="20"/>
          <w:szCs w:val="20"/>
          <w:color w:val="auto"/>
        </w:rPr>
      </w:pPr>
    </w:p>
    <w:p>
      <w:pPr>
        <w:ind w:right="140"/>
        <w:spacing w:after="0" w:line="180" w:lineRule="exact"/>
        <w:rPr>
          <w:sz w:val="20"/>
          <w:szCs w:val="20"/>
          <w:color w:val="auto"/>
        </w:rPr>
      </w:pPr>
      <w:r>
        <w:rPr>
          <w:rFonts w:ascii="Times New Roman" w:cs="Times New Roman" w:eastAsia="Times New Roman" w:hAnsi="Times New Roman"/>
          <w:sz w:val="17"/>
          <w:szCs w:val="17"/>
          <w:color w:val="auto"/>
        </w:rPr>
        <w:t>License on a target sequence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provide for any income taxes in any of the three or six month periods ended June 30, 2016 or 2015.</w:t>
      </w:r>
    </w:p>
    <w:p>
      <w:pPr>
        <w:spacing w:after="0" w:line="203"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the realizability of its U.S. net deferred tax assets. As required by the provisions of ASC 740, Income Taxes, management has determined that it is more-likely-than-not that the Company will not utilize the benefits of federal and state U.S. net deferred tax assets for financial reporting purposes. Accordingly, the net deferred tax assets are subject to a valuation allowance at June 30, 2016 and December 31, 2015.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401(k) Savings Plan</w:t>
      </w:r>
    </w:p>
    <w:p>
      <w:pPr>
        <w:spacing w:after="0" w:line="153" w:lineRule="exact"/>
        <w:rPr>
          <w:sz w:val="20"/>
          <w:szCs w:val="20"/>
          <w:color w:val="auto"/>
        </w:rPr>
      </w:pPr>
    </w:p>
    <w:p>
      <w:pPr>
        <w:ind w:right="20"/>
        <w:spacing w:after="0" w:line="184" w:lineRule="exact"/>
        <w:rPr>
          <w:sz w:val="20"/>
          <w:szCs w:val="20"/>
          <w:color w:val="auto"/>
        </w:rPr>
      </w:pPr>
      <w:r>
        <w:rPr>
          <w:rFonts w:ascii="Times New Roman" w:cs="Times New Roman" w:eastAsia="Times New Roman" w:hAnsi="Times New Roman"/>
          <w:sz w:val="17"/>
          <w:szCs w:val="17"/>
          <w:color w:val="auto"/>
        </w:rPr>
        <w:t>The Company maintains a defined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154" w:lineRule="exact"/>
        <w:rPr>
          <w:sz w:val="20"/>
          <w:szCs w:val="20"/>
          <w:color w:val="auto"/>
        </w:rPr>
      </w:pPr>
    </w:p>
    <w:p>
      <w:pPr>
        <w:jc w:val="both"/>
        <w:ind w:right="100"/>
        <w:spacing w:after="0" w:line="228" w:lineRule="auto"/>
        <w:rPr>
          <w:sz w:val="20"/>
          <w:szCs w:val="20"/>
          <w:color w:val="auto"/>
        </w:rPr>
      </w:pPr>
      <w:r>
        <w:rPr>
          <w:rFonts w:ascii="Times New Roman" w:cs="Times New Roman" w:eastAsia="Times New Roman" w:hAnsi="Times New Roman"/>
          <w:sz w:val="17"/>
          <w:szCs w:val="17"/>
          <w:color w:val="auto"/>
        </w:rPr>
        <w:t>Contributions by the Company totaling less than $0.1 million for the three months ended June 30, 2016 and 2015, and for each of the six months ended June 30, 2016 and 2015, have been recorded in the consolidated statements of operations and comprehensive loss.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Subsequent Events</w:t>
      </w:r>
    </w:p>
    <w:p>
      <w:pPr>
        <w:spacing w:after="0" w:line="18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On July 21, 2016, the underwriters exercised in part their option to purchase additional shares pursuant to the underwriting agreement relating to the Company’s registration statement filed on June 21, 2016. On July 25, 2016, the Company closed the underwriters’ over-allotment option and the underwriters purchased 289,633 additional common shares of the Company at a price to the public of $14.00 per share. The gross proceeds from this sale was $4.1 million, providing $3.7 million net proceeds to the Company after deducting underwriting discounts and commissions of $0.3 million paid by the Company and offering expenses.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30" w:name="page31"/>
    <w:bookmarkEnd w:id="30"/>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78" w:lineRule="exact"/>
        <w:rPr>
          <w:sz w:val="20"/>
          <w:szCs w:val="20"/>
          <w:color w:val="auto"/>
        </w:rPr>
      </w:pPr>
    </w:p>
    <w:p>
      <w:pPr>
        <w:ind w:left="1" w:right="80" w:firstLine="396"/>
        <w:spacing w:after="0" w:line="21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 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3" w:lineRule="exact"/>
        <w:rPr>
          <w:sz w:val="20"/>
          <w:szCs w:val="20"/>
          <w:color w:val="auto"/>
        </w:rPr>
      </w:pPr>
    </w:p>
    <w:p>
      <w:pPr>
        <w:ind w:left="1" w:right="40"/>
        <w:spacing w:after="0" w:line="173" w:lineRule="exact"/>
        <w:rPr>
          <w:sz w:val="20"/>
          <w:szCs w:val="20"/>
          <w:color w:val="auto"/>
        </w:rPr>
      </w:pPr>
      <w:r>
        <w:rPr>
          <w:rFonts w:ascii="Times New Roman" w:cs="Times New Roman" w:eastAsia="Times New Roman" w:hAnsi="Times New Roman"/>
          <w:sz w:val="17"/>
          <w:szCs w:val="17"/>
          <w:color w:val="auto"/>
        </w:rPr>
        <w:t>We are a clinical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immune tolerance to mitigate the formation of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drug antibodies, or ADAs, in response to life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sustaining biologic drugs. We believe our SVP technology has the potential for broad applications to both enhance existing biologic drugs and enable novel therapies. Our lead product candidate,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is currently in a comprehensive Phase 1/2 clinical program. The Phase 1/2 clinical program is comprised of two Phase 1 clinical trials and a Phase 2 clinical trial, and is designed to evaluate the ability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212 to control uric acid levels and mitigate the formation of ADAs. Based on preliminary data from our ongoing Phase 1b clinical trial, we believe that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w:t>
      </w:r>
    </w:p>
    <w:p>
      <w:pPr>
        <w:spacing w:after="0" w:line="152" w:lineRule="exact"/>
        <w:rPr>
          <w:sz w:val="20"/>
          <w:szCs w:val="20"/>
          <w:color w:val="auto"/>
        </w:rPr>
      </w:pPr>
    </w:p>
    <w:p>
      <w:pPr>
        <w:ind w:left="1" w:right="120"/>
        <w:spacing w:after="0" w:line="215" w:lineRule="auto"/>
        <w:rPr>
          <w:sz w:val="20"/>
          <w:szCs w:val="20"/>
          <w:color w:val="auto"/>
        </w:rPr>
      </w:pPr>
      <w:r>
        <w:rPr>
          <w:rFonts w:ascii="Times New Roman" w:cs="Times New Roman" w:eastAsia="Times New Roman" w:hAnsi="Times New Roman"/>
          <w:sz w:val="17"/>
          <w:szCs w:val="17"/>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50" w:lineRule="exact"/>
        <w:rPr>
          <w:sz w:val="20"/>
          <w:szCs w:val="20"/>
          <w:color w:val="auto"/>
        </w:rPr>
      </w:pPr>
    </w:p>
    <w:p>
      <w:pPr>
        <w:ind w:left="1"/>
        <w:spacing w:after="0" w:line="222" w:lineRule="auto"/>
        <w:rPr>
          <w:sz w:val="20"/>
          <w:szCs w:val="20"/>
          <w:color w:val="auto"/>
        </w:rPr>
      </w:pPr>
      <w:r>
        <w:rPr>
          <w:rFonts w:ascii="Times New Roman" w:cs="Times New Roman" w:eastAsia="Times New Roman" w:hAnsi="Times New Roman"/>
          <w:sz w:val="17"/>
          <w:szCs w:val="17"/>
          <w:color w:val="auto"/>
        </w:rPr>
        <w:t>Since inception, we have incurred significant operating losses. We incurred net losses of $6.9 million for the three months ended June 30, 2016 and 2015, and $14.4 million and 12.6 million for the six months ended June 30, 2016 and 2015 respectively. As of June 30, 2016, we had an accumulated deficit of $129.8 million. We expect to continue incurring significant expenses and operating losses for at least the next several years as we:</w:t>
      </w:r>
    </w:p>
    <w:p>
      <w:pPr>
        <w:spacing w:after="0" w:line="123" w:lineRule="exact"/>
        <w:rPr>
          <w:sz w:val="20"/>
          <w:szCs w:val="20"/>
          <w:color w:val="auto"/>
        </w:rPr>
      </w:pPr>
    </w:p>
    <w:p>
      <w:pPr>
        <w:ind w:left="101" w:hanging="101"/>
        <w:spacing w:after="0" w:line="196" w:lineRule="exact"/>
        <w:tabs>
          <w:tab w:leader="none" w:pos="10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and expand clinical trials for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our lead product candidate;</w:t>
      </w:r>
    </w:p>
    <w:p>
      <w:pPr>
        <w:spacing w:after="0" w:line="102"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the research and development of our other product candidates;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 for any product candidates that successfully complete clinical trials;</w:t>
      </w:r>
    </w:p>
    <w:p>
      <w:pPr>
        <w:spacing w:after="0" w:line="46" w:lineRule="exact"/>
        <w:rPr>
          <w:rFonts w:ascii="Times New Roman" w:cs="Times New Roman" w:eastAsia="Times New Roman" w:hAnsi="Times New Roman"/>
          <w:sz w:val="17"/>
          <w:szCs w:val="17"/>
          <w:color w:val="auto"/>
        </w:rPr>
      </w:pPr>
    </w:p>
    <w:p>
      <w:pPr>
        <w:ind w:left="81" w:right="700" w:hanging="81"/>
        <w:spacing w:after="0" w:line="209" w:lineRule="exact"/>
        <w:tabs>
          <w:tab w:leader="none" w:pos="8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establish a sales, marketing and distribution infrastructure and scale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 external manufacturing capabilities to commercialize any products for which we may obtain regulatory approval;</w:t>
      </w:r>
    </w:p>
    <w:p>
      <w:pPr>
        <w:spacing w:after="0" w:line="48"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staff, including clinical, scientific, operational and financial personnel, to execute our business plan; and</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31" w:name="page32"/>
    <w:bookmarkEnd w:id="31"/>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81" w:right="720" w:hanging="81"/>
        <w:spacing w:after="0" w:line="239" w:lineRule="auto"/>
        <w:tabs>
          <w:tab w:leader="none" w:pos="8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1" w:lineRule="exact"/>
        <w:rPr>
          <w:sz w:val="20"/>
          <w:szCs w:val="20"/>
          <w:color w:val="auto"/>
        </w:rPr>
      </w:pPr>
    </w:p>
    <w:p>
      <w:pPr>
        <w:ind w:left="1"/>
        <w:spacing w:after="0" w:line="218"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54" w:lineRule="exact"/>
        <w:rPr>
          <w:sz w:val="20"/>
          <w:szCs w:val="20"/>
          <w:color w:val="auto"/>
        </w:rPr>
      </w:pPr>
    </w:p>
    <w:p>
      <w:pPr>
        <w:ind w:left="1" w:right="240"/>
        <w:spacing w:after="0" w:line="228" w:lineRule="auto"/>
        <w:rPr>
          <w:sz w:val="20"/>
          <w:szCs w:val="20"/>
          <w:color w:val="auto"/>
        </w:rPr>
      </w:pPr>
      <w:r>
        <w:rPr>
          <w:rFonts w:ascii="Times New Roman" w:cs="Times New Roman" w:eastAsia="Times New Roman" w:hAnsi="Times New Roman"/>
          <w:sz w:val="17"/>
          <w:szCs w:val="17"/>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4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17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Grant and collaboration revenue</w:t>
      </w:r>
    </w:p>
    <w:p>
      <w:pPr>
        <w:spacing w:after="0" w:line="182" w:lineRule="exact"/>
        <w:rPr>
          <w:sz w:val="20"/>
          <w:szCs w:val="20"/>
          <w:color w:val="auto"/>
        </w:rPr>
      </w:pPr>
    </w:p>
    <w:p>
      <w:pPr>
        <w:ind w:left="1" w:right="20"/>
        <w:spacing w:after="0" w:line="173" w:lineRule="exact"/>
        <w:rPr>
          <w:sz w:val="20"/>
          <w:szCs w:val="20"/>
          <w:color w:val="auto"/>
        </w:rPr>
      </w:pPr>
      <w:r>
        <w:rPr>
          <w:rFonts w:ascii="Times New Roman" w:cs="Times New Roman" w:eastAsia="Times New Roman" w:hAnsi="Times New Roman"/>
          <w:sz w:val="17"/>
          <w:szCs w:val="17"/>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revenue, see Notes 2 and 12 to our consolidated financial statements included elsewhere in this Quarterly Report on Form 10-Q.</w:t>
      </w:r>
    </w:p>
    <w:p>
      <w:pPr>
        <w:spacing w:after="0" w:line="1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82" w:lineRule="exact"/>
        <w:rPr>
          <w:sz w:val="20"/>
          <w:szCs w:val="20"/>
          <w:color w:val="auto"/>
        </w:rPr>
      </w:pPr>
    </w:p>
    <w:p>
      <w:pPr>
        <w:ind w:left="1" w:right="240"/>
        <w:spacing w:after="0" w:line="176" w:lineRule="exact"/>
        <w:rPr>
          <w:sz w:val="20"/>
          <w:szCs w:val="20"/>
          <w:color w:val="auto"/>
        </w:rPr>
      </w:pPr>
      <w:r>
        <w:rPr>
          <w:rFonts w:ascii="Times New Roman" w:cs="Times New Roman" w:eastAsia="Times New Roman" w:hAnsi="Times New Roman"/>
          <w:sz w:val="17"/>
          <w:szCs w:val="17"/>
          <w:color w:val="auto"/>
        </w:rPr>
        <w:t>Research and development expenses consist of costs incurred in performing research and development activities, including compensation and benefits for full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research and development employees, an allocation of facilities expenses, overhead expenses, manufacturing process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development and scale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Our research and development expenses consist of external research and development costs, which we track on a</w:t>
      </w:r>
    </w:p>
    <w:p>
      <w:pPr>
        <w:ind w:left="1" w:right="40"/>
        <w:spacing w:after="0" w:line="173" w:lineRule="exact"/>
        <w:rPr>
          <w:sz w:val="20"/>
          <w:szCs w:val="20"/>
          <w:color w:val="auto"/>
        </w:rPr>
      </w:pPr>
      <w:r>
        <w:rPr>
          <w:rFonts w:ascii="Times New Roman" w:cs="Times New Roman" w:eastAsia="Times New Roman" w:hAnsi="Times New Roman"/>
          <w:sz w:val="17"/>
          <w:szCs w:val="17"/>
          <w:color w:val="auto"/>
        </w:rPr>
        <w:t>program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program basis and primarily include contract manufacturing organization and CRO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costs, and internal research and development costs, which are primarily compensation expenses for our research and development employees, lab supplies, analytical testing, allocated overhead costs and other related expenses. As we expand the clinical development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we expect our research and development expenses to increase. The increase in external research and development spending is expected to outpace internal research and development spending. We have incurred a total of $88.1 million in research and development expenses from inception through June 30, 2016, with a majority of the expenses being spent on the development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and a prior nicotine vaccine, and the remainder being spent on our various discovery and preclinical stage product candidate programs and the general expansion of our technology.</w:t>
      </w:r>
    </w:p>
    <w:p>
      <w:pPr>
        <w:spacing w:after="0" w:line="150" w:lineRule="exact"/>
        <w:rPr>
          <w:sz w:val="20"/>
          <w:szCs w:val="20"/>
          <w:color w:val="auto"/>
        </w:rPr>
      </w:pPr>
    </w:p>
    <w:p>
      <w:pPr>
        <w:jc w:val="both"/>
        <w:ind w:left="1"/>
        <w:spacing w:after="0" w:line="228" w:lineRule="auto"/>
        <w:rPr>
          <w:sz w:val="20"/>
          <w:szCs w:val="20"/>
          <w:color w:val="auto"/>
        </w:rPr>
      </w:pPr>
      <w:r>
        <w:rPr>
          <w:rFonts w:ascii="Times New Roman" w:cs="Times New Roman" w:eastAsia="Times New Roman" w:hAnsi="Times New Roman"/>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59" w:lineRule="exact"/>
        <w:rPr>
          <w:sz w:val="20"/>
          <w:szCs w:val="20"/>
          <w:color w:val="auto"/>
        </w:rPr>
      </w:pPr>
    </w:p>
    <w:p>
      <w:pPr>
        <w:ind w:right="20"/>
        <w:spacing w:after="0" w:line="176" w:lineRule="exact"/>
        <w:rPr>
          <w:sz w:val="20"/>
          <w:szCs w:val="20"/>
          <w:color w:val="auto"/>
        </w:rPr>
      </w:pPr>
      <w:r>
        <w:rPr>
          <w:rFonts w:ascii="Times New Roman" w:cs="Times New Roman" w:eastAsia="Times New Roman" w:hAnsi="Times New Roman"/>
          <w:sz w:val="17"/>
          <w:szCs w:val="17"/>
          <w:color w:val="auto"/>
        </w:rPr>
        <w:t>our research and development expenses for the foreseeable future as we seek to complete development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5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The following table sets forth the components of our research and development expenses during the periods indicated (in thousands, except percentages):</w:t>
      </w:r>
    </w:p>
    <w:p>
      <w:pPr>
        <w:sectPr>
          <w:pgSz w:w="11900" w:h="16838" w:orient="portrait"/>
          <w:cols w:equalWidth="0" w:num="1">
            <w:col w:w="9060"/>
          </w:cols>
          <w:pgMar w:left="1420" w:top="11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External research and development expenses:</w:t>
      </w:r>
    </w:p>
    <w:p>
      <w:pPr>
        <w:ind w:left="200"/>
        <w:spacing w:after="0"/>
        <w:rPr>
          <w:sz w:val="20"/>
          <w:szCs w:val="20"/>
          <w:color w:val="auto"/>
        </w:rPr>
      </w:pPr>
      <w:r>
        <w:rPr>
          <w:rFonts w:ascii="Times New Roman" w:cs="Times New Roman" w:eastAsia="Times New Roman" w:hAnsi="Times New Roman"/>
          <w:sz w:val="17"/>
          <w:szCs w:val="17"/>
          <w:color w:val="auto"/>
        </w:rPr>
        <w:t>SEL-212</w:t>
      </w:r>
    </w:p>
    <w:p>
      <w:pPr>
        <w:ind w:left="200" w:right="200"/>
        <w:spacing w:after="0" w:line="228" w:lineRule="auto"/>
        <w:rPr>
          <w:sz w:val="20"/>
          <w:szCs w:val="20"/>
          <w:color w:val="auto"/>
        </w:rPr>
      </w:pPr>
      <w:r>
        <w:rPr>
          <w:rFonts w:ascii="Times New Roman" w:cs="Times New Roman" w:eastAsia="Times New Roman" w:hAnsi="Times New Roman"/>
          <w:sz w:val="17"/>
          <w:szCs w:val="17"/>
          <w:color w:val="auto"/>
        </w:rPr>
        <w:t>Discovery and preclinical stage product programs, collectively</w:t>
      </w:r>
    </w:p>
    <w:p>
      <w:pPr>
        <w:spacing w:after="0" w:line="1"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color w:val="auto"/>
        </w:rPr>
        <w:t>Internal research and development expenses Total research and development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5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120" w:type="dxa"/>
            <w:vAlign w:val="bottom"/>
          </w:tcPr>
          <w:p>
            <w:pPr>
              <w:spacing w:after="0"/>
              <w:rPr>
                <w:sz w:val="14"/>
                <w:szCs w:val="14"/>
                <w:color w:val="auto"/>
              </w:rPr>
            </w:pPr>
          </w:p>
        </w:tc>
        <w:tc>
          <w:tcPr>
            <w:tcW w:w="780" w:type="dxa"/>
            <w:vAlign w:val="bottom"/>
            <w:gridSpan w:val="3"/>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4"/>
                <w:szCs w:val="14"/>
                <w:color w:val="auto"/>
              </w:rPr>
            </w:pPr>
          </w:p>
        </w:tc>
        <w:tc>
          <w:tcPr>
            <w:tcW w:w="1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4"/>
                <w:szCs w:val="14"/>
                <w:color w:val="auto"/>
              </w:rPr>
            </w:pPr>
          </w:p>
        </w:tc>
        <w:tc>
          <w:tcPr>
            <w:tcW w:w="112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60"/>
        </w:trPr>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85"/>
              </w:rPr>
              <w:t>2015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4"/>
        </w:trPr>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4"/>
          </w:tcPr>
          <w:p>
            <w:pPr>
              <w:jc w:val="center"/>
              <w:ind w:right="38"/>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4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2,030</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7"/>
              </w:rPr>
              <w:t>(558)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(681)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92"/>
        </w:trPr>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579 %</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1,563</w:t>
            </w: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404 %</w:t>
            </w:r>
          </w:p>
        </w:tc>
      </w:tr>
      <w:tr>
        <w:trPr>
          <w:trHeight w:val="222"/>
        </w:trPr>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3,156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1,480</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04"/>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5,314</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12,648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10,286</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2,362</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-628015</wp:posOffset>
            </wp:positionV>
            <wp:extent cx="5758180" cy="130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8180" cy="13081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-285115</wp:posOffset>
            </wp:positionV>
            <wp:extent cx="575818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8180" cy="130810"/>
                    </a:xfrm>
                    <a:prstGeom prst="rect">
                      <a:avLst/>
                    </a:prstGeom>
                    <a:noFill/>
                  </pic:spPr>
                </pic:pic>
              </a:graphicData>
            </a:graphic>
          </wp:anchor>
        </w:drawing>
      </w:r>
    </w:p>
    <w:p>
      <w:pPr>
        <w:spacing w:after="0" w:line="521" w:lineRule="exact"/>
        <w:rPr>
          <w:sz w:val="20"/>
          <w:szCs w:val="20"/>
          <w:color w:val="auto"/>
        </w:rPr>
      </w:pPr>
    </w:p>
    <w:p>
      <w:pPr>
        <w:sectPr>
          <w:pgSz w:w="11900" w:h="16838" w:orient="portrait"/>
          <w:cols w:equalWidth="0" w:num="2">
            <w:col w:w="3120" w:space="420"/>
            <w:col w:w="5520"/>
          </w:cols>
          <w:pgMar w:left="1420" w:top="110" w:right="1419" w:bottom="1440" w:gutter="0" w:footer="0" w:header="0"/>
          <w:type w:val="continuous"/>
        </w:sectPr>
      </w:pPr>
    </w:p>
    <w:p>
      <w:pPr>
        <w:ind w:right="80"/>
        <w:spacing w:after="0" w:line="181" w:lineRule="exact"/>
        <w:rPr>
          <w:sz w:val="20"/>
          <w:szCs w:val="20"/>
          <w:color w:val="auto"/>
        </w:rPr>
      </w:pPr>
      <w:r>
        <w:rPr>
          <w:rFonts w:ascii="Times New Roman" w:cs="Times New Roman" w:eastAsia="Times New Roman" w:hAnsi="Times New Roman"/>
          <w:sz w:val="17"/>
          <w:szCs w:val="17"/>
          <w:color w:val="auto"/>
        </w:rPr>
        <w:t>General and administrative expenses consist primarily of salaries and related benefits, including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related to our executive, finance, business development and support functions. Other general and administrative expenses include facility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costs not otherwise allocated to research and development expenses, travel expenses for our general and administrative personnel and professional fees for auditing, tax and corporate legal services, including intellectual property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legal services. We expect that our general and administrative expenses will increase in future periods, reflecting an expanding infrastructure and increased professional fees associated with being a public reporting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income consists primarily of interest income earned on our cash and cash equivalents and short 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consists of interest expense on amounts borrowed under our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expense for the three and six months ended June 30, 2016 and 2015 was de minimis.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8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The functional currency of our Russian subsidiary is the ruble. In addition to holding cash denominated in rubles, our Russian bank accounts also hold cash balances denominated in U.S. dollars to facilitate payments to be settled in U.S.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type w:val="continuous"/>
        </w:sectPr>
      </w:pPr>
    </w:p>
    <w:bookmarkStart w:id="33" w:name="page34"/>
    <w:bookmarkEnd w:id="33"/>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17"/>
          <w:szCs w:val="17"/>
          <w:color w:val="auto"/>
        </w:rPr>
        <w:t>dollars or other currencies. At June 30, 2016 and December 31, 2015, we maintained cash of $3.5 million and $3.8 million, respectively, in Russian banks, of which $3.0 million was denominated in U.S. dollars for the periods ended June 30, 2016 and December 31, 2015. The amounts denominated in U.S. dollars and used in transacting the day to day operations are subject to transaction gains and losses, which are reported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June 30, 2016 compared to the three months ended June 30,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comparison of revenue for the three months ended June 30, 2016 and 2015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5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5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140 %</w:t>
            </w:r>
          </w:p>
        </w:tc>
      </w:tr>
      <w:tr>
        <w:trPr>
          <w:trHeight w:val="206"/>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Collaboration revenue</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(198)</w:t>
            </w:r>
          </w:p>
        </w:tc>
        <w:tc>
          <w:tcPr>
            <w:tcW w:w="2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4"/>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bl>
    <w:p>
      <w:pPr>
        <w:spacing w:after="0" w:line="177"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17"/>
          <w:szCs w:val="17"/>
          <w:color w:val="auto"/>
        </w:rPr>
        <w:t>During the three months ended June 30, 2016, total revenue increased by $0.8 million, or 63%, as compared to the same period in the prior year, of which $0.7 million was related to a National Institute on Drug Abuse grant, or NIDA grant, $0.3 million from other grants, offset by $0.2 million lower revenue from our other collaborations based on the timing of our research efforts.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82"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7"/>
          <w:szCs w:val="17"/>
          <w:color w:val="auto"/>
        </w:rPr>
        <w:t>The following is a comparison of research and development expenses for the three months ended June 30, 2016 and 2015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570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5700" w:type="dxa"/>
            <w:vAlign w:val="bottom"/>
          </w:tcPr>
          <w:p>
            <w:pPr>
              <w:spacing w:after="0"/>
              <w:rPr>
                <w:sz w:val="13"/>
                <w:szCs w:val="13"/>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5700" w:type="dxa"/>
            <w:vAlign w:val="bottom"/>
          </w:tcPr>
          <w:p>
            <w:pPr>
              <w:spacing w:after="0"/>
              <w:rPr>
                <w:sz w:val="13"/>
                <w:szCs w:val="13"/>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6,000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686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bl>
    <w:p>
      <w:pPr>
        <w:spacing w:after="0" w:line="164"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7"/>
          <w:szCs w:val="17"/>
          <w:color w:val="auto"/>
        </w:rPr>
        <w:t>During the three months ended June 30, 2016, our research and development expenses increased by $0.7 million, or 13%, as compared to the same period in the prior year. The increase is primarily due to incremental headcount and related costs of $0.5 million required to support the preparation and implementation of the SEL-212 clinical trial, $0.2 million increase in assay and animal testing associated with SEL-212, an increase of expense associated with the NIDA grant of $0.2 million, additional expense associated other grants of $0.1 million, and $0.1 million increase in stock compensation expense, offset by a reduction of $0.4 million in license fees paid in 2015 as a one-time payment.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182"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7"/>
          <w:szCs w:val="17"/>
          <w:color w:val="auto"/>
        </w:rPr>
        <w:t>The following is a comparison of general and administrative expenses for the three months ended June 30, 2016 and 2015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570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5700" w:type="dxa"/>
            <w:vAlign w:val="bottom"/>
          </w:tcPr>
          <w:p>
            <w:pPr>
              <w:spacing w:after="0"/>
              <w:rPr>
                <w:sz w:val="13"/>
                <w:szCs w:val="13"/>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5700" w:type="dxa"/>
            <w:vAlign w:val="bottom"/>
          </w:tcPr>
          <w:p>
            <w:pPr>
              <w:spacing w:after="0"/>
              <w:rPr>
                <w:sz w:val="13"/>
                <w:szCs w:val="13"/>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2,418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7"/>
                <w:szCs w:val="17"/>
                <w:color w:val="auto"/>
              </w:rPr>
              <w:t>180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r>
    </w:tbl>
    <w:p>
      <w:pPr>
        <w:spacing w:after="0" w:line="177"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7"/>
          <w:szCs w:val="17"/>
          <w:color w:val="auto"/>
        </w:rPr>
        <w:t>For the three months ended June 30, 2016, our general and administrative expenses increased $0.2 million, or 8%, as compared to the same period in the prior year, primarily due to an increase of $0.3 million in patent costs, an increase of $0.1 million in accounting fees, and an increase of $0.1 million of travel in support of the IPO, offset by a $0.3 million decrease in depreciation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income</w:t>
      </w:r>
    </w:p>
    <w:p>
      <w:pPr>
        <w:spacing w:after="0" w:line="182"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7"/>
          <w:szCs w:val="17"/>
          <w:color w:val="auto"/>
        </w:rPr>
        <w:t>Investment income changed less than $0.1 million during the three months ended June 30, 2016 as compared to the prior year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gain (loss)</w:t>
      </w:r>
    </w:p>
    <w:p>
      <w:pPr>
        <w:spacing w:after="0" w:line="18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We recognized a foreign currency gain of $0.2 million during each of the three months ended June 30, 2016 and 2015, respectively, reflecting the fluctuation of the U.S. dollar to the ruble from the beginning to the end of each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82"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7"/>
          <w:szCs w:val="17"/>
          <w:color w:val="auto"/>
        </w:rPr>
        <w:t>Interest expense was $0.3 million for each of the three months ended June 30, 2016 and 2015, representing interest expense and amortization of the carrying costs of our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was de minimis for the three months ended June 30, 2016 and 2015.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2016 compared to the six months ended June 30,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comparison of revenue for the six months ended June 30, 2016 and 2015 (in thousands, except percentages):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 revenue</w:t>
            </w:r>
          </w:p>
        </w:tc>
        <w:tc>
          <w:tcPr>
            <w:tcW w:w="2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Collaboration revenue</w:t>
            </w: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(538)</w:t>
            </w: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8"/>
        </w:trPr>
        <w:tc>
          <w:tcPr>
            <w:tcW w:w="298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jc w:val="right"/>
              <w:ind w:right="954"/>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98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10" w:right="139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During the six months ended June 30, 2016, total revenue increased by $1.8 million, or 81%, as compared to the same period in the prior year, primarily due to revenue from our grants and collaborations associated with increased research and development activities, including an increase of $2.1 million of revenue recognized during the period from the NIDA grant and $0.2 million from our other grants, offset by a reduction of $0.5 million based on timing of research activity associated with the our collaborations.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82"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17"/>
          <w:szCs w:val="17"/>
          <w:color w:val="auto"/>
        </w:rPr>
        <w:t>The following is a comparison of research and development expenses for the six months ended June 30, 2016 and 2015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7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5700" w:type="dxa"/>
            <w:vAlign w:val="bottom"/>
          </w:tcPr>
          <w:p>
            <w:pPr>
              <w:spacing w:after="0"/>
              <w:rPr>
                <w:sz w:val="14"/>
                <w:szCs w:val="14"/>
                <w:color w:val="auto"/>
              </w:rPr>
            </w:pPr>
          </w:p>
        </w:tc>
        <w:tc>
          <w:tcPr>
            <w:tcW w:w="17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4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57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140" w:type="dxa"/>
            <w:vAlign w:val="bottom"/>
            <w:tcBorders>
              <w:bottom w:val="single" w:sz="8" w:color="auto"/>
            </w:tcBorders>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5700" w:type="dxa"/>
            <w:vAlign w:val="bottom"/>
          </w:tcPr>
          <w:p>
            <w:pPr>
              <w:spacing w:after="0"/>
              <w:rPr>
                <w:sz w:val="13"/>
                <w:szCs w:val="13"/>
                <w:color w:val="auto"/>
              </w:rPr>
            </w:pPr>
          </w:p>
        </w:tc>
        <w:tc>
          <w:tcPr>
            <w:tcW w:w="17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$ 12,648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$ 10,286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  2,362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r>
    </w:tbl>
    <w:p>
      <w:pPr>
        <w:spacing w:after="0" w:line="177" w:lineRule="exact"/>
        <w:rPr>
          <w:sz w:val="20"/>
          <w:szCs w:val="20"/>
          <w:color w:val="auto"/>
        </w:rPr>
      </w:pPr>
    </w:p>
    <w:p>
      <w:pPr>
        <w:ind w:right="120"/>
        <w:spacing w:after="0" w:line="185" w:lineRule="exact"/>
        <w:rPr>
          <w:sz w:val="20"/>
          <w:szCs w:val="20"/>
          <w:color w:val="auto"/>
        </w:rPr>
      </w:pPr>
      <w:r>
        <w:rPr>
          <w:rFonts w:ascii="Times New Roman" w:cs="Times New Roman" w:eastAsia="Times New Roman" w:hAnsi="Times New Roman"/>
          <w:sz w:val="17"/>
          <w:szCs w:val="17"/>
          <w:color w:val="auto"/>
        </w:rPr>
        <w:t>During the six months ended June 30, 2016, our total research and development expenses increased by $2.4 million from the same period in the prior year, reflecting the costs associated with the advancement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into clinical trials, including related headcount growth, as compared to the prior year during which research and development expenses primarily reflected costs associated with the general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clinical development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182" w:lineRule="exact"/>
        <w:rPr>
          <w:sz w:val="20"/>
          <w:szCs w:val="20"/>
          <w:color w:val="auto"/>
        </w:rPr>
      </w:pPr>
    </w:p>
    <w:p>
      <w:pPr>
        <w:ind w:right="620"/>
        <w:spacing w:after="0" w:line="239" w:lineRule="auto"/>
        <w:rPr>
          <w:sz w:val="20"/>
          <w:szCs w:val="20"/>
          <w:color w:val="auto"/>
        </w:rPr>
      </w:pPr>
      <w:r>
        <w:rPr>
          <w:rFonts w:ascii="Times New Roman" w:cs="Times New Roman" w:eastAsia="Times New Roman" w:hAnsi="Times New Roman"/>
          <w:sz w:val="17"/>
          <w:szCs w:val="17"/>
          <w:color w:val="auto"/>
        </w:rPr>
        <w:t>The following is a comparison of general and administrative expenses for the six months ended June 30, 2016 and 2015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570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5700" w:type="dxa"/>
            <w:vAlign w:val="bottom"/>
          </w:tcPr>
          <w:p>
            <w:pPr>
              <w:spacing w:after="0"/>
              <w:rPr>
                <w:sz w:val="13"/>
                <w:szCs w:val="13"/>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5700" w:type="dxa"/>
            <w:vAlign w:val="bottom"/>
          </w:tcPr>
          <w:p>
            <w:pPr>
              <w:spacing w:after="0"/>
              <w:rPr>
                <w:sz w:val="13"/>
                <w:szCs w:val="13"/>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4,799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689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r>
    </w:tbl>
    <w:p>
      <w:pPr>
        <w:spacing w:after="0" w:line="344" w:lineRule="exact"/>
        <w:rPr>
          <w:sz w:val="20"/>
          <w:szCs w:val="20"/>
          <w:color w:val="auto"/>
        </w:rPr>
      </w:pPr>
    </w:p>
    <w:p>
      <w:pPr>
        <w:jc w:val="both"/>
        <w:ind w:right="120"/>
        <w:spacing w:after="0" w:line="222" w:lineRule="auto"/>
        <w:rPr>
          <w:sz w:val="20"/>
          <w:szCs w:val="20"/>
          <w:color w:val="auto"/>
        </w:rPr>
      </w:pPr>
      <w:r>
        <w:rPr>
          <w:rFonts w:ascii="Times New Roman" w:cs="Times New Roman" w:eastAsia="Times New Roman" w:hAnsi="Times New Roman"/>
          <w:sz w:val="17"/>
          <w:szCs w:val="17"/>
          <w:color w:val="auto"/>
        </w:rPr>
        <w:t>During the six months ended June 30, 2016, our general and administrative expenses increased by $0.7 million as compared to the prior year period, due to an increase in facility costs as a result of the termination of our sublease and subsequent utilization of the related space, an increase in accounting fees associated with implementing quarterly reviews of our financial statements, and legal expense as a result of expanding our intellectual property protections.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income</w:t>
      </w:r>
    </w:p>
    <w:p>
      <w:pPr>
        <w:spacing w:after="0" w:line="182"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7"/>
          <w:szCs w:val="17"/>
          <w:color w:val="auto"/>
        </w:rPr>
        <w:t>Change in investment income was $0.1 million during the six months ended June 30, 2016 as compared to the same period in the prior year based on cash and cash equivalent balances held in interest bearing accounts.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gain</w:t>
      </w:r>
    </w:p>
    <w:p>
      <w:pPr>
        <w:spacing w:after="0" w:line="182"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7"/>
          <w:szCs w:val="17"/>
          <w:color w:val="auto"/>
        </w:rPr>
        <w:t>We recognized a foreign currency loss of $0.4 million during the six months ended June 30, 2016 as compared to $0.1 million during the six months ended June 30, 2015 reflecting the continued fluctuations of the U.S. dollar to the ruble occurring between the two comparative periods.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8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Interest expense was $0.6 million during the six months ended June 30, 2016, as compared to $0.5 million for the same period in the prior year. The increase was primarily due to the incremental borrowing against the credit facility effective December 31, 2015.</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6435" cy="16510"/>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expense for the six months ended June 30, 2016 and 2015 was de minimis.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82" w:lineRule="exact"/>
        <w:rPr>
          <w:sz w:val="20"/>
          <w:szCs w:val="20"/>
          <w:color w:val="auto"/>
        </w:rPr>
      </w:pPr>
    </w:p>
    <w:p>
      <w:pPr>
        <w:ind w:right="60"/>
        <w:spacing w:after="0" w:line="185" w:lineRule="exact"/>
        <w:rPr>
          <w:sz w:val="20"/>
          <w:szCs w:val="20"/>
          <w:color w:val="auto"/>
        </w:rPr>
      </w:pPr>
      <w:r>
        <w:rPr>
          <w:rFonts w:ascii="Times New Roman" w:cs="Times New Roman" w:eastAsia="Times New Roman" w:hAnsi="Times New Roman"/>
          <w:sz w:val="17"/>
          <w:szCs w:val="17"/>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funding and other collaborations and strategic alliances.</w:t>
      </w:r>
    </w:p>
    <w:p>
      <w:pPr>
        <w:spacing w:after="0" w:line="135"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7"/>
          <w:szCs w:val="17"/>
          <w:color w:val="auto"/>
        </w:rPr>
        <w:t>From our inception through June 30, 2016, we had raised an aggregate of $212.4 million to fund our operations, of which $118.5 million was from the sale of preferred stock, $7.8 million was from government grants and $14.3 million was from borrowings under our credit facility, $11.0 million was through our collaborations and license agreements and $60.8 million in net proceeds from our initial public offering of common stock in June 2016.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25, 2016, pursuant to the underwriters’ exercise in part of their option to purchase additional shares of our common</w:t>
      </w:r>
    </w:p>
    <w:p>
      <w:pPr>
        <w:ind w:right="80"/>
        <w:spacing w:after="0" w:line="220" w:lineRule="auto"/>
        <w:rPr>
          <w:sz w:val="20"/>
          <w:szCs w:val="20"/>
          <w:color w:val="auto"/>
        </w:rPr>
      </w:pPr>
      <w:r>
        <w:rPr>
          <w:rFonts w:ascii="Times New Roman" w:cs="Times New Roman" w:eastAsia="Times New Roman" w:hAnsi="Times New Roman"/>
          <w:sz w:val="17"/>
          <w:szCs w:val="17"/>
          <w:color w:val="auto"/>
        </w:rPr>
        <w:t>stock, we sold an additional 289,633 common shares at a price to the public of $14.00 per share. The gross proceeds from this sale were $4.1 million, resulting in net proceeds of $3.7 million after deducting underwriting discounts and commissions and offering expenses.</w:t>
      </w:r>
    </w:p>
    <w:p>
      <w:pPr>
        <w:spacing w:after="0" w:line="152"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7"/>
          <w:szCs w:val="17"/>
          <w:color w:val="auto"/>
        </w:rPr>
        <w:t>As of June 30, 2016, our cash and cash equivalents were $82.6 million, of which $1.2 million was held by our Russian subsidiary designated solely for use in its operations and is consolidated for financial reporting purposes. Additionally, our Russian subsidiary maintained $1.9 million in short term deposits and $0.4 million in restricted cash.</w:t>
      </w:r>
    </w:p>
    <w:p>
      <w:pPr>
        <w:spacing w:after="0" w:line="150"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7"/>
          <w:szCs w:val="17"/>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182" w:lineRule="exact"/>
        <w:rPr>
          <w:sz w:val="20"/>
          <w:szCs w:val="20"/>
          <w:color w:val="auto"/>
        </w:rPr>
      </w:pPr>
    </w:p>
    <w:p>
      <w:pPr>
        <w:ind w:right="140"/>
        <w:spacing w:after="0" w:line="176" w:lineRule="exact"/>
        <w:rPr>
          <w:sz w:val="20"/>
          <w:szCs w:val="20"/>
          <w:color w:val="auto"/>
        </w:rPr>
      </w:pPr>
      <w:r>
        <w:rPr>
          <w:rFonts w:ascii="Times New Roman" w:cs="Times New Roman" w:eastAsia="Times New Roman" w:hAnsi="Times New Roman"/>
          <w:sz w:val="17"/>
          <w:szCs w:val="17"/>
          <w:color w:val="auto"/>
        </w:rPr>
        <w:t>In August 2013, we entered into a credit facility with Oxford Finance, LLC, or Oxford, and Pacific Western Bank, as successor in interest to Square 1 Bank, as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153" w:lineRule="exact"/>
        <w:rPr>
          <w:sz w:val="20"/>
          <w:szCs w:val="20"/>
          <w:color w:val="auto"/>
        </w:rPr>
      </w:pPr>
    </w:p>
    <w:p>
      <w:pPr>
        <w:ind w:right="40"/>
        <w:spacing w:after="0" w:line="174" w:lineRule="exact"/>
        <w:rPr>
          <w:sz w:val="20"/>
          <w:szCs w:val="20"/>
          <w:color w:val="auto"/>
        </w:rPr>
      </w:pPr>
      <w:r>
        <w:rPr>
          <w:rFonts w:ascii="Times New Roman" w:cs="Times New Roman" w:eastAsia="Times New Roman" w:hAnsi="Times New Roman"/>
          <w:sz w:val="17"/>
          <w:szCs w:val="17"/>
          <w:color w:val="auto"/>
        </w:rPr>
        <w:t>The credit facility is secured by substantially all of our personal property other than our intellectual property. The term loan under the credit facility bears interest at an annual rate equal to the greater of (i) 8.0% and (ii) the sum of (a) the 30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 of the total amount borrowed under the credit facility. This final payment has been recorded as a discount to the loan balance and is being amortized into interest expense over the life of the loan.</w:t>
      </w:r>
    </w:p>
    <w:p>
      <w:pPr>
        <w:spacing w:after="0" w:line="156"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7"/>
          <w:szCs w:val="17"/>
          <w:color w:val="auto"/>
        </w:rPr>
        <w:t>The term loan is prepayable at our option in whole, but not in part, subject to a prepayment fee of 3% if the term loan is prepaid prior to the first anniversary of the December 31, 2015 borrowing date, the borrowing date, 2% if the terms loans are prepaid between the first and second anniversary of the borrowing date and 1% if the term loan is prepaid after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7"/>
          <w:szCs w:val="17"/>
          <w:color w:val="auto"/>
        </w:rPr>
        <w:t>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3" w:lineRule="exact"/>
        <w:rPr>
          <w:sz w:val="20"/>
          <w:szCs w:val="20"/>
          <w:color w:val="auto"/>
        </w:rPr>
      </w:pPr>
    </w:p>
    <w:p>
      <w:pPr>
        <w:ind w:right="60"/>
        <w:spacing w:after="0" w:line="212" w:lineRule="auto"/>
        <w:rPr>
          <w:sz w:val="20"/>
          <w:szCs w:val="20"/>
          <w:color w:val="auto"/>
        </w:rPr>
      </w:pPr>
      <w:r>
        <w:rPr>
          <w:rFonts w:ascii="Times New Roman" w:cs="Times New Roman" w:eastAsia="Times New Roman" w:hAnsi="Times New Roman"/>
          <w:sz w:val="17"/>
          <w:szCs w:val="17"/>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w:t>
      </w:r>
    </w:p>
    <w:p>
      <w:pPr>
        <w:spacing w:after="0" w:line="123" w:lineRule="exact"/>
        <w:rPr>
          <w:sz w:val="20"/>
          <w:szCs w:val="20"/>
          <w:color w:val="auto"/>
        </w:rPr>
      </w:pPr>
    </w:p>
    <w:p>
      <w:pPr>
        <w:ind w:right="40"/>
        <w:spacing w:after="0" w:line="184" w:lineRule="exact"/>
        <w:rPr>
          <w:sz w:val="20"/>
          <w:szCs w:val="20"/>
          <w:color w:val="auto"/>
        </w:rPr>
      </w:pPr>
      <w:r>
        <w:rPr>
          <w:rFonts w:ascii="Times New Roman" w:cs="Times New Roman" w:eastAsia="Times New Roman" w:hAnsi="Times New Roman"/>
          <w:sz w:val="17"/>
          <w:szCs w:val="17"/>
          <w:color w:val="auto"/>
        </w:rPr>
        <w:t>The credit facility also includes events of default, the occurrence and continuation of which provide the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of operations and future funding requirements</w:t>
      </w:r>
    </w:p>
    <w:p>
      <w:pPr>
        <w:spacing w:after="0" w:line="182"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in connection with our continuing operations.</w:t>
      </w:r>
    </w:p>
    <w:p>
      <w:pPr>
        <w:spacing w:after="0" w:line="15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Based on the current operating plan, we expect that our cash, cash equivalents, short-term investments and restricted cash as of June 30, 2016, will fund operating expenses and capital expenditure requirements into the first quarter of 2018.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0" w:hanging="133"/>
        <w:spacing w:after="0"/>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and results of our clinical trials of SEL-212;</w:t>
      </w:r>
    </w:p>
    <w:p>
      <w:pPr>
        <w:spacing w:after="0" w:line="383" w:lineRule="exact"/>
        <w:rPr>
          <w:rFonts w:ascii="Times New Roman" w:cs="Times New Roman" w:eastAsia="Times New Roman" w:hAnsi="Times New Roman"/>
          <w:sz w:val="17"/>
          <w:szCs w:val="17"/>
          <w:color w:val="auto"/>
        </w:rPr>
      </w:pPr>
    </w:p>
    <w:p>
      <w:pPr>
        <w:ind w:left="380" w:right="120" w:hanging="73"/>
        <w:spacing w:after="0" w:line="239"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agreements remaining in effect, our ability to enter into additional collaboration agreements and our ability to achieve milestones under these agreements;</w:t>
      </w:r>
    </w:p>
    <w:p>
      <w:pPr>
        <w:spacing w:after="0" w:line="356" w:lineRule="exact"/>
        <w:rPr>
          <w:rFonts w:ascii="Times New Roman" w:cs="Times New Roman" w:eastAsia="Times New Roman" w:hAnsi="Times New Roman"/>
          <w:sz w:val="17"/>
          <w:szCs w:val="17"/>
          <w:color w:val="auto"/>
        </w:rPr>
      </w:pPr>
    </w:p>
    <w:p>
      <w:pPr>
        <w:ind w:left="380" w:right="280" w:hanging="73"/>
        <w:spacing w:after="0" w:line="239"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preclinical development, laboratory testing and clinical trials for our other product candidates;</w:t>
      </w:r>
    </w:p>
    <w:p>
      <w:pPr>
        <w:spacing w:after="0" w:line="356" w:lineRule="exact"/>
        <w:rPr>
          <w:rFonts w:ascii="Times New Roman" w:cs="Times New Roman" w:eastAsia="Times New Roman" w:hAnsi="Times New Roman"/>
          <w:sz w:val="17"/>
          <w:szCs w:val="17"/>
          <w:color w:val="auto"/>
        </w:rPr>
      </w:pPr>
    </w:p>
    <w:p>
      <w:pPr>
        <w:ind w:left="400" w:hanging="93"/>
        <w:spacing w:after="0"/>
        <w:tabs>
          <w:tab w:leader="none" w:pos="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product candidates that we pursue;</w:t>
      </w:r>
    </w:p>
    <w:p>
      <w:pPr>
        <w:spacing w:after="0" w:line="383" w:lineRule="exact"/>
        <w:rPr>
          <w:rFonts w:ascii="Times New Roman" w:cs="Times New Roman" w:eastAsia="Times New Roman" w:hAnsi="Times New Roman"/>
          <w:sz w:val="17"/>
          <w:szCs w:val="17"/>
          <w:color w:val="auto"/>
        </w:rPr>
      </w:pPr>
    </w:p>
    <w:p>
      <w:pPr>
        <w:ind w:left="420" w:hanging="113"/>
        <w:spacing w:after="0"/>
        <w:tabs>
          <w:tab w:leader="none" w:pos="4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product candidates;</w:t>
      </w:r>
    </w:p>
    <w:p>
      <w:pPr>
        <w:spacing w:after="0" w:line="383" w:lineRule="exact"/>
        <w:rPr>
          <w:rFonts w:ascii="Times New Roman" w:cs="Times New Roman" w:eastAsia="Times New Roman" w:hAnsi="Times New Roman"/>
          <w:sz w:val="17"/>
          <w:szCs w:val="17"/>
          <w:color w:val="auto"/>
        </w:rPr>
      </w:pPr>
    </w:p>
    <w:p>
      <w:pPr>
        <w:ind w:left="380" w:hanging="73"/>
        <w:spacing w:after="0" w:line="239"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manufacturing, marketing, sales and distribution, for any of our product candidates for which we receive marketing approval;</w:t>
      </w:r>
    </w:p>
    <w:p>
      <w:pPr>
        <w:spacing w:after="0" w:line="356" w:lineRule="exact"/>
        <w:rPr>
          <w:rFonts w:ascii="Times New Roman" w:cs="Times New Roman" w:eastAsia="Times New Roman" w:hAnsi="Times New Roman"/>
          <w:sz w:val="17"/>
          <w:szCs w:val="17"/>
          <w:color w:val="auto"/>
        </w:rPr>
      </w:pPr>
    </w:p>
    <w:p>
      <w:pPr>
        <w:ind w:left="380" w:hanging="73"/>
        <w:spacing w:after="0"/>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product candidates for which we receive marketing approval;</w:t>
      </w:r>
    </w:p>
    <w:p>
      <w:pPr>
        <w:spacing w:after="0" w:line="383" w:lineRule="exact"/>
        <w:rPr>
          <w:rFonts w:ascii="Times New Roman" w:cs="Times New Roman" w:eastAsia="Times New Roman" w:hAnsi="Times New Roman"/>
          <w:sz w:val="17"/>
          <w:szCs w:val="17"/>
          <w:color w:val="auto"/>
        </w:rPr>
      </w:pPr>
    </w:p>
    <w:p>
      <w:pPr>
        <w:ind w:left="380" w:right="520" w:hanging="73"/>
        <w:spacing w:after="0" w:line="239"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356" w:lineRule="exact"/>
        <w:rPr>
          <w:rFonts w:ascii="Times New Roman" w:cs="Times New Roman" w:eastAsia="Times New Roman" w:hAnsi="Times New Roman"/>
          <w:sz w:val="17"/>
          <w:szCs w:val="17"/>
          <w:color w:val="auto"/>
        </w:rPr>
      </w:pPr>
    </w:p>
    <w:p>
      <w:pPr>
        <w:ind w:left="420" w:hanging="113"/>
        <w:spacing w:after="0"/>
        <w:tabs>
          <w:tab w:leader="none" w:pos="4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products and technologies.</w:t>
      </w:r>
    </w:p>
    <w:p>
      <w:pPr>
        <w:spacing w:after="0" w:line="38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ectPr>
          <w:pgSz w:w="11900" w:h="16838" w:orient="portrait"/>
          <w:cols w:equalWidth="0" w:num="1">
            <w:col w:w="9060"/>
          </w:cols>
          <w:pgMar w:left="1420" w:top="110" w:right="141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cash flows for the six months ended June 30,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572135</wp:posOffset>
            </wp:positionV>
            <wp:extent cx="5758180" cy="130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818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of the period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758180" cy="1308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8180" cy="13081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758180" cy="130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8180" cy="13081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7"/>
          <w:szCs w:val="17"/>
          <w:color w:val="auto"/>
        </w:rPr>
        <w:t>Effect of exchange rate changes on cash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5"/>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715"/>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2331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295"/>
        <w:spacing w:after="0"/>
        <w:tabs>
          <w:tab w:leader="none" w:pos="1355"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12331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95"/>
        <w:spacing w:after="0"/>
        <w:tabs>
          <w:tab w:leader="none" w:pos="1135" w:val="left"/>
        </w:tabs>
        <w:rPr>
          <w:sz w:val="20"/>
          <w:szCs w:val="20"/>
          <w:color w:val="auto"/>
        </w:rPr>
      </w:pPr>
      <w:r>
        <w:rPr>
          <w:rFonts w:ascii="Times New Roman" w:cs="Times New Roman" w:eastAsia="Times New Roman" w:hAnsi="Times New Roman"/>
          <w:sz w:val="14"/>
          <w:szCs w:val="14"/>
          <w:b w:val="1"/>
          <w:bCs w:val="1"/>
          <w:color w:val="auto"/>
        </w:rPr>
        <w:t>(unaudited)</w:t>
      </w:r>
      <w:r>
        <w:rPr>
          <w:sz w:val="20"/>
          <w:szCs w:val="20"/>
          <w:color w:val="auto"/>
        </w:rPr>
        <w:tab/>
      </w:r>
      <w:r>
        <w:rPr>
          <w:rFonts w:ascii="Times New Roman" w:cs="Times New Roman" w:eastAsia="Times New Roman" w:hAnsi="Times New Roman"/>
          <w:sz w:val="14"/>
          <w:szCs w:val="14"/>
          <w:b w:val="1"/>
          <w:bCs w:val="1"/>
          <w:color w:val="auto"/>
        </w:rPr>
        <w:t>(unaudited)</w:t>
      </w:r>
    </w:p>
    <w:p>
      <w:pPr>
        <w:ind w:left="335" w:hanging="335"/>
        <w:spacing w:after="0"/>
        <w:tabs>
          <w:tab w:leader="none" w:pos="3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32,337   $   16,592</w:t>
      </w:r>
    </w:p>
    <w:p>
      <w:pPr>
        <w:spacing w:after="0" w:line="10" w:lineRule="exact"/>
        <w:rPr>
          <w:sz w:val="20"/>
          <w:szCs w:val="20"/>
          <w:color w:val="auto"/>
        </w:rPr>
      </w:pPr>
    </w:p>
    <w:p>
      <w:pPr>
        <w:jc w:val="both"/>
        <w:ind w:left="275"/>
        <w:spacing w:after="0"/>
        <w:tabs>
          <w:tab w:leader="none" w:pos="1435" w:val="left"/>
        </w:tabs>
        <w:rPr>
          <w:sz w:val="20"/>
          <w:szCs w:val="20"/>
          <w:color w:val="auto"/>
        </w:rPr>
      </w:pPr>
      <w:r>
        <w:rPr>
          <w:rFonts w:ascii="Times New Roman" w:cs="Times New Roman" w:eastAsia="Times New Roman" w:hAnsi="Times New Roman"/>
          <w:sz w:val="17"/>
          <w:szCs w:val="17"/>
          <w:color w:val="auto"/>
        </w:rPr>
        <w:t>(15,773)</w:t>
      </w:r>
      <w:r>
        <w:rPr>
          <w:sz w:val="20"/>
          <w:szCs w:val="20"/>
          <w:color w:val="auto"/>
        </w:rPr>
        <w:tab/>
      </w:r>
      <w:r>
        <w:rPr>
          <w:rFonts w:ascii="Times New Roman" w:cs="Times New Roman" w:eastAsia="Times New Roman" w:hAnsi="Times New Roman"/>
          <w:sz w:val="17"/>
          <w:szCs w:val="17"/>
          <w:color w:val="auto"/>
        </w:rPr>
        <w:t>(9,211)</w:t>
      </w:r>
    </w:p>
    <w:p>
      <w:pPr>
        <w:spacing w:after="0" w:line="9" w:lineRule="exact"/>
        <w:rPr>
          <w:sz w:val="20"/>
          <w:szCs w:val="20"/>
          <w:color w:val="auto"/>
        </w:rPr>
      </w:pPr>
    </w:p>
    <w:p>
      <w:pPr>
        <w:jc w:val="both"/>
        <w:ind w:left="415"/>
        <w:spacing w:after="0"/>
        <w:tabs>
          <w:tab w:leader="none" w:pos="1555" w:val="left"/>
        </w:tabs>
        <w:rPr>
          <w:sz w:val="20"/>
          <w:szCs w:val="20"/>
          <w:color w:val="auto"/>
        </w:rPr>
      </w:pPr>
      <w:r>
        <w:rPr>
          <w:rFonts w:ascii="Times New Roman" w:cs="Times New Roman" w:eastAsia="Times New Roman" w:hAnsi="Times New Roman"/>
          <w:sz w:val="17"/>
          <w:szCs w:val="17"/>
          <w:color w:val="auto"/>
        </w:rPr>
        <w:t>3,314</w:t>
      </w:r>
      <w:r>
        <w:rPr>
          <w:sz w:val="20"/>
          <w:szCs w:val="20"/>
          <w:color w:val="auto"/>
        </w:rPr>
        <w:tab/>
      </w:r>
      <w:r>
        <w:rPr>
          <w:rFonts w:ascii="Times New Roman" w:cs="Times New Roman" w:eastAsia="Times New Roman" w:hAnsi="Times New Roman"/>
          <w:sz w:val="17"/>
          <w:szCs w:val="17"/>
          <w:color w:val="auto"/>
        </w:rPr>
        <w:t>(553)</w:t>
      </w:r>
    </w:p>
    <w:p>
      <w:pPr>
        <w:spacing w:after="0" w:line="10" w:lineRule="exact"/>
        <w:rPr>
          <w:sz w:val="20"/>
          <w:szCs w:val="20"/>
          <w:color w:val="auto"/>
        </w:rPr>
      </w:pPr>
    </w:p>
    <w:p>
      <w:pPr>
        <w:ind w:left="335"/>
        <w:spacing w:after="0"/>
        <w:tabs>
          <w:tab w:leader="none" w:pos="1475" w:val="left"/>
        </w:tabs>
        <w:rPr>
          <w:sz w:val="20"/>
          <w:szCs w:val="20"/>
          <w:color w:val="auto"/>
        </w:rPr>
      </w:pPr>
      <w:r>
        <w:rPr>
          <w:rFonts w:ascii="Times New Roman" w:cs="Times New Roman" w:eastAsia="Times New Roman" w:hAnsi="Times New Roman"/>
          <w:sz w:val="17"/>
          <w:szCs w:val="17"/>
          <w:color w:val="auto"/>
        </w:rPr>
        <w:t>62,508</w:t>
      </w:r>
      <w:r>
        <w:rPr>
          <w:sz w:val="20"/>
          <w:szCs w:val="20"/>
          <w:color w:val="auto"/>
        </w:rPr>
        <w:tab/>
      </w:r>
      <w:r>
        <w:rPr>
          <w:rFonts w:ascii="Times New Roman" w:cs="Times New Roman" w:eastAsia="Times New Roman" w:hAnsi="Times New Roman"/>
          <w:sz w:val="17"/>
          <w:szCs w:val="17"/>
          <w:color w:val="auto"/>
        </w:rPr>
        <w:t>6,235</w:t>
      </w:r>
    </w:p>
    <w:p>
      <w:pPr>
        <w:spacing w:after="0" w:line="10" w:lineRule="exact"/>
        <w:rPr>
          <w:sz w:val="20"/>
          <w:szCs w:val="20"/>
          <w:color w:val="auto"/>
        </w:rPr>
      </w:pPr>
    </w:p>
    <w:p>
      <w:pPr>
        <w:jc w:val="right"/>
        <w:ind w:left="-5" w:right="40" w:firstLine="558"/>
        <w:spacing w:after="0" w:line="312" w:lineRule="auto"/>
        <w:tabs>
          <w:tab w:leader="none" w:pos="1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   82,648   $   13,154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1233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425"/>
            <w:col w:w="1935"/>
          </w:cols>
          <w:pgMar w:left="1420" w:top="110" w:right="1419" w:bottom="1440" w:gutter="0" w:footer="0" w:header="0"/>
          <w:type w:val="continuous"/>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type w:val="continuous"/>
        </w:sectPr>
      </w:pPr>
    </w:p>
    <w:bookmarkStart w:id="39" w:name="page40"/>
    <w:bookmarkEnd w:id="39"/>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p>
      <w:pPr>
        <w:spacing w:after="0" w:line="182" w:lineRule="exact"/>
        <w:rPr>
          <w:sz w:val="20"/>
          <w:szCs w:val="20"/>
          <w:color w:val="auto"/>
        </w:rPr>
      </w:pPr>
    </w:p>
    <w:p>
      <w:pPr>
        <w:ind w:left="1" w:right="100"/>
        <w:spacing w:after="0" w:line="216" w:lineRule="auto"/>
        <w:rPr>
          <w:sz w:val="20"/>
          <w:szCs w:val="20"/>
          <w:color w:val="auto"/>
        </w:rPr>
      </w:pPr>
      <w:r>
        <w:rPr>
          <w:rFonts w:ascii="Times New Roman" w:cs="Times New Roman" w:eastAsia="Times New Roman" w:hAnsi="Times New Roman"/>
          <w:sz w:val="17"/>
          <w:szCs w:val="17"/>
          <w:color w:val="auto"/>
        </w:rPr>
        <w:t>Net cash used in operating activities was $15.8 million for the six months ended June 30, 2016 as compared to $9.2 million for the six months ended June 30, 2015. The increase in net cash used in operating activities of $6.6 million reflected an increase of</w:t>
      </w:r>
    </w:p>
    <w:p>
      <w:pPr>
        <w:spacing w:after="0" w:line="1" w:lineRule="exact"/>
        <w:rPr>
          <w:sz w:val="20"/>
          <w:szCs w:val="20"/>
          <w:color w:val="auto"/>
        </w:rPr>
      </w:pPr>
    </w:p>
    <w:p>
      <w:pPr>
        <w:ind w:left="1" w:right="20" w:hanging="1"/>
        <w:spacing w:after="0" w:line="212" w:lineRule="auto"/>
        <w:tabs>
          <w:tab w:leader="none" w:pos="20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million in net loss due to increased research and development expenses as we advanced from preclinical studies into the Phase 1 clinical trials and timing of NIDA grant associated costs, (ii)$1.6 million increase in short term deposits, (iii) $1.3 million of receivables which is primarily associated with pending milestone receipts from one of our collaborations, (iv) $1.5 million related to the paydown of our accounts payables associated with the IPO related costs and other related accrued liabilities, and (v) a $0.3 million increase in prepaid expenses primarily for prepaid salary and wages and (vi) $0.3 million tied to reduced depreciation, offset by a decrease in deferred revenue of $0.2 million.</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p>
      <w:pPr>
        <w:spacing w:after="0" w:line="182" w:lineRule="exact"/>
        <w:rPr>
          <w:sz w:val="20"/>
          <w:szCs w:val="20"/>
          <w:color w:val="auto"/>
        </w:rPr>
      </w:pPr>
    </w:p>
    <w:p>
      <w:pPr>
        <w:ind w:left="1" w:right="100"/>
        <w:spacing w:after="0" w:line="181" w:lineRule="exact"/>
        <w:rPr>
          <w:sz w:val="20"/>
          <w:szCs w:val="20"/>
          <w:color w:val="auto"/>
        </w:rPr>
      </w:pPr>
      <w:r>
        <w:rPr>
          <w:rFonts w:ascii="Times New Roman" w:cs="Times New Roman" w:eastAsia="Times New Roman" w:hAnsi="Times New Roman"/>
          <w:sz w:val="17"/>
          <w:szCs w:val="17"/>
          <w:color w:val="auto"/>
        </w:rPr>
        <w:t>Net cash provided by investing activities was $3.3 million for the six months ended June 30 2016, as compared to net cash used in investing activities of ($0.5) million for the six months ended June 30, 2015. The increase in cash provided by investing activities for the six months ended June 30, 2016 was caused by the maturity of $3.5 million of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investments and a $0.2 million decrease in purchased equipment.</w:t>
      </w:r>
    </w:p>
    <w:p>
      <w:pPr>
        <w:spacing w:after="0" w:line="1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p>
      <w:pPr>
        <w:spacing w:after="0" w:line="182" w:lineRule="exact"/>
        <w:rPr>
          <w:sz w:val="20"/>
          <w:szCs w:val="20"/>
          <w:color w:val="auto"/>
        </w:rPr>
      </w:pPr>
    </w:p>
    <w:p>
      <w:pPr>
        <w:ind w:left="1"/>
        <w:spacing w:after="0" w:line="218" w:lineRule="auto"/>
        <w:rPr>
          <w:sz w:val="20"/>
          <w:szCs w:val="20"/>
          <w:color w:val="auto"/>
        </w:rPr>
      </w:pPr>
      <w:r>
        <w:rPr>
          <w:rFonts w:ascii="Times New Roman" w:cs="Times New Roman" w:eastAsia="Times New Roman" w:hAnsi="Times New Roman"/>
          <w:sz w:val="17"/>
          <w:szCs w:val="17"/>
          <w:color w:val="auto"/>
        </w:rPr>
        <w:t>Net cash provided by financing activities was $62.5 million for the six months ended June 30, 2016 as compared to $6.2 million for the six months ended June 30, 2015. The increase of $56.3 million provided by financing activities is the resulting net cash amount from our initial public offering (not including any underwriter over allotment settlement which occurred in July) . The net cash provided by financing activities of $6.2 million for the six months ended June 30, 2015 was the result of the issuance of $7.1 million of convertible notes offset by $0.9 million of loan principle payments in the first half of 2015.</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Effect of exchange rates on cash</w:t>
      </w:r>
    </w:p>
    <w:p>
      <w:pPr>
        <w:spacing w:after="0" w:line="182" w:lineRule="exact"/>
        <w:rPr>
          <w:sz w:val="20"/>
          <w:szCs w:val="20"/>
          <w:color w:val="auto"/>
        </w:rPr>
      </w:pPr>
    </w:p>
    <w:p>
      <w:pPr>
        <w:ind w:left="1" w:right="60"/>
        <w:spacing w:after="0" w:line="218" w:lineRule="auto"/>
        <w:rPr>
          <w:sz w:val="20"/>
          <w:szCs w:val="20"/>
          <w:color w:val="auto"/>
        </w:rPr>
      </w:pPr>
      <w:r>
        <w:rPr>
          <w:rFonts w:ascii="Times New Roman" w:cs="Times New Roman" w:eastAsia="Times New Roman" w:hAnsi="Times New Roman"/>
          <w:sz w:val="17"/>
          <w:szCs w:val="17"/>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Contractual obligations and contingent liabilities</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following summarizes our significant contractual obligations as of December 31, 2015 (in thousands):</w:t>
      </w:r>
    </w:p>
    <w:p>
      <w:pPr>
        <w:sectPr>
          <w:pgSz w:w="11900" w:h="16838" w:orient="portrait"/>
          <w:cols w:equalWidth="0" w:num="1">
            <w:col w:w="9041"/>
          </w:cols>
          <w:pgMar w:left="1419" w:top="110" w:right="1439" w:bottom="1440" w:gutter="0" w:footer="0" w:header="0"/>
        </w:sectPr>
      </w:pPr>
    </w:p>
    <w:p>
      <w:pPr>
        <w:spacing w:after="0" w:line="3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Operating leases(1)</w:t>
      </w:r>
    </w:p>
    <w:p>
      <w:pPr>
        <w:spacing w:after="0" w:line="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Research and development contract obligations(2)</w:t>
      </w:r>
    </w:p>
    <w:p>
      <w:pPr>
        <w:spacing w:after="0" w:line="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Long term debt(3)</w:t>
      </w:r>
    </w:p>
    <w:p>
      <w:pPr>
        <w:spacing w:after="0" w:line="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Total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245745</wp:posOffset>
            </wp:positionV>
            <wp:extent cx="1445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More than</w:t>
            </w:r>
          </w:p>
        </w:tc>
      </w:tr>
      <w:tr>
        <w:trPr>
          <w:trHeight w:val="166"/>
        </w:trPr>
        <w:tc>
          <w:tcPr>
            <w:tcW w:w="100" w:type="dxa"/>
            <w:vAlign w:val="bottom"/>
          </w:tcPr>
          <w:p>
            <w:pPr>
              <w:spacing w:after="0"/>
              <w:rPr>
                <w:sz w:val="14"/>
                <w:szCs w:val="14"/>
                <w:color w:val="auto"/>
              </w:rPr>
            </w:pPr>
          </w:p>
        </w:tc>
        <w:tc>
          <w:tcPr>
            <w:tcW w:w="5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182"/>
        </w:trPr>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1,473</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1,176</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297</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tcPr>
          <w:p>
            <w:pPr>
              <w:ind w:left="320"/>
              <w:spacing w:after="0" w:line="182" w:lineRule="exact"/>
              <w:rPr>
                <w:sz w:val="20"/>
                <w:szCs w:val="20"/>
                <w:color w:val="auto"/>
              </w:rPr>
            </w:pPr>
            <w:r>
              <w:rPr>
                <w:rFonts w:ascii="Times New Roman" w:cs="Times New Roman" w:eastAsia="Times New Roman" w:hAnsi="Times New Roman"/>
                <w:sz w:val="17"/>
                <w:szCs w:val="17"/>
                <w:color w:val="auto"/>
              </w:rPr>
              <w:t>—</w:t>
            </w:r>
          </w:p>
        </w:tc>
      </w:tr>
      <w:tr>
        <w:trPr>
          <w:trHeight w:val="206"/>
        </w:trPr>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14,988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972</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10,637</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16,701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-285115</wp:posOffset>
            </wp:positionV>
            <wp:extent cx="5758180" cy="1308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8180" cy="13081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-554990</wp:posOffset>
            </wp:positionV>
            <wp:extent cx="5758180" cy="139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818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1" w:space="720"/>
            <w:col w:w="3880"/>
          </w:cols>
          <w:pgMar w:left="1419" w:top="110" w:right="1439" w:bottom="1440" w:gutter="0" w:footer="0" w:header="0"/>
          <w:type w:val="continuous"/>
        </w:sectPr>
      </w:pPr>
    </w:p>
    <w:p>
      <w:pPr>
        <w:spacing w:after="0" w:line="231" w:lineRule="exact"/>
        <w:rPr>
          <w:sz w:val="20"/>
          <w:szCs w:val="20"/>
          <w:color w:val="auto"/>
        </w:rPr>
      </w:pPr>
    </w:p>
    <w:p>
      <w:pPr>
        <w:ind w:left="201" w:right="160" w:hanging="205"/>
        <w:spacing w:after="0" w:line="195" w:lineRule="exact"/>
        <w:rPr>
          <w:sz w:val="20"/>
          <w:szCs w:val="20"/>
          <w:color w:val="auto"/>
        </w:rPr>
      </w:pPr>
      <w:r>
        <w:rPr>
          <w:rFonts w:ascii="Times New Roman" w:cs="Times New Roman" w:eastAsia="Times New Roman" w:hAnsi="Times New Roman"/>
          <w:sz w:val="17"/>
          <w:szCs w:val="17"/>
          <w:color w:val="auto"/>
        </w:rPr>
        <w:t>(1)Represents future minimum lease payments under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cancellable operating leases in effect as of June 30, 2016, including the remaining lease payments for our current facilities in Watertown, Massachusetts. The minimum lease payments above do not include common area maintenance charges, real estate taxes or any sublease payments we receive.</w:t>
      </w: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1"/>
          </w:cols>
          <w:pgMar w:left="1419" w:top="110" w:right="1439" w:bottom="1440" w:gutter="0" w:footer="0" w:header="0"/>
          <w:type w:val="continuous"/>
        </w:sectPr>
      </w:pPr>
    </w:p>
    <w:bookmarkStart w:id="40" w:name="page41"/>
    <w:bookmarkEnd w:id="40"/>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200" w:right="20" w:hanging="205"/>
        <w:spacing w:after="0" w:line="222" w:lineRule="auto"/>
        <w:rPr>
          <w:sz w:val="20"/>
          <w:szCs w:val="20"/>
          <w:color w:val="auto"/>
        </w:rPr>
      </w:pPr>
      <w:r>
        <w:rPr>
          <w:rFonts w:ascii="Times New Roman" w:cs="Times New Roman" w:eastAsia="Times New Roman" w:hAnsi="Times New Roman"/>
          <w:sz w:val="17"/>
          <w:szCs w:val="17"/>
          <w:color w:val="auto"/>
        </w:rPr>
        <w:t>(2)Represents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the purposes of presenting our contractual obligations under the MIT agreement, we have assumed license payments are fully offset by royalty payments in 2020.</w:t>
      </w:r>
    </w:p>
    <w:p>
      <w:pPr>
        <w:spacing w:after="0" w:line="48" w:lineRule="exact"/>
        <w:rPr>
          <w:sz w:val="20"/>
          <w:szCs w:val="20"/>
          <w:color w:val="auto"/>
        </w:rPr>
      </w:pPr>
    </w:p>
    <w:p>
      <w:pPr>
        <w:ind w:left="200" w:right="900" w:hanging="205"/>
        <w:spacing w:after="0" w:line="239" w:lineRule="auto"/>
        <w:rPr>
          <w:sz w:val="20"/>
          <w:szCs w:val="20"/>
          <w:color w:val="auto"/>
        </w:rPr>
      </w:pPr>
      <w:r>
        <w:rPr>
          <w:rFonts w:ascii="Times New Roman" w:cs="Times New Roman" w:eastAsia="Times New Roman" w:hAnsi="Times New Roman"/>
          <w:sz w:val="17"/>
          <w:szCs w:val="17"/>
          <w:color w:val="auto"/>
        </w:rPr>
        <w:t>(3)Represents payments of principal and interest under our credit facility assuming $12.0 million of borrowings and no prepayments.</w:t>
      </w:r>
    </w:p>
    <w:p>
      <w:pPr>
        <w:spacing w:after="0" w:line="357" w:lineRule="exact"/>
        <w:rPr>
          <w:sz w:val="20"/>
          <w:szCs w:val="20"/>
          <w:color w:val="auto"/>
        </w:rPr>
      </w:pPr>
    </w:p>
    <w:p>
      <w:pPr>
        <w:ind w:right="160"/>
        <w:spacing w:after="0" w:line="178" w:lineRule="exact"/>
        <w:rPr>
          <w:sz w:val="20"/>
          <w:szCs w:val="20"/>
          <w:color w:val="auto"/>
        </w:rPr>
      </w:pPr>
      <w:r>
        <w:rPr>
          <w:rFonts w:ascii="Times New Roman" w:cs="Times New Roman" w:eastAsia="Times New Roman" w:hAnsi="Times New Roman"/>
          <w:sz w:val="17"/>
          <w:szCs w:val="17"/>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licensed certain intellectual property, including our license agreement with MIT. We have excluded these potential payments in the contractual obligations table because the timing and likelihood of these contingent payments are not known.</w:t>
      </w:r>
    </w:p>
    <w:p>
      <w:pPr>
        <w:spacing w:after="0" w:line="154" w:lineRule="exact"/>
        <w:rPr>
          <w:sz w:val="20"/>
          <w:szCs w:val="20"/>
          <w:color w:val="auto"/>
        </w:rPr>
      </w:pPr>
    </w:p>
    <w:p>
      <w:pPr>
        <w:ind w:right="100"/>
        <w:spacing w:after="0" w:line="176" w:lineRule="exact"/>
        <w:rPr>
          <w:sz w:val="20"/>
          <w:szCs w:val="20"/>
          <w:color w:val="auto"/>
        </w:rPr>
      </w:pPr>
      <w:r>
        <w:rPr>
          <w:rFonts w:ascii="Times New Roman" w:cs="Times New Roman" w:eastAsia="Times New Roman" w:hAnsi="Times New Roman"/>
          <w:sz w:val="17"/>
          <w:szCs w:val="17"/>
          <w:color w:val="auto"/>
        </w:rPr>
        <w:t>We enter into agreements in the normal course of business with manufacturers and CROs for clinical trials, preclinical research studies and testing, manufacturing and other services and products for operating purposes. As of June 30, 2016, we had approximately $6.6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cancelable obligations under these agreements are not material.</w:t>
      </w:r>
    </w:p>
    <w:p>
      <w:pPr>
        <w:spacing w:after="0" w:line="153" w:lineRule="exact"/>
        <w:rPr>
          <w:sz w:val="20"/>
          <w:szCs w:val="20"/>
          <w:color w:val="auto"/>
        </w:rPr>
      </w:pPr>
    </w:p>
    <w:p>
      <w:pPr>
        <w:ind w:right="660"/>
        <w:spacing w:after="0" w:line="239" w:lineRule="auto"/>
        <w:rPr>
          <w:sz w:val="20"/>
          <w:szCs w:val="20"/>
          <w:color w:val="auto"/>
        </w:rPr>
      </w:pPr>
      <w:r>
        <w:rPr>
          <w:rFonts w:ascii="Times New Roman" w:cs="Times New Roman" w:eastAsia="Times New Roman" w:hAnsi="Times New Roman"/>
          <w:sz w:val="17"/>
          <w:szCs w:val="17"/>
          <w:color w:val="auto"/>
        </w:rPr>
        <w:t>During the six months ended June 30, 2016, there have been no material changes to our contractual obligations from those described above as of December 31, 2015.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USE OF ESTIMATES</w:t>
      </w:r>
    </w:p>
    <w:p>
      <w:pPr>
        <w:spacing w:after="0" w:line="182"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5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7"/>
          <w:szCs w:val="17"/>
          <w:color w:val="auto"/>
        </w:rPr>
        <w:t>The critical accounting policies that we believe impact significant judgments and estimates used in the preparation of our financial statements presented in this report are described under the heading “Management’s discussion and analysis of financial condition and results of operations—Critical accounting policies and use of estimates” in our final prospectus for our initial public offering filed pursuant to Rule 424(b)(4) under the Securities Act with the SEC on June 23, 2016 and the notes to the financial statements appearing elsewhere in this Quarterly Report on Form 10-Q. There have been no material changes to our critical accounting policies through June 30, 2016 from those discussed in our final prospectus filed on June 23, 2016.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VALUATION</w:t>
      </w:r>
    </w:p>
    <w:p>
      <w:pPr>
        <w:spacing w:after="0" w:line="182" w:lineRule="exact"/>
        <w:rPr>
          <w:sz w:val="20"/>
          <w:szCs w:val="20"/>
          <w:color w:val="auto"/>
        </w:rPr>
      </w:pPr>
    </w:p>
    <w:p>
      <w:pPr>
        <w:spacing w:after="0" w:line="181" w:lineRule="exact"/>
        <w:rPr>
          <w:sz w:val="20"/>
          <w:szCs w:val="20"/>
          <w:color w:val="auto"/>
        </w:rPr>
      </w:pPr>
      <w:r>
        <w:rPr>
          <w:rFonts w:ascii="Times New Roman" w:cs="Times New Roman" w:eastAsia="Times New Roman" w:hAnsi="Times New Roman"/>
          <w:sz w:val="17"/>
          <w:szCs w:val="17"/>
          <w:color w:val="auto"/>
        </w:rPr>
        <w:t>We granted warrants to purchase shares of our series D preferred stock and series E preferred stock to the lenders under our loan and security agreement dated August 9, 2013, as amended on May 9, 2014, and as amended and restated on December 31, 2015. Prior to our IPO, these warrants were classified as a liability as the warrants are free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standing financial instruments that may require us to transfer assets upon exercise. The warrants were initially recorded at their</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7"/>
          <w:szCs w:val="17"/>
          <w:color w:val="auto"/>
        </w:rPr>
        <w:t>grant date fair value on and are remeasured to fair value at each subsequent balance sheet date. Changes in fair value of these warrants are recognized as a component of other income (expense) in our consolidated statements of operations and comprehensive loss.</w:t>
      </w:r>
    </w:p>
    <w:p>
      <w:pPr>
        <w:spacing w:after="0" w:line="122" w:lineRule="exact"/>
        <w:rPr>
          <w:sz w:val="20"/>
          <w:szCs w:val="20"/>
          <w:color w:val="auto"/>
        </w:rPr>
      </w:pPr>
    </w:p>
    <w:p>
      <w:pPr>
        <w:ind w:right="20"/>
        <w:spacing w:after="0" w:line="174" w:lineRule="exact"/>
        <w:rPr>
          <w:sz w:val="20"/>
          <w:szCs w:val="20"/>
          <w:color w:val="auto"/>
        </w:rPr>
      </w:pPr>
      <w:r>
        <w:rPr>
          <w:rFonts w:ascii="Times New Roman" w:cs="Times New Roman" w:eastAsia="Times New Roman" w:hAnsi="Times New Roman"/>
          <w:sz w:val="17"/>
          <w:szCs w:val="17"/>
          <w:color w:val="auto"/>
        </w:rPr>
        <w:t>The fair value of the warrants are estimated using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party valuations and additional factors that we deem relevant. We have historically been a private company and lack company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historical and implied volatility information of our stock. Therefore, we estimate expected stock volatility based on the historical volatility of publicly traded comparable companies for a term equal to the remaining contractual term of the warrants. The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59" w:lineRule="exact"/>
        <w:rPr>
          <w:sz w:val="20"/>
          <w:szCs w:val="20"/>
          <w:color w:val="auto"/>
        </w:rPr>
      </w:pPr>
    </w:p>
    <w:p>
      <w:pPr>
        <w:spacing w:after="0" w:line="192" w:lineRule="exact"/>
        <w:rPr>
          <w:sz w:val="20"/>
          <w:szCs w:val="20"/>
          <w:color w:val="auto"/>
        </w:rPr>
      </w:pPr>
      <w:r>
        <w:rPr>
          <w:rFonts w:ascii="Times New Roman" w:cs="Times New Roman" w:eastAsia="Times New Roman" w:hAnsi="Times New Roman"/>
          <w:sz w:val="17"/>
          <w:szCs w:val="17"/>
          <w:color w:val="auto"/>
        </w:rPr>
        <w:t>Effective upon the IPO, the underlying redeemable convertible preferred stock were converted to common stock. The preferred warrants became exercisable into common stock instead of preferred stock and the fair value of the warrant liability was reclassified to additional paid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82"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7"/>
          <w:szCs w:val="17"/>
          <w:color w:val="auto"/>
        </w:rPr>
        <w:t>As of June 30, 2016, we did not have any off-balance sheet arrangements as defined in the rules and regulations of the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OPERATING LOSS AND RESEARCH AND DEVELOPMENT TAX CREDIT CARRYFORWARDS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2015, we had net operating loss carryforwards, or NOLs, for federal and state income tax purposes of</w:t>
      </w:r>
    </w:p>
    <w:p>
      <w:pPr>
        <w:ind w:right="60"/>
        <w:spacing w:after="0" w:line="212" w:lineRule="auto"/>
        <w:rPr>
          <w:sz w:val="20"/>
          <w:szCs w:val="20"/>
          <w:color w:val="auto"/>
        </w:rPr>
      </w:pPr>
      <w:r>
        <w:rPr>
          <w:rFonts w:ascii="Times New Roman" w:cs="Times New Roman" w:eastAsia="Times New Roman" w:hAnsi="Times New Roman"/>
          <w:sz w:val="17"/>
          <w:szCs w:val="17"/>
          <w:color w:val="auto"/>
        </w:rPr>
        <w:t>$82.4 million and $76.3 million, respectively, which expire at various times through 2035.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2035. At December 31, 2015, we had available federal and state research and development income tax credits of approximately $1.6 million and $1.1 million respectively, which may be available to reduce future income taxes, if any, at various times through 2035.</w:t>
      </w:r>
    </w:p>
    <w:p>
      <w:pPr>
        <w:spacing w:after="0" w:line="155" w:lineRule="exact"/>
        <w:rPr>
          <w:sz w:val="20"/>
          <w:szCs w:val="20"/>
          <w:color w:val="auto"/>
        </w:rPr>
      </w:pPr>
    </w:p>
    <w:p>
      <w:pPr>
        <w:ind w:right="60"/>
        <w:spacing w:after="0" w:line="173" w:lineRule="exact"/>
        <w:rPr>
          <w:sz w:val="20"/>
          <w:szCs w:val="20"/>
          <w:color w:val="auto"/>
        </w:rPr>
      </w:pPr>
      <w:r>
        <w:rPr>
          <w:rFonts w:ascii="Times New Roman" w:cs="Times New Roman" w:eastAsia="Times New Roman" w:hAnsi="Times New Roman"/>
          <w:sz w:val="17"/>
          <w:szCs w:val="17"/>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 ACCOUNTING ELECTION</w:t>
      </w:r>
    </w:p>
    <w:p>
      <w:pPr>
        <w:spacing w:after="0" w:line="182"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7"/>
          <w:szCs w:val="17"/>
          <w:color w:val="auto"/>
        </w:rPr>
        <w:t>In April 2012, the Jumpstart Our Business Startups Act of 2012, or the JOBS Act, was enacted. Section 107 of the JOBS Act provides that an emerging growth company can take advantage of an extended transition period for complying with</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7"/>
          <w:szCs w:val="17"/>
          <w:color w:val="auto"/>
        </w:rPr>
        <w:t>new or revised accounting standards. Thus,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53" w:lineRule="exact"/>
        <w:rPr>
          <w:sz w:val="20"/>
          <w:szCs w:val="20"/>
          <w:color w:val="auto"/>
        </w:rPr>
      </w:pPr>
    </w:p>
    <w:p>
      <w:pPr>
        <w:spacing w:after="0" w:line="177" w:lineRule="exact"/>
        <w:rPr>
          <w:sz w:val="20"/>
          <w:szCs w:val="20"/>
          <w:color w:val="auto"/>
        </w:rPr>
      </w:pPr>
      <w:r>
        <w:rPr>
          <w:rFonts w:ascii="Times New Roman" w:cs="Times New Roman" w:eastAsia="Times New Roman" w:hAnsi="Times New Roman"/>
          <w:sz w:val="17"/>
          <w:szCs w:val="17"/>
          <w:color w:val="auto"/>
        </w:rPr>
        <w:t>In May 2014, FASB issued Accounting Standards Update, or ASU, No.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09,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or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which amends the guidance for revenue recognition to replace numerous industry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requirements.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implements a five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step process for customer contract revenue recognition that focuses on transfer of control, as opposed to transfer of risk and rewards.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are effective for reporting periods beginning after December 15, 2017. Early adoption is permitted, but not before December 15, 2016. Entities can transition to the standard either retrospectively or as a cumulative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 adjustment as of the date of adoption. We are currently in the process of evaluating the effect the adoption of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may have on our financial statements.</w:t>
      </w:r>
    </w:p>
    <w:p>
      <w:pPr>
        <w:spacing w:after="0" w:line="110" w:lineRule="exact"/>
        <w:rPr>
          <w:sz w:val="20"/>
          <w:szCs w:val="20"/>
          <w:color w:val="auto"/>
        </w:rPr>
      </w:pPr>
    </w:p>
    <w:p>
      <w:pPr>
        <w:jc w:val="both"/>
        <w:ind w:right="120"/>
        <w:spacing w:after="0" w:line="188" w:lineRule="exact"/>
        <w:rPr>
          <w:sz w:val="20"/>
          <w:szCs w:val="20"/>
          <w:color w:val="auto"/>
        </w:rPr>
      </w:pPr>
      <w:r>
        <w:rPr>
          <w:rFonts w:ascii="Times New Roman" w:cs="Times New Roman" w:eastAsia="Times New Roman" w:hAnsi="Times New Roman"/>
          <w:sz w:val="17"/>
          <w:szCs w:val="17"/>
          <w:color w:val="auto"/>
        </w:rPr>
        <w:t>In August 2014, the FASB issued ASU No.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Disclosure of Uncertainties about an Entity’s Ability to Continue as a Going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Concern, </w:t>
      </w:r>
      <w:r>
        <w:rPr>
          <w:rFonts w:ascii="Times New Roman" w:cs="Times New Roman" w:eastAsia="Times New Roman" w:hAnsi="Times New Roman"/>
          <w:sz w:val="17"/>
          <w:szCs w:val="17"/>
          <w:color w:val="auto"/>
        </w:rPr>
        <w:t>or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15 requires management to assess our ability to continue as a going concern and to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disclosures in certain circumstances. The requirements of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 will be effective for the annual financial statement period beginning after December 15, 2016, with early adoption permitted. We are currently in the process of evaluating the impact of adopting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w:t>
      </w:r>
    </w:p>
    <w:p>
      <w:pPr>
        <w:spacing w:after="0" w:line="105" w:lineRule="exact"/>
        <w:rPr>
          <w:sz w:val="20"/>
          <w:szCs w:val="20"/>
          <w:color w:val="auto"/>
        </w:rPr>
      </w:pPr>
    </w:p>
    <w:p>
      <w:pPr>
        <w:ind w:right="40"/>
        <w:spacing w:after="0" w:line="182" w:lineRule="exact"/>
        <w:rPr>
          <w:sz w:val="20"/>
          <w:szCs w:val="20"/>
          <w:color w:val="auto"/>
        </w:rPr>
      </w:pPr>
      <w:r>
        <w:rPr>
          <w:rFonts w:ascii="Times New Roman" w:cs="Times New Roman" w:eastAsia="Times New Roman" w:hAnsi="Times New Roman"/>
          <w:sz w:val="17"/>
          <w:szCs w:val="17"/>
          <w:color w:val="auto"/>
        </w:rPr>
        <w:t>In February 2016, FASB issued ASU No.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requires a lessee to separate the lease components from the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lease components in a contract and recognize in the statement of financial position a liability to make lease payments (the lease liability) and a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asset representing its right to use the underlying asset for the lease term. It also aligns lease accounting for lessors with the revenue recognition guidance in ASU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is effective for fiscal years beginning after December 15, 2018, including interim periods within those fiscal years, and is to be applied at the beginning of the earliest period presented using a modified retrospective approach. We are currently in the process of evaluating the impact of adopting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02.</w:t>
      </w:r>
    </w:p>
    <w:p>
      <w:pPr>
        <w:spacing w:after="0" w:line="133"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7"/>
          <w:szCs w:val="17"/>
          <w:color w:val="auto"/>
        </w:rPr>
        <w:t>In March 2016, the FASB issued ASU 2016-09, Improvements to Employee Share-Based Payment Accounting,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We are evaluating the impact that the adoption of this standard will have on our financial statements.</w:t>
      </w:r>
    </w:p>
    <w:p>
      <w:pPr>
        <w:spacing w:after="0" w:line="1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2" w:lineRule="exact"/>
        <w:rPr>
          <w:sz w:val="20"/>
          <w:szCs w:val="20"/>
          <w:color w:val="auto"/>
        </w:rPr>
      </w:pPr>
    </w:p>
    <w:p>
      <w:pPr>
        <w:ind w:right="60"/>
        <w:spacing w:after="0" w:line="176" w:lineRule="exact"/>
        <w:rPr>
          <w:sz w:val="20"/>
          <w:szCs w:val="20"/>
          <w:color w:val="auto"/>
        </w:rPr>
      </w:pPr>
      <w:r>
        <w:rPr>
          <w:rFonts w:ascii="Times New Roman" w:cs="Times New Roman" w:eastAsia="Times New Roman" w:hAnsi="Times New Roman"/>
          <w:sz w:val="17"/>
          <w:szCs w:val="17"/>
          <w:color w:val="auto"/>
        </w:rPr>
        <w:t>The market risk inherent in our financial instruments and in our financial position represents the potential loss arising from adverse changes in interest rates. As of June 30, 2016 and December 31, 2015, we had cash equivalents of $82.6 million and $32.3 million, respectively, consisting of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interest and interest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bearing money market accounts and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150" w:lineRule="exact"/>
        <w:rPr>
          <w:sz w:val="20"/>
          <w:szCs w:val="20"/>
          <w:color w:val="auto"/>
        </w:rPr>
      </w:pPr>
    </w:p>
    <w:p>
      <w:pPr>
        <w:ind w:right="40"/>
        <w:spacing w:after="0" w:line="185" w:lineRule="exact"/>
        <w:rPr>
          <w:sz w:val="20"/>
          <w:szCs w:val="20"/>
          <w:color w:val="auto"/>
        </w:rPr>
      </w:pPr>
      <w:r>
        <w:rPr>
          <w:rFonts w:ascii="Times New Roman" w:cs="Times New Roman" w:eastAsia="Times New Roman" w:hAnsi="Times New Roman"/>
          <w:sz w:val="17"/>
          <w:szCs w:val="17"/>
          <w:color w:val="auto"/>
        </w:rPr>
        <w:t>In addition, we are subject to currency risk for balances held in rubles in our foreign subsidiary. We hold portions of our funds in both U.S. dollars and rubles. The exchange rate between the U.S. dollar and ruble changes from period to period. As June 30, 2016, we held $3.5 million of total cash in Russian banks to support our Russian subsidiary, which includes $1.2 million of cash and cash equivalents, $1.9 million of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term deposits and $0.4 million of restricted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380"/>
        <w:spacing w:after="0" w:line="195" w:lineRule="exact"/>
        <w:rPr>
          <w:sz w:val="20"/>
          <w:szCs w:val="20"/>
          <w:color w:val="auto"/>
        </w:rPr>
      </w:pPr>
      <w:r>
        <w:rPr>
          <w:rFonts w:ascii="Times New Roman" w:cs="Times New Roman" w:eastAsia="Times New Roman" w:hAnsi="Times New Roman"/>
          <w:sz w:val="17"/>
          <w:szCs w:val="17"/>
          <w:color w:val="auto"/>
        </w:rPr>
        <w:t>cash, of which $1.1 million of cash and cash equivalents and the $1.9 million of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deposits were denominated in U.S. dollars. We do not hedge against foreign currency risks. We do not believe that inflation and changing prices had a significant impact on our results of operations for any periods presented herein.</w:t>
      </w:r>
    </w:p>
    <w:p>
      <w:pPr>
        <w:spacing w:after="0" w:line="1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182" w:lineRule="exact"/>
        <w:rPr>
          <w:sz w:val="20"/>
          <w:szCs w:val="20"/>
          <w:color w:val="auto"/>
        </w:rPr>
      </w:pPr>
    </w:p>
    <w:p>
      <w:pPr>
        <w:ind w:right="20" w:firstLine="396"/>
        <w:spacing w:after="0" w:line="222"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82" w:lineRule="exact"/>
        <w:rPr>
          <w:sz w:val="20"/>
          <w:szCs w:val="20"/>
          <w:color w:val="auto"/>
        </w:rPr>
      </w:pPr>
    </w:p>
    <w:p>
      <w:pPr>
        <w:ind w:firstLine="396"/>
        <w:spacing w:after="0" w:line="21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2" w:lineRule="exact"/>
        <w:rPr>
          <w:sz w:val="20"/>
          <w:szCs w:val="20"/>
          <w:color w:val="auto"/>
        </w:rPr>
      </w:pPr>
    </w:p>
    <w:p>
      <w:pPr>
        <w:ind w:right="100" w:firstLine="396"/>
        <w:spacing w:after="0" w:line="228"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June 30, 2016 that has materially affected, or is reasonably likely to materially affect, our internal control over financial reporting.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7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are not party to any material legal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78" w:lineRule="exact"/>
        <w:rPr>
          <w:sz w:val="20"/>
          <w:szCs w:val="20"/>
          <w:color w:val="auto"/>
        </w:rPr>
      </w:pPr>
    </w:p>
    <w:p>
      <w:pPr>
        <w:jc w:val="both"/>
        <w:ind w:firstLine="617"/>
        <w:spacing w:after="0" w:line="217"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153" w:lineRule="exact"/>
        <w:rPr>
          <w:sz w:val="20"/>
          <w:szCs w:val="20"/>
          <w:color w:val="auto"/>
        </w:rPr>
      </w:pPr>
    </w:p>
    <w:p>
      <w:pPr>
        <w:ind w:right="60"/>
        <w:spacing w:after="0" w:line="209" w:lineRule="exact"/>
        <w:rPr>
          <w:sz w:val="20"/>
          <w:szCs w:val="20"/>
          <w:color w:val="auto"/>
        </w:rPr>
      </w:pPr>
      <w:r>
        <w:rPr>
          <w:rFonts w:ascii="Times New Roman" w:cs="Times New Roman" w:eastAsia="Times New Roman" w:hAnsi="Times New Roman"/>
          <w:sz w:val="17"/>
          <w:szCs w:val="17"/>
          <w:b w:val="1"/>
          <w:bCs w:val="1"/>
          <w:i w:val="1"/>
          <w:iCs w:val="1"/>
          <w:color w:val="auto"/>
        </w:rPr>
        <w:t>We are a development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stage company and have incurred significant losses since our inception. We expect to incur losses for the foreseeable future and may never achieve or maintain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-189230</wp:posOffset>
            </wp:positionV>
            <wp:extent cx="622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32"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7"/>
          <w:szCs w:val="17"/>
          <w:color w:val="auto"/>
        </w:rPr>
        <w:t>Since inception, we have incurred significant operating losses. Our net loss was $14.4 million for the six months ended June 30, 2016, and $25.2 million and $12.9 million for the years ended December 31, 2015 and 2014, respectively. As of June 30, 2016, we had an accumulated deficit of $129.8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7"/>
          <w:szCs w:val="17"/>
          <w:color w:val="auto"/>
        </w:rPr>
        <w:t>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2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conduct additional clinical trials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our lead product candidate;</w:t>
      </w:r>
    </w:p>
    <w:p>
      <w:pPr>
        <w:spacing w:after="0" w:line="103" w:lineRule="exact"/>
        <w:rPr>
          <w:sz w:val="20"/>
          <w:szCs w:val="20"/>
          <w:color w:val="auto"/>
        </w:rPr>
      </w:pPr>
    </w:p>
    <w:p>
      <w:pPr>
        <w:ind w:left="60" w:right="100" w:hanging="50"/>
        <w:spacing w:after="0" w:line="239" w:lineRule="auto"/>
        <w:rPr>
          <w:sz w:val="20"/>
          <w:szCs w:val="20"/>
          <w:color w:val="auto"/>
        </w:rPr>
      </w:pPr>
      <w:r>
        <w:rPr>
          <w:rFonts w:ascii="Times New Roman" w:cs="Times New Roman" w:eastAsia="Times New Roman" w:hAnsi="Times New Roman"/>
          <w:sz w:val="17"/>
          <w:szCs w:val="17"/>
          <w:color w:val="auto"/>
        </w:rPr>
        <w:t>·continue the research and development of our other product candidates, including completing preclinical studies and commencing trials for such product candidates;</w:t>
      </w:r>
    </w:p>
    <w:p>
      <w:pPr>
        <w:spacing w:after="0" w:line="48" w:lineRule="exact"/>
        <w:rPr>
          <w:sz w:val="20"/>
          <w:szCs w:val="20"/>
          <w:color w:val="auto"/>
        </w:rPr>
      </w:pPr>
    </w:p>
    <w:p>
      <w:pPr>
        <w:jc w:val="both"/>
        <w:ind w:right="2540"/>
        <w:spacing w:after="0" w:line="331" w:lineRule="auto"/>
        <w:rPr>
          <w:sz w:val="20"/>
          <w:szCs w:val="20"/>
          <w:color w:val="auto"/>
        </w:rPr>
      </w:pPr>
      <w:r>
        <w:rPr>
          <w:rFonts w:ascii="Times New Roman" w:cs="Times New Roman" w:eastAsia="Times New Roman" w:hAnsi="Times New Roman"/>
          <w:sz w:val="17"/>
          <w:szCs w:val="17"/>
          <w:color w:val="auto"/>
        </w:rPr>
        <w:t>·seek to enhance our SVP technology and discover and develop additional product candidates; ·seek regulatory approvals for any product candidates that successfully complete clinical trials;</w:t>
      </w:r>
    </w:p>
    <w:p>
      <w:pPr>
        <w:spacing w:after="0" w:line="1" w:lineRule="exact"/>
        <w:rPr>
          <w:sz w:val="20"/>
          <w:szCs w:val="20"/>
          <w:color w:val="auto"/>
        </w:rPr>
      </w:pPr>
    </w:p>
    <w:p>
      <w:pPr>
        <w:ind w:left="60" w:right="740" w:hanging="50"/>
        <w:spacing w:after="0" w:line="239" w:lineRule="auto"/>
        <w:rPr>
          <w:sz w:val="20"/>
          <w:szCs w:val="20"/>
          <w:color w:val="auto"/>
        </w:rPr>
      </w:pPr>
      <w:r>
        <w:rPr>
          <w:rFonts w:ascii="Times New Roman" w:cs="Times New Roman" w:eastAsia="Times New Roman" w:hAnsi="Times New Roman"/>
          <w:sz w:val="17"/>
          <w:szCs w:val="17"/>
          <w:color w:val="auto"/>
        </w:rPr>
        <w:t>·potentially establish a sales, marketing and distribution infrastructure and scale up external manufacturing capabilities to commercialize any products for which we may obtain regulatory approval;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 expand and protect our intellectual property portfolio, including through licensing arrangements;</w:t>
      </w:r>
    </w:p>
    <w:p>
      <w:pPr>
        <w:spacing w:after="0" w:line="75" w:lineRule="exact"/>
        <w:rPr>
          <w:sz w:val="20"/>
          <w:szCs w:val="20"/>
          <w:color w:val="auto"/>
        </w:rPr>
      </w:pPr>
    </w:p>
    <w:p>
      <w:pPr>
        <w:ind w:left="60" w:right="140" w:hanging="50"/>
        <w:spacing w:after="0" w:line="239" w:lineRule="auto"/>
        <w:rPr>
          <w:sz w:val="20"/>
          <w:szCs w:val="20"/>
          <w:color w:val="auto"/>
        </w:rPr>
      </w:pPr>
      <w:r>
        <w:rPr>
          <w:rFonts w:ascii="Times New Roman" w:cs="Times New Roman" w:eastAsia="Times New Roman" w:hAnsi="Times New Roman"/>
          <w:sz w:val="17"/>
          <w:szCs w:val="17"/>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48" w:lineRule="exact"/>
        <w:rPr>
          <w:sz w:val="20"/>
          <w:szCs w:val="20"/>
          <w:color w:val="auto"/>
        </w:rPr>
      </w:pPr>
    </w:p>
    <w:p>
      <w:pPr>
        <w:ind w:left="60" w:right="120" w:hanging="50"/>
        <w:spacing w:after="0" w:line="239" w:lineRule="auto"/>
        <w:rPr>
          <w:sz w:val="20"/>
          <w:szCs w:val="20"/>
          <w:color w:val="auto"/>
        </w:rPr>
      </w:pPr>
      <w:r>
        <w:rPr>
          <w:rFonts w:ascii="Times New Roman" w:cs="Times New Roman" w:eastAsia="Times New Roman" w:hAnsi="Times New Roman"/>
          <w:sz w:val="17"/>
          <w:szCs w:val="17"/>
          <w:color w:val="auto"/>
        </w:rPr>
        <w:t>·experience any delays or encounter any issues with any of the above, including, but not limited to, failed studies, complex results, safety issues or other regulatory challenges.</w:t>
      </w:r>
    </w:p>
    <w:p>
      <w:pPr>
        <w:spacing w:after="0" w:line="35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50"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54"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7"/>
          <w:szCs w:val="17"/>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50"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7"/>
          <w:szCs w:val="17"/>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w:t>
      </w:r>
    </w:p>
    <w:p>
      <w:pPr>
        <w:spacing w:after="0" w:line="14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Times New Roman" w:cs="Times New Roman" w:eastAsia="Times New Roman" w:hAnsi="Times New Roman"/>
          <w:sz w:val="17"/>
          <w:szCs w:val="17"/>
          <w:b w:val="1"/>
          <w:bCs w:val="1"/>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expenses to increase in connection with our ongoing activities, particularly as we conduct our clinical trials of</w:t>
      </w:r>
    </w:p>
    <w:p>
      <w:pPr>
        <w:ind w:right="20"/>
        <w:spacing w:after="0" w:line="182" w:lineRule="exact"/>
        <w:rPr>
          <w:sz w:val="20"/>
          <w:szCs w:val="20"/>
          <w:color w:val="auto"/>
        </w:rPr>
      </w:pPr>
      <w:r>
        <w:rPr>
          <w:rFonts w:ascii="Times New Roman" w:cs="Times New Roman" w:eastAsia="Times New Roman" w:hAnsi="Times New Roman"/>
          <w:sz w:val="17"/>
          <w:szCs w:val="17"/>
          <w:color w:val="auto"/>
        </w:rPr>
        <w:t>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7"/>
          <w:szCs w:val="17"/>
          <w:color w:val="auto"/>
        </w:rPr>
        <w:t>funding to continue operations. If we are unable to raise capital when needed or on attractive terms, we could be forced to delay, reduce or eliminate our research and development programs or any future commercialization efforts.</w:t>
      </w:r>
    </w:p>
    <w:p>
      <w:pPr>
        <w:spacing w:after="0" w:line="151"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7"/>
          <w:szCs w:val="17"/>
          <w:color w:val="auto"/>
        </w:rPr>
        <w:t>We believe that our existing cash, cash equivalents and investments, and funding that we expect to receive under our existing collaborations will enable us to fund our operating expenses and capital expenditure requirements through at least December 31, 2017. We have based this estimate on assumptions that may prove to be wrong, and we could use our capital resources sooner than we currently expect. Our future capital requirements will depend on many factors, including:</w:t>
      </w:r>
    </w:p>
    <w:p>
      <w:pPr>
        <w:spacing w:after="0" w:line="12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the progress and results of our clinical trials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w:t>
      </w:r>
    </w:p>
    <w:p>
      <w:pPr>
        <w:spacing w:after="0" w:line="103" w:lineRule="exact"/>
        <w:rPr>
          <w:sz w:val="20"/>
          <w:szCs w:val="20"/>
          <w:color w:val="auto"/>
        </w:rPr>
      </w:pPr>
    </w:p>
    <w:p>
      <w:pPr>
        <w:ind w:left="60" w:right="160" w:hanging="50"/>
        <w:spacing w:after="0" w:line="239" w:lineRule="auto"/>
        <w:rPr>
          <w:sz w:val="20"/>
          <w:szCs w:val="20"/>
          <w:color w:val="auto"/>
        </w:rPr>
      </w:pPr>
      <w:r>
        <w:rPr>
          <w:rFonts w:ascii="Times New Roman" w:cs="Times New Roman" w:eastAsia="Times New Roman" w:hAnsi="Times New Roman"/>
          <w:sz w:val="17"/>
          <w:szCs w:val="17"/>
          <w:color w:val="auto"/>
        </w:rPr>
        <w:t>·our collaboration agreements remaining in effect, our entering into additional collaboration agreements and our ability to achieve milestones under these agreements;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cost of manufacturing clinical supplies of our product candidates;</w:t>
      </w:r>
    </w:p>
    <w:p>
      <w:pPr>
        <w:spacing w:after="0" w:line="75" w:lineRule="exact"/>
        <w:rPr>
          <w:sz w:val="20"/>
          <w:szCs w:val="20"/>
          <w:color w:val="auto"/>
        </w:rPr>
      </w:pPr>
    </w:p>
    <w:p>
      <w:pPr>
        <w:ind w:left="60" w:right="620" w:hanging="50"/>
        <w:spacing w:after="0" w:line="239" w:lineRule="auto"/>
        <w:rPr>
          <w:sz w:val="20"/>
          <w:szCs w:val="20"/>
          <w:color w:val="auto"/>
        </w:rPr>
      </w:pPr>
      <w:r>
        <w:rPr>
          <w:rFonts w:ascii="Times New Roman" w:cs="Times New Roman" w:eastAsia="Times New Roman" w:hAnsi="Times New Roman"/>
          <w:sz w:val="17"/>
          <w:szCs w:val="17"/>
          <w:color w:val="auto"/>
        </w:rPr>
        <w:t>·the scope, progress, results and costs of preclinical development, laboratory testing and clinical trials for our other product candidates;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costs, timing and outcome of regulatory review of our product candidates;</w:t>
      </w:r>
    </w:p>
    <w:p>
      <w:pPr>
        <w:spacing w:after="0" w:line="75" w:lineRule="exact"/>
        <w:rPr>
          <w:sz w:val="20"/>
          <w:szCs w:val="20"/>
          <w:color w:val="auto"/>
        </w:rPr>
      </w:pPr>
    </w:p>
    <w:p>
      <w:pPr>
        <w:ind w:left="60" w:right="160" w:hanging="50"/>
        <w:spacing w:after="0" w:line="239" w:lineRule="auto"/>
        <w:rPr>
          <w:sz w:val="20"/>
          <w:szCs w:val="20"/>
          <w:color w:val="auto"/>
        </w:rPr>
      </w:pPr>
      <w:r>
        <w:rPr>
          <w:rFonts w:ascii="Times New Roman" w:cs="Times New Roman" w:eastAsia="Times New Roman" w:hAnsi="Times New Roman"/>
          <w:sz w:val="17"/>
          <w:szCs w:val="17"/>
          <w:color w:val="auto"/>
        </w:rPr>
        <w:t>·the costs and timing of future commercialization activities, including manufacturing, marketing, sales and distribution, for any of our product candidates for which we receive marketing approval;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revenue, if any, received from commercial sales of our product candidates for which we receive marketing approval;</w:t>
      </w:r>
    </w:p>
    <w:p>
      <w:pPr>
        <w:spacing w:after="0" w:line="75" w:lineRule="exact"/>
        <w:rPr>
          <w:sz w:val="20"/>
          <w:szCs w:val="20"/>
          <w:color w:val="auto"/>
        </w:rPr>
      </w:pPr>
    </w:p>
    <w:p>
      <w:pPr>
        <w:ind w:left="60" w:right="240" w:hanging="50"/>
        <w:spacing w:after="0" w:line="204" w:lineRule="exact"/>
        <w:rPr>
          <w:sz w:val="20"/>
          <w:szCs w:val="20"/>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claims;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effect of competing technological and market developments; and</w:t>
      </w:r>
    </w:p>
    <w:p>
      <w:pPr>
        <w:spacing w:after="0" w:line="75" w:lineRule="exact"/>
        <w:rPr>
          <w:sz w:val="20"/>
          <w:szCs w:val="20"/>
          <w:color w:val="auto"/>
        </w:rPr>
      </w:pPr>
    </w:p>
    <w:p>
      <w:pPr>
        <w:ind w:left="60" w:right="20" w:hanging="50"/>
        <w:spacing w:after="0" w:line="239" w:lineRule="auto"/>
        <w:rPr>
          <w:sz w:val="20"/>
          <w:szCs w:val="20"/>
          <w:color w:val="auto"/>
        </w:rPr>
      </w:pPr>
      <w:r>
        <w:rPr>
          <w:rFonts w:ascii="Times New Roman" w:cs="Times New Roman" w:eastAsia="Times New Roman" w:hAnsi="Times New Roman"/>
          <w:sz w:val="17"/>
          <w:szCs w:val="17"/>
          <w:color w:val="auto"/>
        </w:rPr>
        <w:t>·the extent to which we acquire or invest in businesses, products and technologies, including entering into licensing or collaboration arrangements for product candidates.</w:t>
      </w:r>
    </w:p>
    <w:p>
      <w:pPr>
        <w:spacing w:after="0" w:line="123" w:lineRule="exact"/>
        <w:rPr>
          <w:sz w:val="20"/>
          <w:szCs w:val="20"/>
          <w:color w:val="auto"/>
        </w:rPr>
      </w:pPr>
    </w:p>
    <w:p>
      <w:pPr>
        <w:spacing w:after="0" w:line="174" w:lineRule="exact"/>
        <w:rPr>
          <w:sz w:val="20"/>
          <w:szCs w:val="20"/>
          <w:color w:val="auto"/>
        </w:rPr>
      </w:pPr>
      <w:r>
        <w:rPr>
          <w:rFonts w:ascii="Times New Roman" w:cs="Times New Roman" w:eastAsia="Times New Roman" w:hAnsi="Times New Roman"/>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for you to evaluate the success of our business to date and to assess our future viability.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commenced active operations in 2007, and our operations to date have been limited to developing and researching our SVP</w:t>
      </w:r>
    </w:p>
    <w:p>
      <w:pPr>
        <w:spacing w:after="0" w:line="205" w:lineRule="auto"/>
        <w:rPr>
          <w:sz w:val="20"/>
          <w:szCs w:val="20"/>
          <w:color w:val="auto"/>
        </w:rPr>
      </w:pPr>
      <w:r>
        <w:rPr>
          <w:rFonts w:ascii="Times New Roman" w:cs="Times New Roman" w:eastAsia="Times New Roman" w:hAnsi="Times New Roman"/>
          <w:sz w:val="17"/>
          <w:szCs w:val="17"/>
          <w:color w:val="auto"/>
        </w:rPr>
        <w:t>technology and related products and programs, building our intellectual property portfolio, developing our supply chain, planning</w:t>
      </w:r>
    </w:p>
    <w:p>
      <w:pPr>
        <w:spacing w:after="0" w:line="205" w:lineRule="auto"/>
        <w:rPr>
          <w:sz w:val="20"/>
          <w:szCs w:val="20"/>
          <w:color w:val="auto"/>
        </w:rPr>
      </w:pPr>
      <w:r>
        <w:rPr>
          <w:rFonts w:ascii="Times New Roman" w:cs="Times New Roman" w:eastAsia="Times New Roman" w:hAnsi="Times New Roman"/>
          <w:sz w:val="17"/>
          <w:szCs w:val="17"/>
          <w:color w:val="auto"/>
        </w:rPr>
        <w:t>our business, raising capital and providing general and administrative support for these operations. All but one of our product</w:t>
      </w:r>
    </w:p>
    <w:p>
      <w:pPr>
        <w:spacing w:after="0" w:line="167" w:lineRule="exact"/>
        <w:rPr>
          <w:sz w:val="20"/>
          <w:szCs w:val="20"/>
          <w:color w:val="auto"/>
        </w:rPr>
      </w:pPr>
      <w:r>
        <w:rPr>
          <w:rFonts w:ascii="Times New Roman" w:cs="Times New Roman" w:eastAsia="Times New Roman" w:hAnsi="Times New Roman"/>
          <w:sz w:val="17"/>
          <w:szCs w:val="17"/>
          <w:color w:val="auto"/>
        </w:rPr>
        <w:t>candidates,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are still in preclinical development. We completed the patient treatment portion of our Phase 1a clinical trial</w:t>
      </w:r>
    </w:p>
    <w:p>
      <w:pPr>
        <w:spacing w:after="0" w:line="168" w:lineRule="exact"/>
        <w:rPr>
          <w:sz w:val="20"/>
          <w:szCs w:val="20"/>
          <w:color w:val="auto"/>
        </w:rPr>
      </w:pPr>
      <w:r>
        <w:rPr>
          <w:rFonts w:ascii="Times New Roman" w:cs="Times New Roman" w:eastAsia="Times New Roman" w:hAnsi="Times New Roman"/>
          <w:sz w:val="17"/>
          <w:szCs w:val="17"/>
          <w:color w:val="auto"/>
        </w:rPr>
        <w:t>of pegsiticase, a component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our lead product candidate, but have not yet completed any other clinical trials for</w:t>
      </w:r>
    </w:p>
    <w:p>
      <w:pPr>
        <w:spacing w:after="0" w:line="167" w:lineRule="exact"/>
        <w:rPr>
          <w:sz w:val="20"/>
          <w:szCs w:val="20"/>
          <w:color w:val="auto"/>
        </w:rPr>
      </w:pPr>
      <w:r>
        <w:rPr>
          <w:rFonts w:ascii="Times New Roman" w:cs="Times New Roman" w:eastAsia="Times New Roman" w:hAnsi="Times New Roman"/>
          <w:sz w:val="17"/>
          <w:szCs w:val="17"/>
          <w:color w:val="auto"/>
        </w:rPr>
        <w:t>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or any other product candidates. We have not yet demonstrated our ability to successfully complete any Phase 2 clinical</w:t>
      </w:r>
    </w:p>
    <w:p>
      <w:pPr>
        <w:spacing w:after="0" w:line="205" w:lineRule="auto"/>
        <w:rPr>
          <w:sz w:val="20"/>
          <w:szCs w:val="20"/>
          <w:color w:val="auto"/>
        </w:rPr>
      </w:pPr>
      <w:r>
        <w:rPr>
          <w:rFonts w:ascii="Times New Roman" w:cs="Times New Roman" w:eastAsia="Times New Roman" w:hAnsi="Times New Roman"/>
          <w:sz w:val="17"/>
          <w:szCs w:val="17"/>
          <w:color w:val="auto"/>
        </w:rPr>
        <w:t>trial or any Phase 3 or other pivotal clinical trials, obtain regulatory approvals, manufacture a commercial scale product, or arrange</w:t>
      </w:r>
    </w:p>
    <w:p>
      <w:pPr>
        <w:spacing w:after="0" w:line="206" w:lineRule="auto"/>
        <w:rPr>
          <w:sz w:val="20"/>
          <w:szCs w:val="20"/>
          <w:color w:val="auto"/>
        </w:rPr>
      </w:pPr>
      <w:r>
        <w:rPr>
          <w:rFonts w:ascii="Times New Roman" w:cs="Times New Roman" w:eastAsia="Times New Roman" w:hAnsi="Times New Roman"/>
          <w:sz w:val="17"/>
          <w:szCs w:val="17"/>
          <w:color w:val="auto"/>
        </w:rPr>
        <w:t>for a third party to do so on our behalf, or conduct sales and marketing activities necessary for successful product</w:t>
      </w:r>
    </w:p>
    <w:p>
      <w:pPr>
        <w:spacing w:after="0" w:line="205" w:lineRule="auto"/>
        <w:rPr>
          <w:sz w:val="20"/>
          <w:szCs w:val="20"/>
          <w:color w:val="auto"/>
        </w:rPr>
      </w:pPr>
      <w:r>
        <w:rPr>
          <w:rFonts w:ascii="Times New Roman" w:cs="Times New Roman" w:eastAsia="Times New Roman" w:hAnsi="Times New Roman"/>
          <w:sz w:val="17"/>
          <w:szCs w:val="17"/>
          <w:color w:val="auto"/>
        </w:rPr>
        <w:t>commercialization. Additionally, we expect our financial condition and operating results to continue to fluctuate significantly from</w:t>
      </w:r>
    </w:p>
    <w:p>
      <w:pPr>
        <w:spacing w:after="0" w:line="167" w:lineRule="exact"/>
        <w:rPr>
          <w:sz w:val="20"/>
          <w:szCs w:val="20"/>
          <w:color w:val="auto"/>
        </w:rPr>
      </w:pPr>
      <w:r>
        <w:rPr>
          <w:rFonts w:ascii="Times New Roman" w:cs="Times New Roman" w:eastAsia="Times New Roman" w:hAnsi="Times New Roman"/>
          <w:sz w:val="17"/>
          <w:szCs w:val="17"/>
          <w:color w:val="auto"/>
        </w:rPr>
        <w:t>quarter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quarter and year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due to a variety of factors, many of which are beyond our control. Consequently, any</w:t>
      </w:r>
    </w:p>
    <w:p>
      <w:pPr>
        <w:spacing w:after="0" w:line="205" w:lineRule="auto"/>
        <w:rPr>
          <w:sz w:val="20"/>
          <w:szCs w:val="20"/>
          <w:color w:val="auto"/>
        </w:rPr>
      </w:pPr>
      <w:r>
        <w:rPr>
          <w:rFonts w:ascii="Times New Roman" w:cs="Times New Roman" w:eastAsia="Times New Roman" w:hAnsi="Times New Roman"/>
          <w:sz w:val="17"/>
          <w:szCs w:val="17"/>
          <w:color w:val="auto"/>
        </w:rPr>
        <w:t>predictions you make about our future success or viability may not be as accurate as they could be if we had a longer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history.</w:t>
      </w:r>
    </w:p>
    <w:p>
      <w:pPr>
        <w:spacing w:after="0" w:line="15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145" w:lineRule="exact"/>
        <w:rPr>
          <w:sz w:val="20"/>
          <w:szCs w:val="20"/>
          <w:color w:val="auto"/>
        </w:rPr>
      </w:pPr>
    </w:p>
    <w:p>
      <w:pPr>
        <w:spacing w:after="0" w:line="170" w:lineRule="exact"/>
        <w:rPr>
          <w:sz w:val="20"/>
          <w:szCs w:val="20"/>
          <w:color w:val="auto"/>
        </w:rPr>
      </w:pPr>
      <w:r>
        <w:rPr>
          <w:rFonts w:ascii="Times New Roman" w:cs="Times New Roman" w:eastAsia="Times New Roman" w:hAnsi="Times New Roman"/>
          <w:sz w:val="17"/>
          <w:szCs w:val="17"/>
          <w:color w:val="auto"/>
        </w:rPr>
        <w:t>We have a $12.0 million credit facility with Oxford Finance LLC, or Oxford, and Pacific Western Bank, as successor in interest to Square 1 Bank, that is secured by a lien covering substantially all of our personal property, excluding intellectual property. As of June 30, 2016,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57" w:lineRule="exact"/>
        <w:rPr>
          <w:sz w:val="20"/>
          <w:szCs w:val="20"/>
          <w:color w:val="auto"/>
        </w:rPr>
      </w:pPr>
    </w:p>
    <w:p>
      <w:pPr>
        <w:ind w:right="200"/>
        <w:spacing w:after="0" w:line="185" w:lineRule="exact"/>
        <w:rPr>
          <w:sz w:val="20"/>
          <w:szCs w:val="20"/>
          <w:color w:val="auto"/>
        </w:rPr>
      </w:pPr>
      <w:r>
        <w:rPr>
          <w:rFonts w:ascii="Times New Roman" w:cs="Times New Roman" w:eastAsia="Times New Roman" w:hAnsi="Times New Roman"/>
          <w:sz w:val="17"/>
          <w:szCs w:val="17"/>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$3.5 million of total cash in Russian banks as of June 30, 2016, including $1.2 million of cash and cash equivalents, $1.9 million of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deposits and $0.4 million of restricted cash.</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47" w:name="page48"/>
    <w:bookmarkEnd w:id="47"/>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ind w:left="1" w:right="1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and research and development tax credit carryforwards to offset future taxable income may be subject to certain limitations.</w:t>
      </w:r>
    </w:p>
    <w:p>
      <w:pPr>
        <w:spacing w:after="0" w:line="145" w:lineRule="exact"/>
        <w:rPr>
          <w:sz w:val="20"/>
          <w:szCs w:val="20"/>
          <w:color w:val="auto"/>
        </w:rPr>
      </w:pPr>
    </w:p>
    <w:p>
      <w:pPr>
        <w:ind w:left="1" w:right="40"/>
        <w:spacing w:after="0" w:line="172" w:lineRule="exact"/>
        <w:rPr>
          <w:sz w:val="20"/>
          <w:szCs w:val="20"/>
          <w:color w:val="auto"/>
        </w:rPr>
      </w:pPr>
      <w:r>
        <w:rPr>
          <w:rFonts w:ascii="Times New Roman" w:cs="Times New Roman" w:eastAsia="Times New Roman" w:hAnsi="Times New Roman"/>
          <w:sz w:val="17"/>
          <w:szCs w:val="17"/>
          <w:color w:val="auto"/>
        </w:rPr>
        <w:t>We have net operating loss carryforwards, or NOLs, for federal and state income tax purposes which may be available to offset our future taxable income, if any. See “Part I. Financial Information—Item 2. Management’s Discussion and Analysis of Financial Condition and Results of Operations—Net Operating Loss and Research and Development Tax Credit Carryforwards.”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151" w:lineRule="exact"/>
        <w:rPr>
          <w:sz w:val="20"/>
          <w:szCs w:val="20"/>
          <w:color w:val="auto"/>
        </w:rPr>
      </w:pPr>
    </w:p>
    <w:p>
      <w:pPr>
        <w:ind w:left="1" w:right="280"/>
        <w:spacing w:after="0" w:line="243" w:lineRule="auto"/>
        <w:rPr>
          <w:sz w:val="20"/>
          <w:szCs w:val="20"/>
          <w:color w:val="auto"/>
        </w:rPr>
      </w:pPr>
      <w:r>
        <w:rPr>
          <w:rFonts w:ascii="Times New Roman" w:cs="Times New Roman" w:eastAsia="Times New Roman" w:hAnsi="Times New Roman"/>
          <w:sz w:val="17"/>
          <w:szCs w:val="17"/>
          <w:b w:val="1"/>
          <w:bCs w:val="1"/>
          <w:color w:val="auto"/>
        </w:rPr>
        <w:t>RISKS RELATED TO THE DISCOVERY, DEVELOPMENT AND REGULATORY APPROVAL OF OUR PRODUCT CANDIDATES</w:t>
      </w:r>
    </w:p>
    <w:p>
      <w:pPr>
        <w:spacing w:after="0" w:line="142" w:lineRule="exact"/>
        <w:rPr>
          <w:sz w:val="20"/>
          <w:szCs w:val="20"/>
          <w:color w:val="auto"/>
        </w:rPr>
      </w:pPr>
    </w:p>
    <w:p>
      <w:pPr>
        <w:ind w:left="1"/>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are very early in our clinical development efforts and may not be successful in our efforts to use our SVP technology to build a pipeline of product candidates and develop marketable drugs.</w:t>
      </w:r>
    </w:p>
    <w:p>
      <w:pPr>
        <w:spacing w:after="0" w:line="145" w:lineRule="exact"/>
        <w:rPr>
          <w:sz w:val="20"/>
          <w:szCs w:val="20"/>
          <w:color w:val="auto"/>
        </w:rPr>
      </w:pPr>
    </w:p>
    <w:p>
      <w:pPr>
        <w:ind w:left="1" w:right="40"/>
        <w:spacing w:after="0" w:line="172" w:lineRule="exact"/>
        <w:rPr>
          <w:sz w:val="20"/>
          <w:szCs w:val="20"/>
          <w:color w:val="auto"/>
        </w:rPr>
      </w:pPr>
      <w:r>
        <w:rPr>
          <w:rFonts w:ascii="Times New Roman" w:cs="Times New Roman" w:eastAsia="Times New Roman" w:hAnsi="Times New Roman"/>
          <w:sz w:val="17"/>
          <w:szCs w:val="17"/>
          <w:color w:val="auto"/>
        </w:rPr>
        <w:t>We are primarily using our SVP technology to improve and enable biologics that treat rare and serious diseases, with an initial focus on developing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for the treatment of refractory and chronic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55" w:lineRule="exact"/>
        <w:rPr>
          <w:sz w:val="20"/>
          <w:szCs w:val="20"/>
          <w:color w:val="auto"/>
        </w:rPr>
      </w:pPr>
    </w:p>
    <w:p>
      <w:pPr>
        <w:ind w:left="81" w:hanging="81"/>
        <w:spacing w:after="0"/>
        <w:tabs>
          <w:tab w:leader="none" w:pos="8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preclinical studies and clinical trials with positive results;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marketing approvals from applicable regulatory authorities;</w:t>
      </w:r>
    </w:p>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·obtaining and maintaining patent and trade secret protection and regulatory exclusivity for our product candidates;</w:t>
      </w:r>
    </w:p>
    <w:p>
      <w:pPr>
        <w:spacing w:after="0" w:line="75" w:lineRule="exact"/>
        <w:rPr>
          <w:sz w:val="20"/>
          <w:szCs w:val="20"/>
          <w:color w:val="auto"/>
        </w:rPr>
      </w:pPr>
    </w:p>
    <w:p>
      <w:pPr>
        <w:ind w:left="61" w:right="220" w:hanging="50"/>
        <w:spacing w:after="0" w:line="239" w:lineRule="auto"/>
        <w:rPr>
          <w:sz w:val="20"/>
          <w:szCs w:val="20"/>
          <w:color w:val="auto"/>
        </w:rPr>
      </w:pPr>
      <w:r>
        <w:rPr>
          <w:rFonts w:ascii="Times New Roman" w:cs="Times New Roman" w:eastAsia="Times New Roman" w:hAnsi="Times New Roman"/>
          <w:sz w:val="17"/>
          <w:szCs w:val="17"/>
          <w:color w:val="auto"/>
        </w:rPr>
        <w:t>·making arrangements with third party manufacturers for, or establishing, commercial manufacturing capabilities, or establishing such capabilities ourselves;</w:t>
      </w:r>
    </w:p>
    <w:p>
      <w:pPr>
        <w:spacing w:after="0" w:line="4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·launching commercial sales of our products, if and when approved, whether alone or in collaboration with others;</w:t>
      </w:r>
    </w:p>
    <w:p>
      <w:pPr>
        <w:spacing w:after="0" w:line="75" w:lineRule="exact"/>
        <w:rPr>
          <w:sz w:val="20"/>
          <w:szCs w:val="20"/>
          <w:color w:val="auto"/>
        </w:rPr>
      </w:pPr>
    </w:p>
    <w:p>
      <w:pPr>
        <w:ind w:left="61" w:right="280" w:hanging="50"/>
        <w:spacing w:after="0" w:line="239" w:lineRule="auto"/>
        <w:rPr>
          <w:sz w:val="20"/>
          <w:szCs w:val="20"/>
          <w:color w:val="auto"/>
        </w:rPr>
      </w:pPr>
      <w:r>
        <w:rPr>
          <w:rFonts w:ascii="Times New Roman" w:cs="Times New Roman" w:eastAsia="Times New Roman" w:hAnsi="Times New Roman"/>
          <w:sz w:val="17"/>
          <w:szCs w:val="17"/>
          <w:color w:val="auto"/>
        </w:rPr>
        <w:t>·our existing collaboration agreements remaining in effect and our entering into new collaborations throughout the development process as appropriate, from preclinical studies through to commercialization;</w:t>
      </w:r>
    </w:p>
    <w:p>
      <w:pPr>
        <w:spacing w:after="0" w:line="48" w:lineRule="exact"/>
        <w:rPr>
          <w:sz w:val="20"/>
          <w:szCs w:val="20"/>
          <w:color w:val="auto"/>
        </w:rPr>
      </w:pPr>
    </w:p>
    <w:p>
      <w:pPr>
        <w:ind w:left="1" w:right="2740"/>
        <w:spacing w:after="0" w:line="314" w:lineRule="auto"/>
        <w:rPr>
          <w:sz w:val="20"/>
          <w:szCs w:val="20"/>
          <w:color w:val="auto"/>
        </w:rPr>
      </w:pPr>
      <w:r>
        <w:rPr>
          <w:rFonts w:ascii="Times New Roman" w:cs="Times New Roman" w:eastAsia="Times New Roman" w:hAnsi="Times New Roman"/>
          <w:sz w:val="17"/>
          <w:szCs w:val="17"/>
          <w:color w:val="auto"/>
        </w:rPr>
        <w:t>·acceptance of our products, if and when approved, by patients and the medical community; · effectively competing with other therapies;</w:t>
      </w:r>
    </w:p>
    <w:p>
      <w:pPr>
        <w:ind w:left="61" w:right="380" w:hanging="50"/>
        <w:spacing w:after="0" w:line="209" w:lineRule="exact"/>
        <w:rPr>
          <w:sz w:val="20"/>
          <w:szCs w:val="20"/>
          <w:color w:val="auto"/>
        </w:rPr>
      </w:pPr>
      <w:r>
        <w:rPr>
          <w:rFonts w:ascii="Times New Roman" w:cs="Times New Roman" w:eastAsia="Times New Roman" w:hAnsi="Times New Roman"/>
          <w:sz w:val="17"/>
          <w:szCs w:val="17"/>
          <w:color w:val="auto"/>
        </w:rPr>
        <w:t>·obtaining and maintaining coverage and adequate reimbursement by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including government payors, for our products, if approved;</w:t>
      </w:r>
    </w:p>
    <w:p>
      <w:pPr>
        <w:spacing w:after="0" w:line="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 protecting our rights in our intellectual property portfolio;</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800"/>
        <w:spacing w:after="0" w:line="331" w:lineRule="auto"/>
        <w:rPr>
          <w:sz w:val="20"/>
          <w:szCs w:val="20"/>
          <w:color w:val="auto"/>
        </w:rPr>
      </w:pPr>
      <w:r>
        <w:rPr>
          <w:rFonts w:ascii="Times New Roman" w:cs="Times New Roman" w:eastAsia="Times New Roman" w:hAnsi="Times New Roman"/>
          <w:sz w:val="17"/>
          <w:szCs w:val="17"/>
          <w:color w:val="auto"/>
        </w:rPr>
        <w:t>·operating without infringing or violating the valid and enforceable patents or other intellectual property of third parties; · maintaining an acceptable safety profile of our products following approval; and</w:t>
      </w:r>
    </w:p>
    <w:p>
      <w:pPr>
        <w:spacing w:after="0" w:line="1" w:lineRule="exact"/>
        <w:rPr>
          <w:sz w:val="20"/>
          <w:szCs w:val="20"/>
          <w:color w:val="auto"/>
        </w:rPr>
      </w:pPr>
    </w:p>
    <w:p>
      <w:pPr>
        <w:ind w:left="60" w:right="500" w:hanging="50"/>
        <w:spacing w:after="0" w:line="239" w:lineRule="auto"/>
        <w:rPr>
          <w:sz w:val="20"/>
          <w:szCs w:val="20"/>
          <w:color w:val="auto"/>
        </w:rPr>
      </w:pPr>
      <w:r>
        <w:rPr>
          <w:rFonts w:ascii="Times New Roman" w:cs="Times New Roman" w:eastAsia="Times New Roman" w:hAnsi="Times New Roman"/>
          <w:sz w:val="17"/>
          <w:szCs w:val="17"/>
          <w:color w:val="auto"/>
        </w:rPr>
        <w:t>·maintaining and growing an organization of scientists and business people who can develop and commercialize our product candidates and technology.</w:t>
      </w:r>
    </w:p>
    <w:p>
      <w:pPr>
        <w:spacing w:after="0" w:line="35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23" w:lineRule="exact"/>
        <w:rPr>
          <w:sz w:val="20"/>
          <w:szCs w:val="20"/>
          <w:color w:val="auto"/>
        </w:rPr>
      </w:pPr>
    </w:p>
    <w:p>
      <w:pPr>
        <w:ind w:right="120"/>
        <w:spacing w:after="0" w:line="209" w:lineRule="exact"/>
        <w:rPr>
          <w:sz w:val="20"/>
          <w:szCs w:val="20"/>
          <w:color w:val="auto"/>
        </w:rPr>
      </w:pPr>
      <w:r>
        <w:rPr>
          <w:rFonts w:ascii="Times New Roman" w:cs="Times New Roman" w:eastAsia="Times New Roman" w:hAnsi="Times New Roman"/>
          <w:sz w:val="17"/>
          <w:szCs w:val="17"/>
          <w:b w:val="1"/>
          <w:bCs w:val="1"/>
          <w:i w:val="1"/>
          <w:iCs w:val="1"/>
          <w:color w:val="auto"/>
        </w:rPr>
        <w:t>Our product candidates are based on our SVP technology, which is an unproven approach designed to induce antigen</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specific immune tolerance to biologic drugs or stimulate the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5280025</wp:posOffset>
            </wp:positionH>
            <wp:positionV relativeFrom="paragraph">
              <wp:posOffset>-189230</wp:posOffset>
            </wp:positionV>
            <wp:extent cx="622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0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7"/>
          <w:szCs w:val="17"/>
          <w:color w:val="auto"/>
        </w:rPr>
        <w:t>All of our product candidates are derived from our SVP technology, which is an unproven approach to inducing antigen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tolerance or stimulating the immune system. In addition,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26" w:lineRule="exact"/>
        <w:rPr>
          <w:sz w:val="20"/>
          <w:szCs w:val="20"/>
          <w:color w:val="auto"/>
        </w:rPr>
      </w:pPr>
    </w:p>
    <w:p>
      <w:pPr>
        <w:ind w:right="240"/>
        <w:spacing w:after="0" w:line="209" w:lineRule="exact"/>
        <w:rPr>
          <w:sz w:val="20"/>
          <w:szCs w:val="20"/>
          <w:color w:val="auto"/>
        </w:rPr>
      </w:pPr>
      <w:r>
        <w:rPr>
          <w:rFonts w:ascii="Times New Roman" w:cs="Times New Roman" w:eastAsia="Times New Roman" w:hAnsi="Times New Roman"/>
          <w:sz w:val="17"/>
          <w:szCs w:val="17"/>
          <w:color w:val="auto"/>
        </w:rPr>
        <w:t>As a result, we cannot be certain that our approach, or our development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will lead to the development or approval of marketable products. In addition: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to the unproven nature of our SVP therapeutics, they may have different efficacy and safety rates in various indications;</w:t>
      </w:r>
    </w:p>
    <w:p>
      <w:pPr>
        <w:spacing w:after="0" w:line="75" w:lineRule="exact"/>
        <w:rPr>
          <w:sz w:val="20"/>
          <w:szCs w:val="20"/>
          <w:color w:val="auto"/>
        </w:rPr>
      </w:pPr>
    </w:p>
    <w:p>
      <w:pPr>
        <w:ind w:left="60" w:right="340" w:hanging="50"/>
        <w:spacing w:after="0" w:line="186" w:lineRule="exact"/>
        <w:rPr>
          <w:sz w:val="20"/>
          <w:szCs w:val="20"/>
          <w:color w:val="auto"/>
        </w:rPr>
      </w:pPr>
      <w:r>
        <w:rPr>
          <w:rFonts w:ascii="Times New Roman" w:cs="Times New Roman" w:eastAsia="Times New Roman" w:hAnsi="Times New Roman"/>
          <w:sz w:val="17"/>
          <w:szCs w:val="17"/>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than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expected regulatory review process, increase our expected development costs or delay or prevent commercialization of our product candidates; and</w:t>
      </w:r>
    </w:p>
    <w:p>
      <w:pPr>
        <w:spacing w:after="0" w:line="19" w:lineRule="exact"/>
        <w:rPr>
          <w:sz w:val="20"/>
          <w:szCs w:val="20"/>
          <w:color w:val="auto"/>
        </w:rPr>
      </w:pPr>
    </w:p>
    <w:p>
      <w:pPr>
        <w:ind w:left="60" w:hanging="50"/>
        <w:spacing w:after="0" w:line="195" w:lineRule="exact"/>
        <w:rPr>
          <w:sz w:val="20"/>
          <w:szCs w:val="20"/>
          <w:color w:val="auto"/>
        </w:rPr>
      </w:pPr>
      <w:r>
        <w:rPr>
          <w:rFonts w:ascii="Times New Roman" w:cs="Times New Roman" w:eastAsia="Times New Roman" w:hAnsi="Times New Roman"/>
          <w:sz w:val="17"/>
          <w:szCs w:val="17"/>
          <w:color w:val="auto"/>
        </w:rPr>
        <w:t>·in the event of a biologics license application for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or another product and a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occurrence of any of the foregoing, would effectively prevent or delay approval of our lead and other product candidates.</w:t>
      </w:r>
    </w:p>
    <w:p>
      <w:pPr>
        <w:spacing w:after="0" w:line="172"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5" w:lineRule="exact"/>
        <w:rPr>
          <w:sz w:val="20"/>
          <w:szCs w:val="20"/>
          <w:color w:val="auto"/>
        </w:rPr>
      </w:pPr>
    </w:p>
    <w:p>
      <w:pPr>
        <w:ind w:right="60"/>
        <w:spacing w:after="0" w:line="173" w:lineRule="exact"/>
        <w:rPr>
          <w:sz w:val="20"/>
          <w:szCs w:val="20"/>
          <w:color w:val="auto"/>
        </w:rPr>
      </w:pPr>
      <w:r>
        <w:rPr>
          <w:rFonts w:ascii="Times New Roman" w:cs="Times New Roman" w:eastAsia="Times New Roman" w:hAnsi="Times New Roman"/>
          <w:sz w:val="17"/>
          <w:szCs w:val="17"/>
          <w:color w:val="auto"/>
        </w:rPr>
        <w:t>Because we have limited financial and management resources, we focus on a limited number of research programs and product candidates and are currently principally focused on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As a result, we may forego or delay our pursuit of opportunities with other product candidates or for other indications that later prove to have greater commercial potential. Our resource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ind w:right="8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Our lead product candidate, SEL-212, is currently being evaluated in a Phase 1/2 clinical program that includes a Phase 1a and Phase 1b clinical trial. 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57"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7"/>
          <w:szCs w:val="17"/>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52"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7"/>
          <w:szCs w:val="17"/>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56"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marketing approval for, or commercialize, our product candidates, including:</w:t>
      </w:r>
    </w:p>
    <w:p>
      <w:pPr>
        <w:spacing w:after="0" w:line="151" w:lineRule="exact"/>
        <w:rPr>
          <w:sz w:val="20"/>
          <w:szCs w:val="20"/>
          <w:color w:val="auto"/>
        </w:rPr>
      </w:pPr>
    </w:p>
    <w:p>
      <w:pPr>
        <w:ind w:left="60" w:right="40" w:hanging="50"/>
        <w:spacing w:after="0" w:line="239" w:lineRule="auto"/>
        <w:rPr>
          <w:sz w:val="20"/>
          <w:szCs w:val="20"/>
          <w:color w:val="auto"/>
        </w:rPr>
      </w:pPr>
      <w:r>
        <w:rPr>
          <w:rFonts w:ascii="Times New Roman" w:cs="Times New Roman" w:eastAsia="Times New Roman" w:hAnsi="Times New Roman"/>
          <w:sz w:val="17"/>
          <w:szCs w:val="17"/>
          <w:color w:val="auto"/>
        </w:rPr>
        <w:t>·regulators or institutional review boards may not authorize us or our investigators to commence a clinical trial or conduct a clinical trial at a prospective trial site;</w:t>
      </w:r>
    </w:p>
    <w:p>
      <w:pPr>
        <w:spacing w:after="0" w:line="48" w:lineRule="exact"/>
        <w:rPr>
          <w:sz w:val="20"/>
          <w:szCs w:val="20"/>
          <w:color w:val="auto"/>
        </w:rPr>
      </w:pPr>
    </w:p>
    <w:p>
      <w:pPr>
        <w:ind w:left="60" w:right="360" w:hanging="50"/>
        <w:spacing w:after="0" w:line="239" w:lineRule="auto"/>
        <w:rPr>
          <w:sz w:val="20"/>
          <w:szCs w:val="20"/>
          <w:color w:val="auto"/>
        </w:rPr>
      </w:pPr>
      <w:r>
        <w:rPr>
          <w:rFonts w:ascii="Times New Roman" w:cs="Times New Roman" w:eastAsia="Times New Roman" w:hAnsi="Times New Roman"/>
          <w:sz w:val="17"/>
          <w:szCs w:val="17"/>
          <w:color w:val="auto"/>
        </w:rPr>
        <w:t>·we may experience delays in reaching, or fail to reach, agreement on acceptable terms with contract research organizations, or CROs, or clinical trial sites;</w:t>
      </w:r>
    </w:p>
    <w:p>
      <w:pPr>
        <w:spacing w:after="0" w:line="48" w:lineRule="exact"/>
        <w:rPr>
          <w:sz w:val="20"/>
          <w:szCs w:val="20"/>
          <w:color w:val="auto"/>
        </w:rPr>
      </w:pPr>
    </w:p>
    <w:p>
      <w:pPr>
        <w:ind w:left="60" w:right="240" w:hanging="50"/>
        <w:spacing w:after="0" w:line="228" w:lineRule="auto"/>
        <w:rPr>
          <w:sz w:val="20"/>
          <w:szCs w:val="20"/>
          <w:color w:val="auto"/>
        </w:rPr>
      </w:pPr>
      <w:r>
        <w:rPr>
          <w:rFonts w:ascii="Times New Roman" w:cs="Times New Roman" w:eastAsia="Times New Roman" w:hAnsi="Times New Roman"/>
          <w:sz w:val="17"/>
          <w:szCs w:val="17"/>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50" w:name="page51"/>
    <w:bookmarkEnd w:id="50"/>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59" w:lineRule="exact"/>
        <w:rPr>
          <w:sz w:val="20"/>
          <w:szCs w:val="20"/>
          <w:color w:val="auto"/>
        </w:rPr>
      </w:pPr>
    </w:p>
    <w:p>
      <w:pPr>
        <w:ind w:left="61" w:right="140" w:hanging="50"/>
        <w:spacing w:after="0" w:line="209" w:lineRule="exact"/>
        <w:rPr>
          <w:sz w:val="20"/>
          <w:szCs w:val="20"/>
          <w:color w:val="auto"/>
        </w:rPr>
      </w:pPr>
      <w:r>
        <w:rPr>
          <w:rFonts w:ascii="Times New Roman" w:cs="Times New Roman" w:eastAsia="Times New Roman" w:hAnsi="Times New Roman"/>
          <w:sz w:val="17"/>
          <w:szCs w:val="17"/>
          <w:color w:val="auto"/>
        </w:rPr>
        <w:t>·our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contractors may fail to comply with regulatory requirements or meet their contractual obligations to us in a timely manner, or at all;</w:t>
      </w:r>
    </w:p>
    <w:p>
      <w:pPr>
        <w:spacing w:after="0" w:line="49" w:lineRule="exact"/>
        <w:rPr>
          <w:sz w:val="20"/>
          <w:szCs w:val="20"/>
          <w:color w:val="auto"/>
        </w:rPr>
      </w:pPr>
    </w:p>
    <w:p>
      <w:pPr>
        <w:ind w:left="61" w:right="440" w:hanging="50"/>
        <w:spacing w:after="0" w:line="239" w:lineRule="auto"/>
        <w:rPr>
          <w:sz w:val="20"/>
          <w:szCs w:val="20"/>
          <w:color w:val="auto"/>
        </w:rPr>
      </w:pPr>
      <w:r>
        <w:rPr>
          <w:rFonts w:ascii="Times New Roman" w:cs="Times New Roman" w:eastAsia="Times New Roman" w:hAnsi="Times New Roman"/>
          <w:sz w:val="17"/>
          <w:szCs w:val="17"/>
          <w:color w:val="auto"/>
        </w:rPr>
        <w:t>·we may have to suspend or terminate clinical trials of our product candidates for various reasons, including a finding that the participants are being exposed to unacceptable health risks;</w:t>
      </w:r>
    </w:p>
    <w:p>
      <w:pPr>
        <w:spacing w:after="0" w:line="48" w:lineRule="exact"/>
        <w:rPr>
          <w:sz w:val="20"/>
          <w:szCs w:val="20"/>
          <w:color w:val="auto"/>
        </w:rPr>
      </w:pPr>
    </w:p>
    <w:p>
      <w:pPr>
        <w:ind w:left="61" w:right="40" w:hanging="50"/>
        <w:spacing w:after="0" w:line="216" w:lineRule="auto"/>
        <w:rPr>
          <w:sz w:val="20"/>
          <w:szCs w:val="20"/>
          <w:color w:val="auto"/>
        </w:rPr>
      </w:pPr>
      <w:r>
        <w:rPr>
          <w:rFonts w:ascii="Times New Roman" w:cs="Times New Roman" w:eastAsia="Times New Roman" w:hAnsi="Times New Roman"/>
          <w:sz w:val="17"/>
          <w:szCs w:val="17"/>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 the cost of clinical trials of our product candidates may be greater than we expect;</w:t>
      </w:r>
    </w:p>
    <w:p>
      <w:pPr>
        <w:spacing w:after="0" w:line="75" w:lineRule="exact"/>
        <w:rPr>
          <w:sz w:val="20"/>
          <w:szCs w:val="20"/>
          <w:color w:val="auto"/>
        </w:rPr>
      </w:pPr>
    </w:p>
    <w:p>
      <w:pPr>
        <w:ind w:left="61" w:right="20" w:hanging="50"/>
        <w:spacing w:after="0" w:line="239" w:lineRule="auto"/>
        <w:rPr>
          <w:sz w:val="20"/>
          <w:szCs w:val="20"/>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w:t>
      </w:r>
    </w:p>
    <w:p>
      <w:pPr>
        <w:spacing w:after="0" w:line="4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·regulators may revise the requirements for approving our product candidates, or such requirements may not be as we expect; and</w:t>
      </w:r>
    </w:p>
    <w:p>
      <w:pPr>
        <w:spacing w:after="0" w:line="75" w:lineRule="exact"/>
        <w:rPr>
          <w:sz w:val="20"/>
          <w:szCs w:val="20"/>
          <w:color w:val="auto"/>
        </w:rPr>
      </w:pPr>
    </w:p>
    <w:p>
      <w:pPr>
        <w:ind w:left="61" w:right="140" w:hanging="50"/>
        <w:spacing w:after="0" w:line="239" w:lineRule="auto"/>
        <w:rPr>
          <w:sz w:val="20"/>
          <w:szCs w:val="20"/>
          <w:color w:val="auto"/>
        </w:rPr>
      </w:pPr>
      <w:r>
        <w:rPr>
          <w:rFonts w:ascii="Times New Roman" w:cs="Times New Roman" w:eastAsia="Times New Roman" w:hAnsi="Times New Roman"/>
          <w:sz w:val="17"/>
          <w:szCs w:val="17"/>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357" w:lineRule="exact"/>
        <w:rPr>
          <w:sz w:val="20"/>
          <w:szCs w:val="20"/>
          <w:color w:val="auto"/>
        </w:rPr>
      </w:pPr>
    </w:p>
    <w:p>
      <w:pPr>
        <w:ind w:left="1"/>
        <w:spacing w:after="0" w:line="228" w:lineRule="auto"/>
        <w:rPr>
          <w:sz w:val="20"/>
          <w:szCs w:val="20"/>
          <w:color w:val="auto"/>
        </w:rPr>
      </w:pPr>
      <w:r>
        <w:rPr>
          <w:rFonts w:ascii="Times New Roman" w:cs="Times New Roman" w:eastAsia="Times New Roman" w:hAnsi="Times New Roman"/>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 be delayed in obtaining marketing approval for our product candidates, if at all;</w:t>
      </w:r>
    </w:p>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·lose the support of collaborators, requiring us to bear more of the burden of research and development;</w:t>
      </w:r>
    </w:p>
    <w:p>
      <w:pPr>
        <w:spacing w:after="0" w:line="75" w:lineRule="exact"/>
        <w:rPr>
          <w:sz w:val="20"/>
          <w:szCs w:val="20"/>
          <w:color w:val="auto"/>
        </w:rPr>
      </w:pPr>
    </w:p>
    <w:p>
      <w:pPr>
        <w:ind w:left="181" w:hanging="181"/>
        <w:spacing w:after="0"/>
        <w:tabs>
          <w:tab w:leader="none" w:pos="18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marketing approval at all;</w:t>
      </w:r>
    </w:p>
    <w:p>
      <w:pPr>
        <w:spacing w:after="0" w:line="74" w:lineRule="exact"/>
        <w:rPr>
          <w:rFonts w:ascii="Times New Roman" w:cs="Times New Roman" w:eastAsia="Times New Roman" w:hAnsi="Times New Roman"/>
          <w:sz w:val="17"/>
          <w:szCs w:val="17"/>
          <w:color w:val="auto"/>
        </w:rPr>
      </w:pPr>
    </w:p>
    <w:p>
      <w:pPr>
        <w:ind w:left="101" w:hanging="101"/>
        <w:spacing w:after="0"/>
        <w:tabs>
          <w:tab w:leader="none" w:pos="10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marketing approval in some countries and not in others;</w:t>
      </w:r>
    </w:p>
    <w:p>
      <w:pPr>
        <w:spacing w:after="0" w:line="75" w:lineRule="exact"/>
        <w:rPr>
          <w:sz w:val="20"/>
          <w:szCs w:val="20"/>
          <w:color w:val="auto"/>
        </w:rPr>
      </w:pPr>
    </w:p>
    <w:p>
      <w:pPr>
        <w:ind w:left="1" w:right="1860"/>
        <w:spacing w:after="0" w:line="314" w:lineRule="auto"/>
        <w:rPr>
          <w:sz w:val="20"/>
          <w:szCs w:val="20"/>
          <w:color w:val="auto"/>
        </w:rPr>
      </w:pPr>
      <w:r>
        <w:rPr>
          <w:rFonts w:ascii="Times New Roman" w:cs="Times New Roman" w:eastAsia="Times New Roman" w:hAnsi="Times New Roman"/>
          <w:sz w:val="17"/>
          <w:szCs w:val="17"/>
          <w:color w:val="auto"/>
        </w:rPr>
        <w:t>·obtain approval for indications or patient populations that are not as broad as intended or desired; ·obtain approval with labeling that includes significant use or distribution restrictions or safety warnings;</w:t>
      </w:r>
    </w:p>
    <w:p>
      <w:pPr>
        <w:ind w:left="101" w:hanging="101"/>
        <w:spacing w:after="0" w:line="196" w:lineRule="exact"/>
        <w:tabs>
          <w:tab w:leader="none" w:pos="10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testing requirements; or</w:t>
      </w:r>
    </w:p>
    <w:p>
      <w:pPr>
        <w:spacing w:after="0" w:line="102"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 product removed from the market after obtaining marketing approval.</w:t>
      </w:r>
    </w:p>
    <w:p>
      <w:pPr>
        <w:spacing w:after="0" w:line="383" w:lineRule="exact"/>
        <w:rPr>
          <w:sz w:val="20"/>
          <w:szCs w:val="20"/>
          <w:color w:val="auto"/>
        </w:rPr>
      </w:pPr>
    </w:p>
    <w:p>
      <w:pPr>
        <w:ind w:left="1" w:right="80"/>
        <w:spacing w:after="0" w:line="216" w:lineRule="auto"/>
        <w:rPr>
          <w:sz w:val="20"/>
          <w:szCs w:val="20"/>
          <w:color w:val="auto"/>
        </w:rPr>
      </w:pPr>
      <w:r>
        <w:rPr>
          <w:rFonts w:ascii="Times New Roman" w:cs="Times New Roman" w:eastAsia="Times New Roman" w:hAnsi="Times New Roman"/>
          <w:sz w:val="17"/>
          <w:szCs w:val="17"/>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47" w:lineRule="exact"/>
        <w:rPr>
          <w:sz w:val="20"/>
          <w:szCs w:val="20"/>
          <w:color w:val="auto"/>
        </w:rPr>
      </w:pPr>
    </w:p>
    <w:p>
      <w:pPr>
        <w:ind w:left="1" w:right="68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45" w:lineRule="exact"/>
        <w:rPr>
          <w:sz w:val="20"/>
          <w:szCs w:val="20"/>
          <w:color w:val="auto"/>
        </w:rPr>
      </w:pPr>
    </w:p>
    <w:p>
      <w:pPr>
        <w:jc w:val="both"/>
        <w:ind w:left="1" w:right="100"/>
        <w:spacing w:after="0" w:line="228"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51" w:name="page52"/>
    <w:bookmarkEnd w:id="51"/>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right="200"/>
        <w:spacing w:after="0" w:line="239" w:lineRule="auto"/>
        <w:rPr>
          <w:sz w:val="20"/>
          <w:szCs w:val="20"/>
          <w:color w:val="auto"/>
        </w:rPr>
      </w:pPr>
      <w:r>
        <w:rPr>
          <w:rFonts w:ascii="Times New Roman" w:cs="Times New Roman" w:eastAsia="Times New Roman" w:hAnsi="Times New Roman"/>
          <w:sz w:val="17"/>
          <w:szCs w:val="17"/>
          <w:color w:val="auto"/>
        </w:rPr>
        <w:t>candidates that treat the same indications as our product candidates, and patients who would otherwise be eligible for our clinical trials may instead enroll in clinical trials of our competitors’ product candidates.</w:t>
      </w:r>
    </w:p>
    <w:p>
      <w:pPr>
        <w:spacing w:after="0" w:line="123" w:lineRule="exact"/>
        <w:rPr>
          <w:sz w:val="20"/>
          <w:szCs w:val="20"/>
          <w:color w:val="auto"/>
        </w:rPr>
      </w:pPr>
    </w:p>
    <w:p>
      <w:pPr>
        <w:ind w:left="1" w:right="440"/>
        <w:spacing w:after="0" w:line="195" w:lineRule="exact"/>
        <w:rPr>
          <w:sz w:val="20"/>
          <w:szCs w:val="20"/>
          <w:color w:val="auto"/>
        </w:rPr>
      </w:pPr>
      <w:r>
        <w:rPr>
          <w:rFonts w:ascii="Times New Roman" w:cs="Times New Roman" w:eastAsia="Times New Roman" w:hAnsi="Times New Roman"/>
          <w:sz w:val="17"/>
          <w:szCs w:val="17"/>
          <w:color w:val="auto"/>
        </w:rPr>
        <w:t>We are initially developing our lead product candidate,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for the treatment of chronic refractory gout, which affects approximately 50,000 patients in the United States. Accordingly, there is a limited number of patients who could enroll in our clinical studies.</w:t>
      </w:r>
    </w:p>
    <w:p>
      <w:pPr>
        <w:spacing w:after="0" w:line="1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In addition to the size of the patient population, patient enrollment is also affected by other factors including:</w:t>
      </w:r>
    </w:p>
    <w:p>
      <w:pPr>
        <w:spacing w:after="0" w:line="178" w:lineRule="exact"/>
        <w:rPr>
          <w:sz w:val="20"/>
          <w:szCs w:val="20"/>
          <w:color w:val="auto"/>
        </w:rPr>
      </w:pPr>
    </w:p>
    <w:p>
      <w:pPr>
        <w:ind w:left="141" w:hanging="141"/>
        <w:spacing w:after="0"/>
        <w:tabs>
          <w:tab w:leader="none" w:pos="1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disease under investigation;</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eligibility criteria for the study in question;</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risks and benefits of the product candidate under study;</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treatments for the disease under investigation;</w:t>
      </w:r>
    </w:p>
    <w:p>
      <w:pPr>
        <w:spacing w:after="0" w:line="74"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competing clinical trials;</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facilitate timely enrollment in clinical trials;</w:t>
      </w:r>
    </w:p>
    <w:p>
      <w:pPr>
        <w:spacing w:after="0" w:line="74"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payments for participating in clinical trials;</w:t>
      </w:r>
    </w:p>
    <w:p>
      <w:pPr>
        <w:spacing w:after="0" w:line="74"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referral practices of physicians;</w:t>
      </w:r>
    </w:p>
    <w:p>
      <w:pPr>
        <w:spacing w:after="0" w:line="74" w:lineRule="exact"/>
        <w:rPr>
          <w:rFonts w:ascii="Times New Roman" w:cs="Times New Roman" w:eastAsia="Times New Roman" w:hAnsi="Times New Roman"/>
          <w:sz w:val="17"/>
          <w:szCs w:val="17"/>
          <w:color w:val="auto"/>
        </w:rPr>
      </w:pPr>
    </w:p>
    <w:p>
      <w:pPr>
        <w:ind w:left="201" w:hanging="201"/>
        <w:spacing w:after="0"/>
        <w:tabs>
          <w:tab w:leader="none" w:pos="20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of the trial protocol;</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and availability of clinical trial sites for prospective patients.</w:t>
      </w:r>
    </w:p>
    <w:p>
      <w:pPr>
        <w:spacing w:after="0" w:line="280" w:lineRule="exact"/>
        <w:rPr>
          <w:sz w:val="20"/>
          <w:szCs w:val="20"/>
          <w:color w:val="auto"/>
        </w:rPr>
      </w:pPr>
    </w:p>
    <w:p>
      <w:pPr>
        <w:ind w:left="1" w:right="40"/>
        <w:spacing w:after="0" w:line="222"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45" w:lineRule="exact"/>
        <w:rPr>
          <w:sz w:val="20"/>
          <w:szCs w:val="20"/>
          <w:color w:val="auto"/>
        </w:rPr>
      </w:pPr>
    </w:p>
    <w:p>
      <w:pPr>
        <w:ind w:left="1" w:right="9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5" w:lineRule="exact"/>
        <w:rPr>
          <w:sz w:val="20"/>
          <w:szCs w:val="20"/>
          <w:color w:val="auto"/>
        </w:rPr>
      </w:pPr>
    </w:p>
    <w:p>
      <w:pPr>
        <w:ind w:left="1"/>
        <w:spacing w:after="0" w:line="210" w:lineRule="auto"/>
        <w:rPr>
          <w:sz w:val="20"/>
          <w:szCs w:val="20"/>
          <w:color w:val="auto"/>
        </w:rPr>
      </w:pPr>
      <w:r>
        <w:rPr>
          <w:rFonts w:ascii="Times New Roman" w:cs="Times New Roman" w:eastAsia="Times New Roman" w:hAnsi="Times New Roman"/>
          <w:sz w:val="17"/>
          <w:szCs w:val="17"/>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56" w:lineRule="exact"/>
        <w:rPr>
          <w:sz w:val="20"/>
          <w:szCs w:val="20"/>
          <w:color w:val="auto"/>
        </w:rPr>
      </w:pPr>
    </w:p>
    <w:p>
      <w:pPr>
        <w:jc w:val="both"/>
        <w:ind w:left="1" w:right="320"/>
        <w:spacing w:after="0" w:line="222" w:lineRule="auto"/>
        <w:rPr>
          <w:sz w:val="20"/>
          <w:szCs w:val="20"/>
          <w:color w:val="auto"/>
        </w:rPr>
      </w:pPr>
      <w:r>
        <w:rPr>
          <w:rFonts w:ascii="Times New Roman" w:cs="Times New Roman" w:eastAsia="Times New Roman" w:hAnsi="Times New Roman"/>
          <w:sz w:val="17"/>
          <w:szCs w:val="17"/>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160"/>
        <w:spacing w:after="0" w:line="176" w:lineRule="exact"/>
        <w:rPr>
          <w:sz w:val="20"/>
          <w:szCs w:val="20"/>
          <w:color w:val="auto"/>
        </w:rPr>
      </w:pPr>
      <w:r>
        <w:rPr>
          <w:rFonts w:ascii="Times New Roman" w:cs="Times New Roman" w:eastAsia="Times New Roman" w:hAnsi="Times New Roman"/>
          <w:sz w:val="17"/>
          <w:szCs w:val="17"/>
          <w:color w:val="auto"/>
        </w:rPr>
        <w:t>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commitments that render the approved product not commercially viable.</w:t>
      </w:r>
    </w:p>
    <w:p>
      <w:pPr>
        <w:spacing w:after="0" w:line="122" w:lineRule="exact"/>
        <w:rPr>
          <w:sz w:val="20"/>
          <w:szCs w:val="20"/>
          <w:color w:val="auto"/>
        </w:rPr>
      </w:pPr>
    </w:p>
    <w:p>
      <w:pPr>
        <w:spacing w:after="0" w:line="193" w:lineRule="exact"/>
        <w:rPr>
          <w:sz w:val="20"/>
          <w:szCs w:val="20"/>
          <w:color w:val="auto"/>
        </w:rPr>
      </w:pPr>
      <w:r>
        <w:rPr>
          <w:rFonts w:ascii="Times New Roman" w:cs="Times New Roman" w:eastAsia="Times New Roman" w:hAnsi="Times New Roman"/>
          <w:sz w:val="17"/>
          <w:szCs w:val="17"/>
          <w:color w:val="auto"/>
        </w:rPr>
        <w:t>Although the FDA and other regulatory authorities have approved nanotechnology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therapeutics in the past, they are monitoring whether nanotechnology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therapeutics pose any specific health and human safety risks. While they have not issued any regulations to date, it is possible that the FDA and other regulatory authorities could issue regulations in the future regarding nanotechnology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therapeutics that could adversely affect our product candidates.</w:t>
      </w:r>
    </w:p>
    <w:p>
      <w:pPr>
        <w:spacing w:after="0" w:line="13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7"/>
          <w:szCs w:val="17"/>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5" w:lineRule="exact"/>
        <w:rPr>
          <w:sz w:val="20"/>
          <w:szCs w:val="20"/>
          <w:color w:val="auto"/>
        </w:rPr>
      </w:pPr>
    </w:p>
    <w:p>
      <w:pPr>
        <w:ind w:right="4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5"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50" w:lineRule="exact"/>
        <w:rPr>
          <w:sz w:val="20"/>
          <w:szCs w:val="20"/>
          <w:color w:val="auto"/>
        </w:rPr>
      </w:pPr>
    </w:p>
    <w:p>
      <w:pPr>
        <w:ind w:right="20"/>
        <w:spacing w:after="0" w:line="173" w:lineRule="exact"/>
        <w:rPr>
          <w:sz w:val="20"/>
          <w:szCs w:val="20"/>
          <w:color w:val="auto"/>
        </w:rPr>
      </w:pPr>
      <w:r>
        <w:rPr>
          <w:rFonts w:ascii="Times New Roman" w:cs="Times New Roman" w:eastAsia="Times New Roman" w:hAnsi="Times New Roman"/>
          <w:sz w:val="17"/>
          <w:szCs w:val="17"/>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chronic tophaceous gout, an indication we plan to pursue.</w:t>
      </w:r>
    </w:p>
    <w:p>
      <w:pPr>
        <w:spacing w:after="0" w:line="151" w:lineRule="exact"/>
        <w:rPr>
          <w:sz w:val="20"/>
          <w:szCs w:val="20"/>
          <w:color w:val="auto"/>
        </w:rPr>
      </w:pPr>
    </w:p>
    <w:p>
      <w:pPr>
        <w:jc w:val="both"/>
        <w:ind w:right="300"/>
        <w:spacing w:after="0" w:line="228" w:lineRule="auto"/>
        <w:rPr>
          <w:sz w:val="20"/>
          <w:szCs w:val="20"/>
          <w:color w:val="auto"/>
        </w:rPr>
      </w:pPr>
      <w:r>
        <w:rPr>
          <w:rFonts w:ascii="Times New Roman" w:cs="Times New Roman" w:eastAsia="Times New Roman" w:hAnsi="Times New Roman"/>
          <w:sz w:val="17"/>
          <w:szCs w:val="17"/>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150"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7"/>
          <w:szCs w:val="17"/>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53" w:name="page54"/>
    <w:bookmarkEnd w:id="53"/>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ind w:left="1" w:right="22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51" w:lineRule="exact"/>
        <w:rPr>
          <w:sz w:val="20"/>
          <w:szCs w:val="20"/>
          <w:color w:val="auto"/>
        </w:rPr>
      </w:pPr>
    </w:p>
    <w:p>
      <w:pPr>
        <w:ind w:left="1" w:right="20"/>
        <w:spacing w:after="0" w:line="176" w:lineRule="exact"/>
        <w:rPr>
          <w:sz w:val="20"/>
          <w:szCs w:val="20"/>
          <w:color w:val="auto"/>
        </w:rPr>
      </w:pPr>
      <w:r>
        <w:rPr>
          <w:rFonts w:ascii="Times New Roman" w:cs="Times New Roman" w:eastAsia="Times New Roman" w:hAnsi="Times New Roman"/>
          <w:sz w:val="17"/>
          <w:szCs w:val="17"/>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50" w:lineRule="exact"/>
        <w:rPr>
          <w:sz w:val="20"/>
          <w:szCs w:val="20"/>
          <w:color w:val="auto"/>
        </w:rPr>
      </w:pPr>
    </w:p>
    <w:p>
      <w:pPr>
        <w:ind w:left="1" w:right="40"/>
        <w:spacing w:after="0" w:line="212" w:lineRule="auto"/>
        <w:rPr>
          <w:sz w:val="20"/>
          <w:szCs w:val="20"/>
          <w:color w:val="auto"/>
        </w:rPr>
      </w:pPr>
      <w:r>
        <w:rPr>
          <w:rFonts w:ascii="Times New Roman" w:cs="Times New Roman" w:eastAsia="Times New Roman" w:hAnsi="Times New Roman"/>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45" w:lineRule="exact"/>
        <w:rPr>
          <w:sz w:val="20"/>
          <w:szCs w:val="20"/>
          <w:color w:val="auto"/>
        </w:rPr>
      </w:pPr>
    </w:p>
    <w:p>
      <w:pPr>
        <w:jc w:val="both"/>
        <w:ind w:left="1" w:right="12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51" w:lineRule="exact"/>
        <w:rPr>
          <w:sz w:val="20"/>
          <w:szCs w:val="20"/>
          <w:color w:val="auto"/>
        </w:rPr>
      </w:pPr>
    </w:p>
    <w:p>
      <w:pPr>
        <w:ind w:left="1"/>
        <w:spacing w:after="0" w:line="173" w:lineRule="exact"/>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57" w:lineRule="exact"/>
        <w:rPr>
          <w:sz w:val="20"/>
          <w:szCs w:val="20"/>
          <w:color w:val="auto"/>
        </w:rPr>
      </w:pPr>
    </w:p>
    <w:p>
      <w:pPr>
        <w:ind w:left="1" w:right="80"/>
        <w:spacing w:after="0" w:line="239" w:lineRule="auto"/>
        <w:rPr>
          <w:sz w:val="20"/>
          <w:szCs w:val="20"/>
          <w:color w:val="auto"/>
        </w:rPr>
      </w:pPr>
      <w:r>
        <w:rPr>
          <w:rFonts w:ascii="Times New Roman" w:cs="Times New Roman" w:eastAsia="Times New Roman" w:hAnsi="Times New Roman"/>
          <w:sz w:val="17"/>
          <w:szCs w:val="17"/>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51" w:lineRule="exact"/>
        <w:rPr>
          <w:sz w:val="20"/>
          <w:szCs w:val="20"/>
          <w:color w:val="auto"/>
        </w:rPr>
      </w:pPr>
    </w:p>
    <w:p>
      <w:pPr>
        <w:ind w:left="101" w:hanging="101"/>
        <w:spacing w:after="0"/>
        <w:tabs>
          <w:tab w:leader="none" w:pos="10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approvals of such product;</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additional warnings on the product’s label;</w:t>
      </w:r>
    </w:p>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·we may be required to create a medication guide outlining the risks of such side effects for distribution to patients;</w:t>
      </w:r>
    </w:p>
    <w:p>
      <w:pPr>
        <w:spacing w:after="0" w:line="75" w:lineRule="exact"/>
        <w:rPr>
          <w:sz w:val="20"/>
          <w:szCs w:val="20"/>
          <w:color w:val="auto"/>
        </w:rPr>
      </w:pPr>
    </w:p>
    <w:p>
      <w:pPr>
        <w:ind w:left="101" w:hanging="101"/>
        <w:spacing w:after="0"/>
        <w:tabs>
          <w:tab w:leader="none" w:pos="10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patients; and</w:t>
      </w:r>
    </w:p>
    <w:p>
      <w:pPr>
        <w:spacing w:after="0" w:line="177" w:lineRule="exact"/>
        <w:rPr>
          <w:rFonts w:ascii="Times New Roman" w:cs="Times New Roman" w:eastAsia="Times New Roman" w:hAnsi="Times New Roman"/>
          <w:sz w:val="17"/>
          <w:szCs w:val="17"/>
          <w:color w:val="auto"/>
        </w:rPr>
      </w:pPr>
    </w:p>
    <w:p>
      <w:pPr>
        <w:ind w:left="241" w:hanging="241"/>
        <w:spacing w:after="0"/>
        <w:tabs>
          <w:tab w:leader="none" w:pos="2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383" w:lineRule="exact"/>
        <w:rPr>
          <w:sz w:val="20"/>
          <w:szCs w:val="20"/>
          <w:color w:val="auto"/>
        </w:rPr>
      </w:pPr>
    </w:p>
    <w:p>
      <w:pPr>
        <w:ind w:left="1" w:right="480"/>
        <w:spacing w:after="0" w:line="239"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140"/>
        <w:spacing w:after="0" w:line="181" w:lineRule="exact"/>
        <w:rPr>
          <w:sz w:val="20"/>
          <w:szCs w:val="20"/>
          <w:color w:val="auto"/>
        </w:rPr>
      </w:pPr>
      <w:r>
        <w:rPr>
          <w:rFonts w:ascii="Times New Roman" w:cs="Times New Roman" w:eastAsia="Times New Roman" w:hAnsi="Times New Roman"/>
          <w:sz w:val="17"/>
          <w:szCs w:val="17"/>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benefit perspective, any of which would harm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 AND MANUFACTURING</w:t>
      </w:r>
    </w:p>
    <w:p>
      <w:pPr>
        <w:spacing w:after="0" w:line="176"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7"/>
          <w:szCs w:val="17"/>
          <w:b w:val="1"/>
          <w:bCs w:val="1"/>
          <w:i w:val="1"/>
          <w:i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23" w:lineRule="exact"/>
        <w:rPr>
          <w:sz w:val="20"/>
          <w:szCs w:val="20"/>
          <w:color w:val="auto"/>
        </w:rPr>
      </w:pPr>
    </w:p>
    <w:p>
      <w:pPr>
        <w:ind w:right="20"/>
        <w:spacing w:after="0" w:line="189" w:lineRule="exact"/>
        <w:rPr>
          <w:sz w:val="20"/>
          <w:szCs w:val="20"/>
          <w:color w:val="auto"/>
        </w:rPr>
      </w:pPr>
      <w:r>
        <w:rPr>
          <w:rFonts w:ascii="Times New Roman" w:cs="Times New Roman" w:eastAsia="Times New Roman" w:hAnsi="Times New Roman"/>
          <w:sz w:val="17"/>
          <w:szCs w:val="17"/>
          <w:color w:val="auto"/>
        </w:rPr>
        <w:t>We obtain the biologic pegsiticase, a component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50" w:lineRule="exact"/>
        <w:rPr>
          <w:sz w:val="20"/>
          <w:szCs w:val="20"/>
          <w:color w:val="auto"/>
        </w:rPr>
      </w:pPr>
    </w:p>
    <w:p>
      <w:pPr>
        <w:spacing w:after="0" w:line="172" w:lineRule="exact"/>
        <w:rPr>
          <w:sz w:val="20"/>
          <w:szCs w:val="20"/>
          <w:color w:val="auto"/>
        </w:rPr>
      </w:pPr>
      <w:r>
        <w:rPr>
          <w:rFonts w:ascii="Times New Roman" w:cs="Times New Roman" w:eastAsia="Times New Roman" w:hAnsi="Times New Roman"/>
          <w:sz w:val="17"/>
          <w:szCs w:val="17"/>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56"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7"/>
          <w:szCs w:val="17"/>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26" w:lineRule="exact"/>
        <w:rPr>
          <w:sz w:val="20"/>
          <w:szCs w:val="20"/>
          <w:color w:val="auto"/>
        </w:rPr>
      </w:pPr>
    </w:p>
    <w:p>
      <w:pPr>
        <w:ind w:right="160"/>
        <w:spacing w:after="0" w:line="218" w:lineRule="exact"/>
        <w:rPr>
          <w:sz w:val="20"/>
          <w:szCs w:val="20"/>
          <w:color w:val="auto"/>
        </w:rPr>
      </w:pPr>
      <w:r>
        <w:rPr>
          <w:rFonts w:ascii="Times New Roman" w:cs="Times New Roman" w:eastAsia="Times New Roman" w:hAnsi="Times New Roman"/>
          <w:sz w:val="17"/>
          <w:szCs w:val="17"/>
          <w:color w:val="auto"/>
        </w:rPr>
        <w:t>We may be unable to establish any agreements with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on acceptable terms or at all. Even if we are able to establish agreements with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reliance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entails additional risks, including the:</w:t>
      </w:r>
    </w:p>
    <w:p>
      <w:pPr>
        <w:spacing w:after="0" w:line="105" w:lineRule="exact"/>
        <w:rPr>
          <w:sz w:val="20"/>
          <w:szCs w:val="20"/>
          <w:color w:val="auto"/>
        </w:rPr>
      </w:pPr>
    </w:p>
    <w:p>
      <w:pPr>
        <w:ind w:left="60" w:right="20" w:hanging="50"/>
        <w:spacing w:after="0" w:line="209" w:lineRule="exact"/>
        <w:rPr>
          <w:sz w:val="20"/>
          <w:szCs w:val="20"/>
          <w:color w:val="auto"/>
        </w:rPr>
      </w:pPr>
      <w:r>
        <w:rPr>
          <w:rFonts w:ascii="Times New Roman" w:cs="Times New Roman" w:eastAsia="Times New Roman" w:hAnsi="Times New Roman"/>
          <w:sz w:val="17"/>
          <w:szCs w:val="17"/>
          <w:color w:val="auto"/>
        </w:rPr>
        <w:t>·inability, failure or unwillingness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to comply with regulatory requirements, maintain quality assurance, meet our needs, specifications or schedules or continue to supply products to us;</w:t>
      </w:r>
    </w:p>
    <w:p>
      <w:pPr>
        <w:spacing w:after="0" w:line="49" w:lineRule="exact"/>
        <w:rPr>
          <w:sz w:val="20"/>
          <w:szCs w:val="20"/>
          <w:color w:val="auto"/>
        </w:rPr>
      </w:pPr>
    </w:p>
    <w:p>
      <w:pPr>
        <w:ind w:left="60" w:right="260" w:hanging="50"/>
        <w:spacing w:after="0" w:line="204" w:lineRule="exact"/>
        <w:rPr>
          <w:sz w:val="20"/>
          <w:szCs w:val="20"/>
          <w:color w:val="auto"/>
        </w:rPr>
      </w:pPr>
      <w:r>
        <w:rPr>
          <w:rFonts w:ascii="Times New Roman" w:cs="Times New Roman" w:eastAsia="Times New Roman" w:hAnsi="Times New Roman"/>
          <w:sz w:val="17"/>
          <w:szCs w:val="17"/>
          <w:color w:val="auto"/>
        </w:rPr>
        <w:t>·reduced control we have over product development, including with respect to our lead product candidate, due to our reliance on such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w:t>
      </w:r>
    </w:p>
    <w:p>
      <w:pPr>
        <w:spacing w:after="0" w:line="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breach of manufacturing agreements by the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w:t>
      </w:r>
    </w:p>
    <w:p>
      <w:pPr>
        <w:spacing w:after="0" w:line="7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·misappropriation or disclosure of our proprietary information, including our trade secrets and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w:t>
      </w:r>
    </w:p>
    <w:p>
      <w:pPr>
        <w:spacing w:after="0" w:line="103" w:lineRule="exact"/>
        <w:rPr>
          <w:sz w:val="20"/>
          <w:szCs w:val="20"/>
          <w:color w:val="auto"/>
        </w:rPr>
      </w:pPr>
    </w:p>
    <w:p>
      <w:pPr>
        <w:ind w:left="60" w:right="300" w:hanging="50"/>
        <w:spacing w:after="0" w:line="239" w:lineRule="auto"/>
        <w:rPr>
          <w:sz w:val="20"/>
          <w:szCs w:val="20"/>
          <w:color w:val="auto"/>
        </w:rPr>
      </w:pPr>
      <w:r>
        <w:rPr>
          <w:rFonts w:ascii="Times New Roman" w:cs="Times New Roman" w:eastAsia="Times New Roman" w:hAnsi="Times New Roman"/>
          <w:sz w:val="17"/>
          <w:szCs w:val="17"/>
          <w:color w:val="auto"/>
        </w:rPr>
        <w:t>·relationships that the third party manufacturer may have with others, some of which may be our competitors, and, if it does not successfully carry out its contractual duties, does not meet expectations, experiences work stoppages, or</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300" w:right="900"/>
        <w:spacing w:after="0" w:line="204" w:lineRule="exact"/>
        <w:rPr>
          <w:sz w:val="20"/>
          <w:szCs w:val="20"/>
          <w:color w:val="auto"/>
        </w:rPr>
      </w:pPr>
      <w:r>
        <w:rPr>
          <w:rFonts w:ascii="Times New Roman" w:cs="Times New Roman" w:eastAsia="Times New Roman" w:hAnsi="Times New Roman"/>
          <w:sz w:val="17"/>
          <w:szCs w:val="17"/>
          <w:color w:val="auto"/>
        </w:rPr>
        <w:t>needs to be replaced, we may need to enter into alternative arrangements, which may not be available, desirable or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and</w:t>
      </w:r>
    </w:p>
    <w:p>
      <w:pPr>
        <w:spacing w:after="0" w:line="10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·termination or nonrenewal of agreements by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at times that are costly or inconvenient for us.</w:t>
      </w:r>
    </w:p>
    <w:p>
      <w:pPr>
        <w:spacing w:after="0" w:line="383" w:lineRule="exact"/>
        <w:rPr>
          <w:sz w:val="20"/>
          <w:szCs w:val="20"/>
          <w:color w:val="auto"/>
        </w:rPr>
      </w:pPr>
    </w:p>
    <w:p>
      <w:pPr>
        <w:spacing w:after="0" w:line="175" w:lineRule="exact"/>
        <w:rPr>
          <w:sz w:val="20"/>
          <w:szCs w:val="20"/>
          <w:color w:val="auto"/>
        </w:rPr>
      </w:pPr>
      <w:r>
        <w:rPr>
          <w:rFonts w:ascii="Times New Roman" w:cs="Times New Roman" w:eastAsia="Times New Roman" w:hAnsi="Times New Roman"/>
          <w:sz w:val="17"/>
          <w:szCs w:val="17"/>
          <w:color w:val="auto"/>
        </w:rPr>
        <w:t>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56"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 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5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5"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7"/>
          <w:szCs w:val="17"/>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right="500"/>
        <w:spacing w:after="0" w:line="331" w:lineRule="auto"/>
        <w:rPr>
          <w:sz w:val="20"/>
          <w:szCs w:val="20"/>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collaborations; · collaborators may not perform their obligations as expected;</w:t>
      </w:r>
    </w:p>
    <w:p>
      <w:pPr>
        <w:spacing w:after="0" w:line="1" w:lineRule="exact"/>
        <w:rPr>
          <w:sz w:val="20"/>
          <w:szCs w:val="20"/>
          <w:color w:val="auto"/>
        </w:rPr>
      </w:pPr>
    </w:p>
    <w:p>
      <w:pPr>
        <w:ind w:left="60" w:hanging="50"/>
        <w:spacing w:after="0" w:line="222" w:lineRule="auto"/>
        <w:rPr>
          <w:sz w:val="20"/>
          <w:szCs w:val="20"/>
          <w:color w:val="auto"/>
        </w:rPr>
      </w:pPr>
      <w:r>
        <w:rPr>
          <w:rFonts w:ascii="Times New Roman" w:cs="Times New Roman" w:eastAsia="Times New Roman" w:hAnsi="Times New Roman"/>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48" w:lineRule="exact"/>
        <w:rPr>
          <w:sz w:val="20"/>
          <w:szCs w:val="20"/>
          <w:color w:val="auto"/>
        </w:rPr>
      </w:pPr>
    </w:p>
    <w:p>
      <w:pPr>
        <w:jc w:val="both"/>
        <w:ind w:left="60" w:right="280" w:hanging="50"/>
        <w:spacing w:after="0" w:line="239" w:lineRule="auto"/>
        <w:rPr>
          <w:sz w:val="20"/>
          <w:szCs w:val="20"/>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8" w:lineRule="exact"/>
        <w:rPr>
          <w:sz w:val="20"/>
          <w:szCs w:val="20"/>
          <w:color w:val="auto"/>
        </w:rPr>
      </w:pPr>
    </w:p>
    <w:p>
      <w:pPr>
        <w:ind w:left="60" w:right="300" w:hanging="50"/>
        <w:spacing w:after="0" w:line="222" w:lineRule="auto"/>
        <w:rPr>
          <w:sz w:val="20"/>
          <w:szCs w:val="20"/>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60" w:right="320" w:hanging="50"/>
        <w:spacing w:after="0" w:line="239" w:lineRule="auto"/>
        <w:rPr>
          <w:sz w:val="20"/>
          <w:szCs w:val="20"/>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48" w:lineRule="exact"/>
        <w:rPr>
          <w:sz w:val="20"/>
          <w:szCs w:val="20"/>
          <w:color w:val="auto"/>
        </w:rPr>
      </w:pPr>
    </w:p>
    <w:p>
      <w:pPr>
        <w:ind w:left="60" w:right="20" w:hanging="50"/>
        <w:spacing w:after="0" w:line="185" w:lineRule="exact"/>
        <w:rPr>
          <w:sz w:val="20"/>
          <w:szCs w:val="20"/>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expensive;</w:t>
      </w:r>
    </w:p>
    <w:p>
      <w:pPr>
        <w:spacing w:after="0" w:line="32" w:lineRule="exact"/>
        <w:rPr>
          <w:sz w:val="20"/>
          <w:szCs w:val="20"/>
          <w:color w:val="auto"/>
        </w:rPr>
      </w:pPr>
    </w:p>
    <w:p>
      <w:pPr>
        <w:ind w:left="60" w:right="40" w:hanging="50"/>
        <w:spacing w:after="0" w:line="228" w:lineRule="auto"/>
        <w:rPr>
          <w:sz w:val="20"/>
          <w:szCs w:val="20"/>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75" w:lineRule="exact"/>
        <w:rPr>
          <w:sz w:val="20"/>
          <w:szCs w:val="20"/>
          <w:color w:val="auto"/>
        </w:rPr>
      </w:pPr>
    </w:p>
    <w:p>
      <w:pPr>
        <w:ind w:left="60" w:right="120" w:hanging="50"/>
        <w:spacing w:after="0" w:line="239" w:lineRule="auto"/>
        <w:rPr>
          <w:sz w:val="20"/>
          <w:szCs w:val="20"/>
          <w:color w:val="auto"/>
        </w:rPr>
      </w:pPr>
      <w:r>
        <w:rPr>
          <w:rFonts w:ascii="Times New Roman" w:cs="Times New Roman" w:eastAsia="Times New Roman" w:hAnsi="Times New Roman"/>
          <w:sz w:val="17"/>
          <w:szCs w:val="17"/>
          <w:color w:val="auto"/>
        </w:rPr>
        <w:t>·collaborations may be terminated for the convenience of the collaborator and, if terminated, we would potentially lose the right to pursue further development or commercialization of the applicable product candidates;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·collaborators may learn about our technology and use this knowledge to compete with us in the future;</w:t>
      </w:r>
    </w:p>
    <w:p>
      <w:pPr>
        <w:spacing w:after="0" w:line="75" w:lineRule="exact"/>
        <w:rPr>
          <w:sz w:val="20"/>
          <w:szCs w:val="20"/>
          <w:color w:val="auto"/>
        </w:rPr>
      </w:pPr>
    </w:p>
    <w:p>
      <w:pPr>
        <w:ind w:right="400"/>
        <w:spacing w:after="0" w:line="331" w:lineRule="auto"/>
        <w:rPr>
          <w:sz w:val="20"/>
          <w:szCs w:val="20"/>
          <w:color w:val="auto"/>
        </w:rPr>
      </w:pPr>
      <w:r>
        <w:rPr>
          <w:rFonts w:ascii="Times New Roman" w:cs="Times New Roman" w:eastAsia="Times New Roman" w:hAnsi="Times New Roman"/>
          <w:sz w:val="17"/>
          <w:szCs w:val="17"/>
          <w:color w:val="auto"/>
        </w:rPr>
        <w:t>·there may be conflicts between different collaborators that could negatively affect those collaborations and potentially others; ·the number and type of our collaborations could adversely affect our attractiveness to future collaborators or acquirers; and</w:t>
      </w:r>
    </w:p>
    <w:p>
      <w:pPr>
        <w:spacing w:after="0" w:line="1" w:lineRule="exact"/>
        <w:rPr>
          <w:sz w:val="20"/>
          <w:szCs w:val="20"/>
          <w:color w:val="auto"/>
        </w:rPr>
      </w:pPr>
    </w:p>
    <w:p>
      <w:pPr>
        <w:ind w:left="60" w:right="840" w:hanging="50"/>
        <w:spacing w:after="0" w:line="239" w:lineRule="auto"/>
        <w:rPr>
          <w:sz w:val="20"/>
          <w:szCs w:val="20"/>
          <w:color w:val="auto"/>
        </w:rPr>
      </w:pPr>
      <w:r>
        <w:rPr>
          <w:rFonts w:ascii="Times New Roman" w:cs="Times New Roman" w:eastAsia="Times New Roman" w:hAnsi="Times New Roman"/>
          <w:sz w:val="17"/>
          <w:szCs w:val="17"/>
          <w:color w:val="auto"/>
        </w:rPr>
        <w:t>·we currently have, and in the future may have, a limited number of collaborations and the loss of, or a disruption in our relationship with, any one or more of such collaborators may could harm our business.</w:t>
      </w:r>
    </w:p>
    <w:p>
      <w:pPr>
        <w:spacing w:after="0" w:line="357"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report also apply to the activities of our therapeutic program collaborators and there can be no assurance that our collaborations will produce positive results or successful products on a timely basis or at all.</w:t>
      </w:r>
    </w:p>
    <w:p>
      <w:pPr>
        <w:spacing w:after="0" w:line="150"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53" w:lineRule="exact"/>
        <w:rPr>
          <w:sz w:val="20"/>
          <w:szCs w:val="20"/>
          <w:color w:val="auto"/>
        </w:rPr>
      </w:pPr>
    </w:p>
    <w:p>
      <w:pPr>
        <w:ind w:right="80"/>
        <w:spacing w:after="0" w:line="212" w:lineRule="auto"/>
        <w:rPr>
          <w:sz w:val="20"/>
          <w:szCs w:val="20"/>
          <w:color w:val="auto"/>
        </w:rPr>
      </w:pPr>
      <w:r>
        <w:rPr>
          <w:rFonts w:ascii="Times New Roman" w:cs="Times New Roman" w:eastAsia="Times New Roman" w:hAnsi="Times New Roman"/>
          <w:sz w:val="17"/>
          <w:szCs w:val="17"/>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300"/>
        <w:spacing w:after="0" w:line="222" w:lineRule="auto"/>
        <w:rPr>
          <w:sz w:val="20"/>
          <w:szCs w:val="20"/>
          <w:color w:val="auto"/>
        </w:rPr>
      </w:pPr>
      <w:r>
        <w:rPr>
          <w:rFonts w:ascii="Times New Roman" w:cs="Times New Roman" w:eastAsia="Times New Roman" w:hAnsi="Times New Roman"/>
          <w:sz w:val="17"/>
          <w:szCs w:val="17"/>
          <w:color w:val="auto"/>
        </w:rPr>
        <w:t>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45"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5" w:lineRule="exact"/>
        <w:rPr>
          <w:sz w:val="20"/>
          <w:szCs w:val="20"/>
          <w:color w:val="auto"/>
        </w:rPr>
      </w:pPr>
    </w:p>
    <w:p>
      <w:pPr>
        <w:ind w:right="380"/>
        <w:spacing w:after="0" w:line="204" w:lineRule="exact"/>
        <w:rPr>
          <w:sz w:val="20"/>
          <w:szCs w:val="20"/>
          <w:color w:val="auto"/>
        </w:rPr>
      </w:pPr>
      <w:r>
        <w:rPr>
          <w:rFonts w:ascii="Times New Roman" w:cs="Times New Roman" w:eastAsia="Times New Roman" w:hAnsi="Times New Roman"/>
          <w:sz w:val="17"/>
          <w:szCs w:val="17"/>
          <w:color w:val="auto"/>
        </w:rPr>
        <w:t>We expect to continue to rely on third parties, such as CROs, clinical data management organizations, medical institutions and clinical investigators, to conduct and manage our clinical trials, including our Phase 1b clinical trial of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w:t>
      </w:r>
    </w:p>
    <w:p>
      <w:pPr>
        <w:spacing w:after="0" w:line="133"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7"/>
          <w:szCs w:val="17"/>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sponsored database, </w:t>
      </w:r>
      <w:r>
        <w:rPr>
          <w:rFonts w:ascii="Times New Roman" w:cs="Times New Roman" w:eastAsia="Times New Roman" w:hAnsi="Times New Roman"/>
          <w:sz w:val="17"/>
          <w:szCs w:val="17"/>
          <w:i w:val="1"/>
          <w:iCs w:val="1"/>
          <w:color w:val="auto"/>
        </w:rPr>
        <w:t>ClinicalTrials.gov</w:t>
      </w:r>
      <w:r>
        <w:rPr>
          <w:rFonts w:ascii="Times New Roman" w:cs="Times New Roman" w:eastAsia="Times New Roman" w:hAnsi="Times New Roman"/>
          <w:sz w:val="17"/>
          <w:szCs w:val="17"/>
          <w:color w:val="auto"/>
        </w:rPr>
        <w:t>, within specified timeframes. Failure to do so can result in fines, adverse publicity and civil and criminal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sanctions.</w:t>
      </w:r>
    </w:p>
    <w:p>
      <w:pPr>
        <w:spacing w:after="0" w:line="157"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7"/>
          <w:szCs w:val="17"/>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50" w:lineRule="exact"/>
        <w:rPr>
          <w:sz w:val="20"/>
          <w:szCs w:val="20"/>
          <w:color w:val="auto"/>
        </w:rPr>
      </w:pPr>
    </w:p>
    <w:p>
      <w:pPr>
        <w:jc w:val="both"/>
        <w:ind w:right="60"/>
        <w:spacing w:after="0" w:line="228" w:lineRule="auto"/>
        <w:rPr>
          <w:sz w:val="20"/>
          <w:szCs w:val="20"/>
          <w:color w:val="auto"/>
        </w:rPr>
      </w:pPr>
      <w:r>
        <w:rPr>
          <w:rFonts w:ascii="Times New Roman" w:cs="Times New Roman" w:eastAsia="Times New Roman" w:hAnsi="Times New Roman"/>
          <w:sz w:val="17"/>
          <w:szCs w:val="17"/>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144"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23" w:lineRule="exact"/>
        <w:rPr>
          <w:sz w:val="20"/>
          <w:szCs w:val="20"/>
          <w:color w:val="auto"/>
        </w:rPr>
      </w:pPr>
    </w:p>
    <w:p>
      <w:pPr>
        <w:ind w:right="60"/>
        <w:spacing w:after="0" w:line="180" w:lineRule="exact"/>
        <w:rPr>
          <w:sz w:val="20"/>
          <w:szCs w:val="20"/>
          <w:color w:val="auto"/>
        </w:rPr>
      </w:pPr>
      <w:r>
        <w:rPr>
          <w:rFonts w:ascii="Times New Roman" w:cs="Times New Roman" w:eastAsia="Times New Roman" w:hAnsi="Times New Roman"/>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5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58" w:name="page59"/>
    <w:bookmarkEnd w:id="58"/>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right="40"/>
        <w:spacing w:after="0" w:line="180" w:lineRule="exact"/>
        <w:rPr>
          <w:sz w:val="20"/>
          <w:szCs w:val="20"/>
          <w:color w:val="auto"/>
        </w:rPr>
      </w:pPr>
      <w:r>
        <w:rPr>
          <w:rFonts w:ascii="Times New Roman" w:cs="Times New Roman" w:eastAsia="Times New Roman" w:hAnsi="Times New Roman"/>
          <w:sz w:val="17"/>
          <w:szCs w:val="17"/>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scale manufacturing facilities that are adequate to produce materials for additional later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stage clinical trials or commercial use.</w:t>
      </w:r>
    </w:p>
    <w:p>
      <w:pPr>
        <w:spacing w:after="0" w:line="134" w:lineRule="exact"/>
        <w:rPr>
          <w:sz w:val="20"/>
          <w:szCs w:val="20"/>
          <w:color w:val="auto"/>
        </w:rPr>
      </w:pPr>
    </w:p>
    <w:p>
      <w:pPr>
        <w:ind w:left="1" w:right="40"/>
        <w:spacing w:after="0" w:line="228" w:lineRule="auto"/>
        <w:rPr>
          <w:sz w:val="20"/>
          <w:szCs w:val="20"/>
          <w:color w:val="auto"/>
        </w:rPr>
      </w:pPr>
      <w:r>
        <w:rPr>
          <w:rFonts w:ascii="Times New Roman" w:cs="Times New Roman" w:eastAsia="Times New Roman" w:hAnsi="Times New Roman"/>
          <w:sz w:val="17"/>
          <w:szCs w:val="17"/>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46" w:lineRule="exact"/>
        <w:rPr>
          <w:sz w:val="20"/>
          <w:szCs w:val="20"/>
          <w:color w:val="auto"/>
        </w:rPr>
      </w:pPr>
    </w:p>
    <w:p>
      <w:pPr>
        <w:ind w:left="1" w:right="880"/>
        <w:spacing w:after="0" w:line="243" w:lineRule="auto"/>
        <w:rPr>
          <w:sz w:val="20"/>
          <w:szCs w:val="20"/>
          <w:color w:val="auto"/>
        </w:rPr>
      </w:pPr>
      <w:r>
        <w:rPr>
          <w:rFonts w:ascii="Times New Roman" w:cs="Times New Roman" w:eastAsia="Times New Roman" w:hAnsi="Times New Roman"/>
          <w:sz w:val="17"/>
          <w:szCs w:val="17"/>
          <w:b w:val="1"/>
          <w:bCs w:val="1"/>
          <w:color w:val="auto"/>
        </w:rPr>
        <w:t>RISKS RELATED TO COMMERCIALIZATION OF OUR PRODUCT CANDIDATES AND OTHER LEGAL COMPLIANCE MATTERS</w:t>
      </w:r>
    </w:p>
    <w:p>
      <w:pPr>
        <w:spacing w:after="0" w:line="142" w:lineRule="exact"/>
        <w:rPr>
          <w:sz w:val="20"/>
          <w:szCs w:val="20"/>
          <w:color w:val="auto"/>
        </w:rPr>
      </w:pPr>
    </w:p>
    <w:p>
      <w:pPr>
        <w:ind w:left="1" w:right="260"/>
        <w:spacing w:after="0" w:line="207" w:lineRule="exact"/>
        <w:rPr>
          <w:sz w:val="20"/>
          <w:szCs w:val="20"/>
          <w:color w:val="auto"/>
        </w:rPr>
      </w:pPr>
      <w:r>
        <w:rPr>
          <w:rFonts w:ascii="Times New Roman" w:cs="Times New Roman" w:eastAsia="Times New Roman" w:hAnsi="Times New Roman"/>
          <w:sz w:val="17"/>
          <w:szCs w:val="17"/>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party payors and others in the medical community necessary for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-95250</wp:posOffset>
            </wp:positionV>
            <wp:extent cx="622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12" w:lineRule="exact"/>
        <w:rPr>
          <w:sz w:val="20"/>
          <w:szCs w:val="20"/>
          <w:color w:val="auto"/>
        </w:rPr>
      </w:pPr>
    </w:p>
    <w:p>
      <w:pPr>
        <w:ind w:left="1" w:right="100"/>
        <w:spacing w:after="0" w:line="181" w:lineRule="exact"/>
        <w:rPr>
          <w:sz w:val="20"/>
          <w:szCs w:val="20"/>
          <w:color w:val="auto"/>
        </w:rPr>
      </w:pPr>
      <w:r>
        <w:rPr>
          <w:rFonts w:ascii="Times New Roman" w:cs="Times New Roman" w:eastAsia="Times New Roman" w:hAnsi="Times New Roman"/>
          <w:sz w:val="17"/>
          <w:szCs w:val="17"/>
          <w:color w:val="auto"/>
        </w:rPr>
        <w:t>If any of our product candidates receives marketing approval, it may nonetheless fail to gain sufficient market acceptance by physicians, patients,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51" w:lineRule="exact"/>
        <w:rPr>
          <w:sz w:val="20"/>
          <w:szCs w:val="20"/>
          <w:color w:val="auto"/>
        </w:rPr>
      </w:pPr>
    </w:p>
    <w:p>
      <w:pPr>
        <w:ind w:left="81" w:hanging="81"/>
        <w:spacing w:after="0"/>
        <w:tabs>
          <w:tab w:leader="none" w:pos="8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their efficacy, safety and other potential advantages compared to alternative treatments;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our product candidates are approved;</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them for sale at competitive prices;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their convenience and ease of administration compared to alternative treatments;</w:t>
      </w:r>
    </w:p>
    <w:p>
      <w:pPr>
        <w:spacing w:after="0" w:line="75" w:lineRule="exact"/>
        <w:rPr>
          <w:sz w:val="20"/>
          <w:szCs w:val="20"/>
          <w:color w:val="auto"/>
        </w:rPr>
      </w:pPr>
    </w:p>
    <w:p>
      <w:pPr>
        <w:ind w:left="1" w:right="1200"/>
        <w:spacing w:after="0" w:line="314" w:lineRule="auto"/>
        <w:rPr>
          <w:sz w:val="20"/>
          <w:szCs w:val="20"/>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 · the strength of marketing and distribution support;</w:t>
      </w:r>
    </w:p>
    <w:p>
      <w:pPr>
        <w:ind w:left="1"/>
        <w:spacing w:after="0" w:line="196" w:lineRule="exact"/>
        <w:rPr>
          <w:sz w:val="20"/>
          <w:szCs w:val="20"/>
          <w:color w:val="auto"/>
        </w:rPr>
      </w:pPr>
      <w:r>
        <w:rPr>
          <w:rFonts w:ascii="Times New Roman" w:cs="Times New Roman" w:eastAsia="Times New Roman" w:hAnsi="Times New Roman"/>
          <w:sz w:val="17"/>
          <w:szCs w:val="17"/>
          <w:color w:val="auto"/>
        </w:rPr>
        <w:t>·the availability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coverage and adequate reimbursement for our product candidates;</w:t>
      </w:r>
    </w:p>
    <w:p>
      <w:pPr>
        <w:spacing w:after="0" w:line="103" w:lineRule="exact"/>
        <w:rPr>
          <w:sz w:val="20"/>
          <w:szCs w:val="20"/>
          <w:color w:val="auto"/>
        </w:rPr>
      </w:pPr>
    </w:p>
    <w:p>
      <w:pPr>
        <w:ind w:left="81" w:hanging="81"/>
        <w:spacing w:after="0"/>
        <w:tabs>
          <w:tab w:leader="none" w:pos="8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their side effects and their overall safety profiles;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 candidates together with other medications;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interactions of our product candidates with other medicines patients are taking;</w:t>
      </w:r>
    </w:p>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·our ability to create awareness with patients and physicians about the harmful effects of uric acid deposits;</w:t>
      </w:r>
    </w:p>
    <w:p>
      <w:pPr>
        <w:spacing w:after="0" w:line="75" w:lineRule="exact"/>
        <w:rPr>
          <w:sz w:val="20"/>
          <w:szCs w:val="20"/>
          <w:color w:val="auto"/>
        </w:rPr>
      </w:pPr>
    </w:p>
    <w:p>
      <w:pPr>
        <w:ind w:left="81" w:hanging="81"/>
        <w:spacing w:after="0"/>
        <w:tabs>
          <w:tab w:leader="none" w:pos="8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certain types of patients to take our product candidates; and</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their ability to remain attractive in the event of changing treatment guidelines.</w:t>
      </w:r>
    </w:p>
    <w:p>
      <w:pPr>
        <w:spacing w:after="0" w:line="383" w:lineRule="exact"/>
        <w:rPr>
          <w:sz w:val="20"/>
          <w:szCs w:val="20"/>
          <w:color w:val="auto"/>
        </w:rPr>
      </w:pPr>
    </w:p>
    <w:p>
      <w:pPr>
        <w:ind w:left="1"/>
        <w:spacing w:after="0" w:line="215" w:lineRule="auto"/>
        <w:rPr>
          <w:sz w:val="20"/>
          <w:szCs w:val="20"/>
          <w:color w:val="auto"/>
        </w:rPr>
      </w:pPr>
      <w:r>
        <w:rPr>
          <w:rFonts w:ascii="Times New Roman" w:cs="Times New Roman" w:eastAsia="Times New Roman" w:hAnsi="Times New Roman"/>
          <w:sz w:val="17"/>
          <w:szCs w:val="17"/>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1"/>
          </w:cols>
          <w:pgMar w:left="1419" w:top="110" w:right="143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ind w:right="59"/>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51" w:lineRule="exact"/>
        <w:rPr>
          <w:sz w:val="20"/>
          <w:szCs w:val="20"/>
          <w:color w:val="auto"/>
        </w:rPr>
      </w:pPr>
    </w:p>
    <w:p>
      <w:pPr>
        <w:ind w:right="99"/>
        <w:spacing w:after="0" w:line="222"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23" w:lineRule="exact"/>
        <w:rPr>
          <w:sz w:val="20"/>
          <w:szCs w:val="20"/>
          <w:color w:val="auto"/>
        </w:rPr>
      </w:pPr>
    </w:p>
    <w:p>
      <w:pPr>
        <w:ind w:right="19"/>
        <w:spacing w:after="0" w:line="180" w:lineRule="exact"/>
        <w:rPr>
          <w:sz w:val="20"/>
          <w:szCs w:val="20"/>
          <w:color w:val="auto"/>
        </w:rPr>
      </w:pPr>
      <w:r>
        <w:rPr>
          <w:rFonts w:ascii="Times New Roman" w:cs="Times New Roman" w:eastAsia="Times New Roman" w:hAnsi="Times New Roman"/>
          <w:sz w:val="17"/>
          <w:szCs w:val="17"/>
          <w:color w:val="auto"/>
        </w:rPr>
        <w:t>In the future, we expect to build a focused sales and marketing infrastructure to market or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that may inhibit our efforts to commercialize our product candidates on our own include:</w:t>
      </w:r>
    </w:p>
    <w:p>
      <w:pPr>
        <w:spacing w:after="0" w:line="178" w:lineRule="exact"/>
        <w:rPr>
          <w:sz w:val="20"/>
          <w:szCs w:val="20"/>
          <w:color w:val="auto"/>
        </w:rPr>
      </w:pPr>
    </w:p>
    <w:p>
      <w:pPr>
        <w:ind w:right="1859"/>
        <w:spacing w:after="0" w:line="331" w:lineRule="auto"/>
        <w:rPr>
          <w:sz w:val="20"/>
          <w:szCs w:val="20"/>
          <w:color w:val="auto"/>
        </w:rPr>
      </w:pPr>
      <w:r>
        <w:rPr>
          <w:rFonts w:ascii="Times New Roman" w:cs="Times New Roman" w:eastAsia="Times New Roman" w:hAnsi="Times New Roman"/>
          <w:sz w:val="17"/>
          <w:szCs w:val="17"/>
          <w:color w:val="auto"/>
        </w:rPr>
        <w:t>·our inability to recruit, train and retain adequate numbers of effective sales and marketing personnel; ·the inability of sales personnel to obtain access to or educate physicians on the benefits of our products;</w:t>
      </w:r>
    </w:p>
    <w:p>
      <w:pPr>
        <w:spacing w:after="0" w:line="1" w:lineRule="exact"/>
        <w:rPr>
          <w:sz w:val="20"/>
          <w:szCs w:val="20"/>
          <w:color w:val="auto"/>
        </w:rPr>
      </w:pPr>
    </w:p>
    <w:p>
      <w:pPr>
        <w:ind w:left="60" w:right="199" w:hanging="50"/>
        <w:spacing w:after="0" w:line="239" w:lineRule="auto"/>
        <w:rPr>
          <w:sz w:val="20"/>
          <w:szCs w:val="20"/>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 and</w:t>
      </w:r>
    </w:p>
    <w:p>
      <w:pPr>
        <w:spacing w:after="0" w:line="46" w:lineRule="exact"/>
        <w:rPr>
          <w:sz w:val="20"/>
          <w:szCs w:val="20"/>
          <w:color w:val="auto"/>
        </w:rPr>
      </w:pPr>
    </w:p>
    <w:p>
      <w:pPr>
        <w:ind w:left="60" w:right="419" w:hanging="50"/>
        <w:spacing w:after="0" w:line="209" w:lineRule="exact"/>
        <w:rPr>
          <w:sz w:val="20"/>
          <w:szCs w:val="20"/>
          <w:color w:val="auto"/>
        </w:rPr>
      </w:pPr>
      <w:r>
        <w:rPr>
          <w:rFonts w:ascii="Times New Roman" w:cs="Times New Roman" w:eastAsia="Times New Roman" w:hAnsi="Times New Roman"/>
          <w:sz w:val="17"/>
          <w:szCs w:val="17"/>
          <w:color w:val="auto"/>
        </w:rPr>
        <w:t>·inability to obtain sufficient coverage and reimbursement from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and governmental agencies for our product candidates.</w:t>
      </w:r>
    </w:p>
    <w:p>
      <w:pPr>
        <w:spacing w:after="0" w:line="152" w:lineRule="exact"/>
        <w:rPr>
          <w:sz w:val="20"/>
          <w:szCs w:val="20"/>
          <w:color w:val="auto"/>
        </w:rPr>
      </w:pPr>
    </w:p>
    <w:p>
      <w:pPr>
        <w:ind w:right="39"/>
        <w:spacing w:after="0" w:line="215" w:lineRule="auto"/>
        <w:rPr>
          <w:sz w:val="20"/>
          <w:szCs w:val="20"/>
          <w:color w:val="auto"/>
        </w:rPr>
      </w:pPr>
      <w:r>
        <w:rPr>
          <w:rFonts w:ascii="Times New Roman" w:cs="Times New Roman" w:eastAsia="Times New Roman" w:hAnsi="Times New Roman"/>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 candidates, if approved, may fail to offer material commercial advantages over other treatments.</w:t>
      </w:r>
    </w:p>
    <w:p>
      <w:pPr>
        <w:spacing w:after="0" w:line="184" w:lineRule="exact"/>
        <w:rPr>
          <w:sz w:val="20"/>
          <w:szCs w:val="20"/>
          <w:color w:val="auto"/>
        </w:rPr>
      </w:pPr>
    </w:p>
    <w:p>
      <w:pPr>
        <w:ind w:right="59"/>
        <w:spacing w:after="0" w:line="178" w:lineRule="exact"/>
        <w:rPr>
          <w:sz w:val="20"/>
          <w:szCs w:val="20"/>
          <w:color w:val="auto"/>
        </w:rPr>
      </w:pPr>
      <w:r>
        <w:rPr>
          <w:rFonts w:ascii="Times New Roman" w:cs="Times New Roman" w:eastAsia="Times New Roman" w:hAnsi="Times New Roman"/>
          <w:sz w:val="17"/>
          <w:szCs w:val="17"/>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148" w:lineRule="exact"/>
        <w:rPr>
          <w:sz w:val="20"/>
          <w:szCs w:val="20"/>
          <w:color w:val="auto"/>
        </w:rPr>
      </w:pPr>
    </w:p>
    <w:p>
      <w:pPr>
        <w:ind w:right="299"/>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discovering, developing or commercializing competing products before or more successfully than we do.</w:t>
      </w:r>
    </w:p>
    <w:p>
      <w:pPr>
        <w:spacing w:after="0" w:line="145" w:lineRule="exact"/>
        <w:rPr>
          <w:sz w:val="20"/>
          <w:szCs w:val="20"/>
          <w:color w:val="auto"/>
        </w:rPr>
      </w:pPr>
    </w:p>
    <w:p>
      <w:pPr>
        <w:ind w:right="19"/>
        <w:spacing w:after="0" w:line="218" w:lineRule="auto"/>
        <w:rPr>
          <w:sz w:val="20"/>
          <w:szCs w:val="20"/>
          <w:color w:val="auto"/>
        </w:rPr>
      </w:pPr>
      <w:r>
        <w:rPr>
          <w:rFonts w:ascii="Times New Roman" w:cs="Times New Roman" w:eastAsia="Times New Roman" w:hAnsi="Times New Roman"/>
          <w:sz w:val="17"/>
          <w:szCs w:val="17"/>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39"/>
          </w:cols>
          <w:pgMar w:left="1420" w:top="110" w:right="1440"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7"/>
          <w:szCs w:val="17"/>
          <w:color w:val="auto"/>
        </w:rPr>
        <w:t>protected by such intellectual property rights, they will be protected from competition for the life of the applicable patents. However, we are aware of a number of large pharmaceutical and biotechnology companies, including Sanofi, Horizon Pharma, Pfizer, and Merck,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50"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0" w:lineRule="exact"/>
        <w:rPr>
          <w:sz w:val="20"/>
          <w:szCs w:val="20"/>
          <w:color w:val="auto"/>
        </w:rPr>
      </w:pPr>
    </w:p>
    <w:p>
      <w:pPr>
        <w:spacing w:after="0" w:line="176" w:lineRule="exact"/>
        <w:rPr>
          <w:sz w:val="20"/>
          <w:szCs w:val="20"/>
          <w:color w:val="auto"/>
        </w:rPr>
      </w:pPr>
      <w:r>
        <w:rPr>
          <w:rFonts w:ascii="Times New Roman" w:cs="Times New Roman" w:eastAsia="Times New Roman" w:hAnsi="Times New Roman"/>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seeking to encourage the use of generic or biosimilar products.</w:t>
      </w:r>
    </w:p>
    <w:p>
      <w:pPr>
        <w:spacing w:after="0" w:line="144" w:lineRule="exact"/>
        <w:rPr>
          <w:sz w:val="20"/>
          <w:szCs w:val="20"/>
          <w:color w:val="auto"/>
        </w:rPr>
      </w:pPr>
    </w:p>
    <w:p>
      <w:pPr>
        <w:ind w:right="740"/>
        <w:spacing w:after="0" w:line="207" w:lineRule="exact"/>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coverage or reimbursement policies, any of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-95250</wp:posOffset>
            </wp:positionV>
            <wp:extent cx="622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12" w:lineRule="exact"/>
        <w:rPr>
          <w:sz w:val="20"/>
          <w:szCs w:val="20"/>
          <w:color w:val="auto"/>
        </w:rPr>
      </w:pPr>
    </w:p>
    <w:p>
      <w:pPr>
        <w:spacing w:after="0" w:line="178" w:lineRule="exact"/>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such as private health insurers and health maintenance organizations, decide which medications they will pay for and establish reimbursement levels.</w:t>
      </w:r>
    </w:p>
    <w:p>
      <w:pPr>
        <w:spacing w:after="0" w:line="154" w:lineRule="exact"/>
        <w:rPr>
          <w:sz w:val="20"/>
          <w:szCs w:val="20"/>
          <w:color w:val="auto"/>
        </w:rPr>
      </w:pPr>
    </w:p>
    <w:p>
      <w:pPr>
        <w:spacing w:after="0" w:line="171" w:lineRule="exact"/>
        <w:rPr>
          <w:sz w:val="20"/>
          <w:szCs w:val="20"/>
          <w:color w:val="auto"/>
        </w:rPr>
      </w:pPr>
      <w:r>
        <w:rPr>
          <w:rFonts w:ascii="Times New Roman" w:cs="Times New Roman" w:eastAsia="Times New Roman" w:hAnsi="Times New Roman"/>
          <w:sz w:val="17"/>
          <w:szCs w:val="17"/>
          <w:color w:val="auto"/>
        </w:rPr>
        <w:t>Obtaining and maintaining adequate reimbursement for our products may be difficult. The process for determining whether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61" w:name="page62"/>
    <w:bookmarkEnd w:id="61"/>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spacing w:after="0" w:line="172" w:lineRule="exact"/>
        <w:rPr>
          <w:sz w:val="20"/>
          <w:szCs w:val="20"/>
          <w:color w:val="auto"/>
        </w:rPr>
      </w:pPr>
      <w:r>
        <w:rPr>
          <w:rFonts w:ascii="Times New Roman" w:cs="Times New Roman" w:eastAsia="Times New Roman" w:hAnsi="Times New Roman"/>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funded and private payors for any approved products that we develop could have a material adverse effect on our operating results, our ability to raise capital needed to commercialize products and our overall financial condition.</w:t>
      </w:r>
    </w:p>
    <w:p>
      <w:pPr>
        <w:spacing w:after="0" w:line="160" w:lineRule="exact"/>
        <w:rPr>
          <w:sz w:val="20"/>
          <w:szCs w:val="20"/>
          <w:color w:val="auto"/>
        </w:rPr>
      </w:pPr>
    </w:p>
    <w:p>
      <w:pPr>
        <w:ind w:left="1" w:right="40"/>
        <w:spacing w:after="0" w:line="172" w:lineRule="exact"/>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or that coverage or an adequate level of reimbursement will be available.</w:t>
      </w:r>
    </w:p>
    <w:p>
      <w:pPr>
        <w:spacing w:after="0" w:line="154" w:lineRule="exact"/>
        <w:rPr>
          <w:sz w:val="20"/>
          <w:szCs w:val="20"/>
          <w:color w:val="auto"/>
        </w:rPr>
      </w:pPr>
    </w:p>
    <w:p>
      <w:pPr>
        <w:ind w:left="1" w:right="2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Product liability lawsuits against us could cause us to incur substantial liabilities and limit commercialization of any products that we may develop.</w:t>
      </w:r>
    </w:p>
    <w:p>
      <w:pPr>
        <w:spacing w:after="0" w:line="145" w:lineRule="exact"/>
        <w:rPr>
          <w:sz w:val="20"/>
          <w:szCs w:val="20"/>
          <w:color w:val="auto"/>
        </w:rPr>
      </w:pPr>
    </w:p>
    <w:p>
      <w:pPr>
        <w:jc w:val="both"/>
        <w:ind w:left="1" w:right="120"/>
        <w:spacing w:after="0" w:line="222"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·regulatory investigations, product recalls or withdrawals, or labeling, marketing or promotional restrictions;</w:t>
      </w:r>
    </w:p>
    <w:p>
      <w:pPr>
        <w:spacing w:after="0" w:line="75" w:lineRule="exact"/>
        <w:rPr>
          <w:sz w:val="20"/>
          <w:szCs w:val="20"/>
          <w:color w:val="auto"/>
        </w:rPr>
      </w:pPr>
    </w:p>
    <w:p>
      <w:pPr>
        <w:ind w:left="81" w:hanging="81"/>
        <w:spacing w:after="0"/>
        <w:tabs>
          <w:tab w:leader="none" w:pos="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product candidates or products that we may develop;</w:t>
      </w:r>
    </w:p>
    <w:p>
      <w:pPr>
        <w:spacing w:after="0" w:line="74" w:lineRule="exact"/>
        <w:rPr>
          <w:rFonts w:ascii="Times New Roman" w:cs="Times New Roman" w:eastAsia="Times New Roman" w:hAnsi="Times New Roman"/>
          <w:sz w:val="17"/>
          <w:szCs w:val="17"/>
          <w:color w:val="auto"/>
        </w:rPr>
      </w:pPr>
    </w:p>
    <w:p>
      <w:pPr>
        <w:ind w:left="101" w:hanging="101"/>
        <w:spacing w:after="0"/>
        <w:tabs>
          <w:tab w:leader="none" w:pos="10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 and significant negative media attention;</w:t>
      </w:r>
    </w:p>
    <w:p>
      <w:pPr>
        <w:spacing w:after="0" w:line="74"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to defend the related litigation;</w:t>
      </w:r>
    </w:p>
    <w:p>
      <w:pPr>
        <w:spacing w:after="0" w:line="74" w:lineRule="exact"/>
        <w:rPr>
          <w:rFonts w:ascii="Times New Roman" w:cs="Times New Roman" w:eastAsia="Times New Roman" w:hAnsi="Times New Roman"/>
          <w:sz w:val="17"/>
          <w:szCs w:val="17"/>
          <w:color w:val="auto"/>
        </w:rPr>
      </w:pPr>
    </w:p>
    <w:p>
      <w:pPr>
        <w:ind w:left="101" w:hanging="101"/>
        <w:spacing w:after="0"/>
        <w:tabs>
          <w:tab w:leader="none" w:pos="10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74" w:lineRule="exact"/>
        <w:rPr>
          <w:rFonts w:ascii="Times New Roman" w:cs="Times New Roman" w:eastAsia="Times New Roman" w:hAnsi="Times New Roman"/>
          <w:sz w:val="17"/>
          <w:szCs w:val="17"/>
          <w:color w:val="auto"/>
        </w:rPr>
      </w:pPr>
    </w:p>
    <w:p>
      <w:pPr>
        <w:ind w:left="401" w:hanging="401"/>
        <w:spacing w:after="0"/>
        <w:tabs>
          <w:tab w:leader="none" w:pos="40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resources of our management to pursue our business strategy; and</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products that we may develop.</w:t>
      </w:r>
    </w:p>
    <w:p>
      <w:pPr>
        <w:spacing w:after="0" w:line="383" w:lineRule="exact"/>
        <w:rPr>
          <w:sz w:val="20"/>
          <w:szCs w:val="20"/>
          <w:color w:val="auto"/>
        </w:rPr>
      </w:pPr>
    </w:p>
    <w:p>
      <w:pPr>
        <w:ind w:left="1" w:right="40"/>
        <w:spacing w:after="0" w:line="228" w:lineRule="auto"/>
        <w:rPr>
          <w:sz w:val="20"/>
          <w:szCs w:val="20"/>
          <w:color w:val="auto"/>
        </w:rPr>
      </w:pPr>
      <w:r>
        <w:rPr>
          <w:rFonts w:ascii="Times New Roman" w:cs="Times New Roman" w:eastAsia="Times New Roman" w:hAnsi="Times New Roman"/>
          <w:sz w:val="17"/>
          <w:szCs w:val="17"/>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increasingly expensive. We may not be able to maintain insurance coverage at a reasonable cost or in an amount adequate to satisfy any liability that may arise.</w:t>
      </w:r>
    </w:p>
    <w:p>
      <w:pPr>
        <w:spacing w:after="0" w:line="14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Failure to obtain marketing approval in international jurisdictions would prevent our product candidates from being marketed abroad.</w:t>
      </w:r>
    </w:p>
    <w:p>
      <w:pPr>
        <w:spacing w:after="0" w:line="145"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7"/>
          <w:szCs w:val="17"/>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48" w:lineRule="exact"/>
        <w:rPr>
          <w:sz w:val="20"/>
          <w:szCs w:val="20"/>
          <w:color w:val="auto"/>
        </w:rPr>
      </w:pPr>
    </w:p>
    <w:p>
      <w:pPr>
        <w:ind w:right="60"/>
        <w:spacing w:after="0" w:line="183" w:lineRule="exact"/>
        <w:rPr>
          <w:sz w:val="20"/>
          <w:szCs w:val="20"/>
          <w:color w:val="auto"/>
        </w:rPr>
      </w:pPr>
      <w:r>
        <w:rPr>
          <w:rFonts w:ascii="Times New Roman" w:cs="Times New Roman" w:eastAsia="Times New Roman" w:hAnsi="Times New Roman"/>
          <w:sz w:val="17"/>
          <w:szCs w:val="17"/>
          <w:b w:val="1"/>
          <w:bCs w:val="1"/>
          <w:i w:val="1"/>
          <w:iCs w:val="1"/>
          <w:color w:val="auto"/>
        </w:rPr>
        <w:t>Although we are not currently marketing our product candidates, including to healthcare providers, if and when we do, our relationships with healthcare providers, customers and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payors may be subject to applicable anti</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-295910</wp:posOffset>
            </wp:positionV>
            <wp:extent cx="622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230" cy="3873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-295910</wp:posOffset>
            </wp:positionV>
            <wp:extent cx="622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03" w:lineRule="exact"/>
        <w:rPr>
          <w:sz w:val="20"/>
          <w:szCs w:val="20"/>
          <w:color w:val="auto"/>
        </w:rPr>
      </w:pPr>
    </w:p>
    <w:p>
      <w:pPr>
        <w:ind w:right="100"/>
        <w:spacing w:after="0" w:line="184" w:lineRule="exact"/>
        <w:rPr>
          <w:sz w:val="20"/>
          <w:szCs w:val="20"/>
          <w:color w:val="auto"/>
        </w:rPr>
      </w:pPr>
      <w:r>
        <w:rPr>
          <w:rFonts w:ascii="Times New Roman" w:cs="Times New Roman" w:eastAsia="Times New Roman" w:hAnsi="Times New Roman"/>
          <w:sz w:val="17"/>
          <w:szCs w:val="17"/>
          <w:color w:val="auto"/>
        </w:rPr>
        <w:t>Healthcare providers, customers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26" w:lineRule="exact"/>
        <w:rPr>
          <w:sz w:val="20"/>
          <w:szCs w:val="20"/>
          <w:color w:val="auto"/>
        </w:rPr>
      </w:pPr>
    </w:p>
    <w:p>
      <w:pPr>
        <w:ind w:left="60" w:right="120" w:hanging="50"/>
        <w:spacing w:after="0" w:line="180" w:lineRule="exact"/>
        <w:rPr>
          <w:sz w:val="20"/>
          <w:szCs w:val="20"/>
          <w:color w:val="auto"/>
        </w:rPr>
      </w:pPr>
      <w:r>
        <w:rPr>
          <w:rFonts w:ascii="Times New Roman" w:cs="Times New Roman" w:eastAsia="Times New Roman" w:hAnsi="Times New Roman"/>
          <w:sz w:val="17"/>
          <w:szCs w:val="17"/>
          <w:color w:val="auto"/>
        </w:rPr>
        <w:t>·the federal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Kickback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Kickback Statute constitutes a false or fraudulent claim for purposes of the False Claims Act);</w:t>
      </w:r>
    </w:p>
    <w:p>
      <w:pPr>
        <w:spacing w:after="0" w:line="47" w:lineRule="exact"/>
        <w:rPr>
          <w:sz w:val="20"/>
          <w:szCs w:val="20"/>
          <w:color w:val="auto"/>
        </w:rPr>
      </w:pPr>
    </w:p>
    <w:p>
      <w:pPr>
        <w:ind w:left="60" w:right="80" w:hanging="50"/>
        <w:spacing w:after="0" w:line="222" w:lineRule="auto"/>
        <w:rPr>
          <w:sz w:val="20"/>
          <w:szCs w:val="20"/>
          <w:color w:val="auto"/>
        </w:rPr>
      </w:pPr>
      <w:r>
        <w:rPr>
          <w:rFonts w:ascii="Times New Roman" w:cs="Times New Roman" w:eastAsia="Times New Roman" w:hAnsi="Times New Roman"/>
          <w:sz w:val="17"/>
          <w:szCs w:val="17"/>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48" w:lineRule="exact"/>
        <w:rPr>
          <w:sz w:val="20"/>
          <w:szCs w:val="20"/>
          <w:color w:val="auto"/>
        </w:rPr>
      </w:pPr>
    </w:p>
    <w:p>
      <w:pPr>
        <w:ind w:left="60" w:right="100" w:hanging="50"/>
        <w:spacing w:after="0" w:line="181" w:lineRule="exact"/>
        <w:rPr>
          <w:sz w:val="20"/>
          <w:szCs w:val="20"/>
          <w:color w:val="auto"/>
        </w:rPr>
      </w:pPr>
      <w:r>
        <w:rPr>
          <w:rFonts w:ascii="Times New Roman" w:cs="Times New Roman" w:eastAsia="Times New Roman" w:hAnsi="Times New Roman"/>
          <w:sz w:val="17"/>
          <w:szCs w:val="17"/>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Kickback Statute, a person or entity does not need to have actual knowledge of the statute or specific intent to violate it to have committed a violation;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60" w:right="140" w:hanging="50"/>
        <w:spacing w:after="0" w:line="228"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47" w:lineRule="exact"/>
        <w:rPr>
          <w:sz w:val="20"/>
          <w:szCs w:val="20"/>
          <w:color w:val="auto"/>
        </w:rPr>
      </w:pPr>
    </w:p>
    <w:p>
      <w:pPr>
        <w:ind w:left="60" w:hanging="50"/>
        <w:spacing w:after="0" w:line="216" w:lineRule="auto"/>
        <w:rPr>
          <w:sz w:val="20"/>
          <w:szCs w:val="20"/>
          <w:color w:val="auto"/>
        </w:rPr>
      </w:pPr>
      <w:r>
        <w:rPr>
          <w:rFonts w:ascii="Times New Roman" w:cs="Times New Roman" w:eastAsia="Times New Roman" w:hAnsi="Times New Roman"/>
          <w:sz w:val="17"/>
          <w:szCs w:val="17"/>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22" w:lineRule="exact"/>
        <w:rPr>
          <w:sz w:val="20"/>
          <w:szCs w:val="20"/>
          <w:color w:val="auto"/>
        </w:rPr>
      </w:pPr>
    </w:p>
    <w:p>
      <w:pPr>
        <w:ind w:left="60" w:right="240" w:hanging="50"/>
        <w:spacing w:after="0" w:line="178" w:lineRule="exact"/>
        <w:rPr>
          <w:sz w:val="20"/>
          <w:szCs w:val="20"/>
          <w:color w:val="auto"/>
        </w:rPr>
      </w:pPr>
      <w:r>
        <w:rPr>
          <w:rFonts w:ascii="Times New Roman" w:cs="Times New Roman" w:eastAsia="Times New Roman" w:hAnsi="Times New Roman"/>
          <w:sz w:val="17"/>
          <w:szCs w:val="17"/>
          <w:color w:val="auto"/>
        </w:rPr>
        <w:t>·analogous state and foreign laws and regulations, such as state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kickback and false claims laws, which may apply to sales or marketing arrangements and claims involving healthcare items or services reimbursed by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governmental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357" w:lineRule="exact"/>
        <w:rPr>
          <w:sz w:val="20"/>
          <w:szCs w:val="20"/>
          <w:color w:val="auto"/>
        </w:rPr>
      </w:pPr>
    </w:p>
    <w:p>
      <w:pPr>
        <w:ind w:right="60"/>
        <w:spacing w:after="0" w:line="210"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146" w:lineRule="exact"/>
        <w:rPr>
          <w:sz w:val="20"/>
          <w:szCs w:val="20"/>
          <w:color w:val="auto"/>
        </w:rPr>
      </w:pPr>
    </w:p>
    <w:p>
      <w:pPr>
        <w:ind w:right="7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45" w:lineRule="exact"/>
        <w:rPr>
          <w:sz w:val="20"/>
          <w:szCs w:val="20"/>
          <w:color w:val="auto"/>
        </w:rPr>
      </w:pPr>
    </w:p>
    <w:p>
      <w:pPr>
        <w:ind w:right="200"/>
        <w:spacing w:after="0" w:line="181" w:lineRule="exact"/>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activities and affect our ability to profitably sell any product candidates for which we obtain marketing approval.</w:t>
      </w:r>
    </w:p>
    <w:p>
      <w:pPr>
        <w:spacing w:after="0" w:line="15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7"/>
          <w:szCs w:val="17"/>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64" w:name="page65"/>
    <w:bookmarkEnd w:id="6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Among the provisions of the PPACA of importance to our potential product candidates are the following:</w:t>
      </w:r>
    </w:p>
    <w:p>
      <w:pPr>
        <w:spacing w:after="0" w:line="178" w:lineRule="exact"/>
        <w:rPr>
          <w:sz w:val="20"/>
          <w:szCs w:val="20"/>
          <w:color w:val="auto"/>
        </w:rPr>
      </w:pPr>
    </w:p>
    <w:p>
      <w:pPr>
        <w:ind w:left="60" w:right="39" w:hanging="50"/>
        <w:spacing w:after="0" w:line="239" w:lineRule="auto"/>
        <w:rPr>
          <w:sz w:val="20"/>
          <w:szCs w:val="20"/>
          <w:color w:val="auto"/>
        </w:rPr>
      </w:pPr>
      <w:r>
        <w:rPr>
          <w:rFonts w:ascii="Times New Roman" w:cs="Times New Roman" w:eastAsia="Times New Roman" w:hAnsi="Times New Roman"/>
          <w:sz w:val="17"/>
          <w:szCs w:val="17"/>
          <w:color w:val="auto"/>
        </w:rPr>
        <w:t>·an annual, nondeductible fee payable by any entity that manufactures or imports specified branded prescription drugs and biologic agents;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increase in the statutory minimum rebates a manufacturer must pay under the Medicaid Drug Rebate Program;</w:t>
      </w:r>
    </w:p>
    <w:p>
      <w:pPr>
        <w:spacing w:after="0" w:line="75" w:lineRule="exact"/>
        <w:rPr>
          <w:sz w:val="20"/>
          <w:szCs w:val="20"/>
          <w:color w:val="auto"/>
        </w:rPr>
      </w:pPr>
    </w:p>
    <w:p>
      <w:pPr>
        <w:ind w:left="60" w:right="199" w:hanging="50"/>
        <w:spacing w:after="0" w:line="239" w:lineRule="auto"/>
        <w:rPr>
          <w:sz w:val="20"/>
          <w:szCs w:val="20"/>
          <w:color w:val="auto"/>
        </w:rPr>
      </w:pPr>
      <w:r>
        <w:rPr>
          <w:rFonts w:ascii="Times New Roman" w:cs="Times New Roman" w:eastAsia="Times New Roman" w:hAnsi="Times New Roman"/>
          <w:sz w:val="17"/>
          <w:szCs w:val="17"/>
          <w:color w:val="auto"/>
        </w:rPr>
        <w:t>·a new methodology by which rebates owed by manufacturers under the Medicaid Drug Rebate Program are calculated for drugs that are inhaled, infused, instilled, implanted or injected;</w:t>
      </w:r>
    </w:p>
    <w:p>
      <w:pPr>
        <w:spacing w:after="0" w:line="20" w:lineRule="exact"/>
        <w:rPr>
          <w:sz w:val="20"/>
          <w:szCs w:val="20"/>
          <w:color w:val="auto"/>
        </w:rPr>
      </w:pPr>
    </w:p>
    <w:p>
      <w:pPr>
        <w:ind w:left="60" w:right="179" w:hanging="50"/>
        <w:spacing w:after="0" w:line="195" w:lineRule="exact"/>
        <w:rPr>
          <w:sz w:val="20"/>
          <w:szCs w:val="20"/>
          <w:color w:val="auto"/>
        </w:rPr>
      </w:pPr>
      <w:r>
        <w:rPr>
          <w:rFonts w:ascii="Times New Roman" w:cs="Times New Roman" w:eastAsia="Times New Roman" w:hAnsi="Times New Roman"/>
          <w:sz w:val="17"/>
          <w:szCs w:val="17"/>
          <w:color w:val="auto"/>
        </w:rPr>
        <w:t>·a new Medicare Part D coverage gap discount program, in which manufacturers must agree to offer 50% point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sale discounts off negotiated prices of applicable brand drugs to eligible beneficiaries under their coverage gap period, as a condition for the manufacturer’s outpatient drugs to be covered under Medicare Part D;</w:t>
      </w:r>
    </w:p>
    <w:p>
      <w:pPr>
        <w:spacing w:after="0" w:line="49" w:lineRule="exact"/>
        <w:rPr>
          <w:sz w:val="20"/>
          <w:szCs w:val="20"/>
          <w:color w:val="auto"/>
        </w:rPr>
      </w:pPr>
    </w:p>
    <w:p>
      <w:pPr>
        <w:ind w:right="879"/>
        <w:spacing w:after="0" w:line="331" w:lineRule="auto"/>
        <w:rPr>
          <w:sz w:val="20"/>
          <w:szCs w:val="20"/>
          <w:color w:val="auto"/>
        </w:rPr>
      </w:pPr>
      <w:r>
        <w:rPr>
          <w:rFonts w:ascii="Times New Roman" w:cs="Times New Roman" w:eastAsia="Times New Roman" w:hAnsi="Times New Roman"/>
          <w:sz w:val="17"/>
          <w:szCs w:val="17"/>
          <w:color w:val="auto"/>
        </w:rPr>
        <w:t>·extension of manufacturers’ Medicaid rebate liability to individuals enrolled in Medicaid managed care organizations; · expansion of eligibility criteria for Medicaid programs;</w:t>
      </w:r>
    </w:p>
    <w:p>
      <w:pPr>
        <w:spacing w:after="0" w:line="1" w:lineRule="exact"/>
        <w:rPr>
          <w:sz w:val="20"/>
          <w:szCs w:val="20"/>
          <w:color w:val="auto"/>
        </w:rPr>
      </w:pPr>
    </w:p>
    <w:p>
      <w:pPr>
        <w:ind w:right="1219"/>
        <w:spacing w:after="0" w:line="365" w:lineRule="auto"/>
        <w:rPr>
          <w:sz w:val="20"/>
          <w:szCs w:val="20"/>
          <w:color w:val="auto"/>
        </w:rPr>
      </w:pPr>
      <w:r>
        <w:rPr>
          <w:rFonts w:ascii="Times New Roman" w:cs="Times New Roman" w:eastAsia="Times New Roman" w:hAnsi="Times New Roman"/>
          <w:sz w:val="17"/>
          <w:szCs w:val="17"/>
          <w:color w:val="auto"/>
        </w:rPr>
        <w:t>·expansion of the entities eligible for discounts under the Public Health Service pharmaceutical pricing program; ·a new requirement to annually report drug samples that manufacturers and distributors provide to physicians; and</w:t>
      </w:r>
    </w:p>
    <w:p>
      <w:pPr>
        <w:spacing w:after="0" w:line="123" w:lineRule="exact"/>
        <w:rPr>
          <w:sz w:val="20"/>
          <w:szCs w:val="20"/>
          <w:color w:val="auto"/>
        </w:rPr>
      </w:pPr>
    </w:p>
    <w:p>
      <w:pPr>
        <w:ind w:left="60" w:right="819" w:hanging="50"/>
        <w:spacing w:after="0" w:line="209" w:lineRule="exact"/>
        <w:rPr>
          <w:sz w:val="20"/>
          <w:szCs w:val="20"/>
          <w:color w:val="auto"/>
        </w:rPr>
      </w:pPr>
      <w:r>
        <w:rPr>
          <w:rFonts w:ascii="Times New Roman" w:cs="Times New Roman" w:eastAsia="Times New Roman" w:hAnsi="Times New Roman"/>
          <w:sz w:val="17"/>
          <w:szCs w:val="17"/>
          <w:color w:val="auto"/>
        </w:rPr>
        <w:t>·a new Patient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Centered Outcomes Research Institute to oversee, identify priorities in, and conduct comparative clinical effectiveness research, along with funding for such research.</w:t>
      </w:r>
    </w:p>
    <w:p>
      <w:pPr>
        <w:spacing w:after="0" w:line="152" w:lineRule="exact"/>
        <w:rPr>
          <w:sz w:val="20"/>
          <w:szCs w:val="20"/>
          <w:color w:val="auto"/>
        </w:rPr>
      </w:pPr>
    </w:p>
    <w:p>
      <w:pPr>
        <w:ind w:right="119"/>
        <w:spacing w:after="0" w:line="215"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48" w:lineRule="exact"/>
        <w:rPr>
          <w:sz w:val="20"/>
          <w:szCs w:val="20"/>
          <w:color w:val="auto"/>
        </w:rPr>
      </w:pPr>
    </w:p>
    <w:p>
      <w:pPr>
        <w:ind w:right="59"/>
        <w:spacing w:after="0" w:line="216" w:lineRule="auto"/>
        <w:rPr>
          <w:sz w:val="20"/>
          <w:szCs w:val="20"/>
          <w:color w:val="auto"/>
        </w:rPr>
      </w:pPr>
      <w:r>
        <w:rPr>
          <w:rFonts w:ascii="Times New Roman" w:cs="Times New Roman" w:eastAsia="Times New Roman" w:hAnsi="Times New Roman"/>
          <w:sz w:val="17"/>
          <w:szCs w:val="17"/>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25" w:lineRule="exact"/>
        <w:rPr>
          <w:sz w:val="20"/>
          <w:szCs w:val="20"/>
          <w:color w:val="auto"/>
        </w:rPr>
      </w:pPr>
    </w:p>
    <w:p>
      <w:pPr>
        <w:ind w:right="139"/>
        <w:spacing w:after="0" w:line="181" w:lineRule="exact"/>
        <w:rPr>
          <w:sz w:val="20"/>
          <w:szCs w:val="20"/>
          <w:color w:val="auto"/>
        </w:rPr>
      </w:pPr>
      <w:r>
        <w:rPr>
          <w:rFonts w:ascii="Times New Roman" w:cs="Times New Roman" w:eastAsia="Times New Roman" w:hAnsi="Times New Roman"/>
          <w:sz w:val="17"/>
          <w:szCs w:val="17"/>
          <w:color w:val="auto"/>
        </w:rPr>
        <w:t>Legislative and regulatory proposals have been made to expand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testing and other requirements.</w:t>
      </w:r>
    </w:p>
    <w:p>
      <w:pPr>
        <w:spacing w:after="0" w:line="124" w:lineRule="exact"/>
        <w:rPr>
          <w:sz w:val="20"/>
          <w:szCs w:val="20"/>
          <w:color w:val="auto"/>
        </w:rPr>
      </w:pPr>
    </w:p>
    <w:p>
      <w:pPr>
        <w:ind w:right="239"/>
        <w:spacing w:after="0" w:line="195" w:lineRule="exact"/>
        <w:rPr>
          <w:sz w:val="20"/>
          <w:szCs w:val="20"/>
          <w:color w:val="auto"/>
        </w:rPr>
      </w:pPr>
      <w:r>
        <w:rPr>
          <w:rFonts w:ascii="Times New Roman" w:cs="Times New Roman" w:eastAsia="Times New Roman" w:hAnsi="Times New Roman"/>
          <w:sz w:val="17"/>
          <w:szCs w:val="17"/>
          <w:b w:val="1"/>
          <w:bCs w:val="1"/>
          <w:i w:val="1"/>
          <w:iCs w:val="1"/>
          <w:color w:val="auto"/>
        </w:rPr>
        <w:t>Any product candidate for which we obtain marketing approval could be subject to post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-295275</wp:posOffset>
            </wp:positionV>
            <wp:extent cx="622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03" w:lineRule="exact"/>
        <w:rPr>
          <w:sz w:val="20"/>
          <w:szCs w:val="20"/>
          <w:color w:val="auto"/>
        </w:rPr>
      </w:pPr>
    </w:p>
    <w:p>
      <w:pPr>
        <w:ind w:right="159"/>
        <w:spacing w:after="0" w:line="184" w:lineRule="exact"/>
        <w:rPr>
          <w:sz w:val="20"/>
          <w:szCs w:val="20"/>
          <w:color w:val="auto"/>
        </w:rPr>
      </w:pPr>
      <w:r>
        <w:rPr>
          <w:rFonts w:ascii="Times New Roman" w:cs="Times New Roman" w:eastAsia="Times New Roman" w:hAnsi="Times New Roman"/>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information and reports, registration and listing requirements, cGMP requirements relating to manufacturing, quality control, quality assurance and corresponding maintenance of records and documents,</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39"/>
          </w:cols>
          <w:pgMar w:left="1420" w:top="110" w:right="1440" w:bottom="1440" w:gutter="0" w:footer="0" w:header="0"/>
        </w:sectPr>
      </w:pPr>
    </w:p>
    <w:bookmarkStart w:id="65" w:name="page66"/>
    <w:bookmarkEnd w:id="65"/>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spacing w:after="0" w:line="222" w:lineRule="auto"/>
        <w:rPr>
          <w:sz w:val="20"/>
          <w:szCs w:val="20"/>
          <w:color w:val="auto"/>
        </w:rPr>
      </w:pPr>
      <w:r>
        <w:rPr>
          <w:rFonts w:ascii="Times New Roman" w:cs="Times New Roman" w:eastAsia="Times New Roman" w:hAnsi="Times New Roman"/>
          <w:sz w:val="17"/>
          <w:szCs w:val="17"/>
          <w:color w:val="auto"/>
        </w:rPr>
        <w:t>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51" w:lineRule="exact"/>
        <w:rPr>
          <w:sz w:val="20"/>
          <w:szCs w:val="20"/>
          <w:color w:val="auto"/>
        </w:rPr>
      </w:pPr>
    </w:p>
    <w:p>
      <w:pPr>
        <w:ind w:left="1" w:right="100"/>
        <w:spacing w:after="0" w:line="216" w:lineRule="auto"/>
        <w:rPr>
          <w:sz w:val="20"/>
          <w:szCs w:val="20"/>
          <w:color w:val="auto"/>
        </w:rPr>
      </w:pPr>
      <w:r>
        <w:rPr>
          <w:rFonts w:ascii="Times New Roman" w:cs="Times New Roman" w:eastAsia="Times New Roman" w:hAnsi="Times New Roman"/>
          <w:sz w:val="17"/>
          <w:szCs w:val="17"/>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25" w:lineRule="exact"/>
        <w:rPr>
          <w:sz w:val="20"/>
          <w:szCs w:val="20"/>
          <w:color w:val="auto"/>
        </w:rPr>
      </w:pPr>
    </w:p>
    <w:p>
      <w:pPr>
        <w:ind w:left="1" w:right="20"/>
        <w:spacing w:after="0" w:line="180" w:lineRule="exact"/>
        <w:rPr>
          <w:sz w:val="20"/>
          <w:szCs w:val="20"/>
          <w:color w:val="auto"/>
        </w:rPr>
      </w:pPr>
      <w:r>
        <w:rPr>
          <w:rFonts w:ascii="Times New Roman" w:cs="Times New Roman" w:eastAsia="Times New Roman" w:hAnsi="Times New Roman"/>
          <w:sz w:val="17"/>
          <w:szCs w:val="17"/>
          <w:color w:val="auto"/>
        </w:rPr>
        <w:t>The FDA may also impose requirements for costly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150" w:lineRule="exact"/>
        <w:rPr>
          <w:sz w:val="20"/>
          <w:szCs w:val="20"/>
          <w:color w:val="auto"/>
        </w:rPr>
      </w:pPr>
    </w:p>
    <w:p>
      <w:pPr>
        <w:ind w:left="1" w:right="100"/>
        <w:spacing w:after="0" w:line="222" w:lineRule="auto"/>
        <w:rPr>
          <w:sz w:val="20"/>
          <w:szCs w:val="20"/>
          <w:color w:val="auto"/>
        </w:rPr>
      </w:pPr>
      <w:r>
        <w:rPr>
          <w:rFonts w:ascii="Times New Roman" w:cs="Times New Roman" w:eastAsia="Times New Roman" w:hAnsi="Times New Roman"/>
          <w:sz w:val="17"/>
          <w:szCs w:val="17"/>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1" w:lineRule="exact"/>
        <w:rPr>
          <w:sz w:val="20"/>
          <w:szCs w:val="20"/>
          <w:color w:val="auto"/>
        </w:rPr>
      </w:pPr>
    </w:p>
    <w:p>
      <w:pPr>
        <w:ind w:left="121" w:hanging="121"/>
        <w:spacing w:after="0"/>
        <w:tabs>
          <w:tab w:leader="none" w:pos="12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patients taking our products;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such products, manufacturers or manufacturing processes;</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labeling or marketing of a product;</w:t>
      </w:r>
    </w:p>
    <w:p>
      <w:pPr>
        <w:spacing w:after="0" w:line="74"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product distribution or use;</w:t>
      </w:r>
    </w:p>
    <w:p>
      <w:pPr>
        <w:spacing w:after="0" w:line="46" w:lineRule="exact"/>
        <w:rPr>
          <w:rFonts w:ascii="Times New Roman" w:cs="Times New Roman" w:eastAsia="Times New Roman" w:hAnsi="Times New Roman"/>
          <w:sz w:val="17"/>
          <w:szCs w:val="17"/>
          <w:color w:val="auto"/>
        </w:rPr>
      </w:pPr>
    </w:p>
    <w:p>
      <w:pPr>
        <w:ind w:left="101" w:hanging="101"/>
        <w:spacing w:after="0" w:line="196" w:lineRule="exact"/>
        <w:tabs>
          <w:tab w:leader="none" w:pos="10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studies or clinical trials;</w:t>
      </w:r>
    </w:p>
    <w:p>
      <w:pPr>
        <w:spacing w:after="0" w:line="102" w:lineRule="exact"/>
        <w:rPr>
          <w:rFonts w:ascii="Times New Roman" w:cs="Times New Roman" w:eastAsia="Times New Roman" w:hAnsi="Times New Roman"/>
          <w:sz w:val="17"/>
          <w:szCs w:val="17"/>
          <w:color w:val="auto"/>
        </w:rPr>
      </w:pPr>
    </w:p>
    <w:p>
      <w:pPr>
        <w:ind w:left="421" w:hanging="421"/>
        <w:spacing w:after="0"/>
        <w:tabs>
          <w:tab w:leader="none" w:pos="42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w:t>
      </w:r>
    </w:p>
    <w:p>
      <w:pPr>
        <w:spacing w:after="0" w:line="74"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products from the market;</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termination of ongoing clinical trials;</w:t>
      </w:r>
    </w:p>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75" w:lineRule="exact"/>
        <w:rPr>
          <w:sz w:val="20"/>
          <w:szCs w:val="20"/>
          <w:color w:val="auto"/>
        </w:rPr>
      </w:pPr>
    </w:p>
    <w:p>
      <w:pPr>
        <w:ind w:left="341" w:hanging="341"/>
        <w:spacing w:after="0"/>
        <w:tabs>
          <w:tab w:leader="none" w:pos="34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of products;</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revenues;</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approvals;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relationships with existing and potential collaborators;</w:t>
      </w:r>
    </w:p>
    <w:p>
      <w:pPr>
        <w:spacing w:after="0" w:line="74" w:lineRule="exact"/>
        <w:rPr>
          <w:rFonts w:ascii="Times New Roman" w:cs="Times New Roman" w:eastAsia="Times New Roman" w:hAnsi="Times New Roman"/>
          <w:sz w:val="17"/>
          <w:szCs w:val="17"/>
          <w:color w:val="auto"/>
        </w:rPr>
      </w:pPr>
    </w:p>
    <w:p>
      <w:pPr>
        <w:ind w:left="101" w:hanging="101"/>
        <w:spacing w:after="0"/>
        <w:tabs>
          <w:tab w:leader="none" w:pos="10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press coverage and damage to our reputation;</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w:t>
      </w:r>
    </w:p>
    <w:p>
      <w:pPr>
        <w:spacing w:after="0" w:line="74" w:lineRule="exact"/>
        <w:rPr>
          <w:rFonts w:ascii="Times New Roman" w:cs="Times New Roman" w:eastAsia="Times New Roman" w:hAnsi="Times New Roman"/>
          <w:sz w:val="17"/>
          <w:szCs w:val="17"/>
          <w:color w:val="auto"/>
        </w:rPr>
      </w:pPr>
    </w:p>
    <w:p>
      <w:pPr>
        <w:ind w:left="221" w:hanging="221"/>
        <w:spacing w:after="0"/>
        <w:tabs>
          <w:tab w:leader="none" w:pos="22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w:t>
      </w:r>
    </w:p>
    <w:p>
      <w:pPr>
        <w:spacing w:after="0" w:line="74"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1"/>
          </w:cols>
          <w:pgMar w:left="1419" w:top="110" w:right="143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imposition of civil or criminal penalties.</w:t>
      </w:r>
    </w:p>
    <w:p>
      <w:pPr>
        <w:spacing w:after="0" w:line="178"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5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5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25" w:lineRule="exact"/>
        <w:rPr>
          <w:sz w:val="20"/>
          <w:szCs w:val="20"/>
          <w:color w:val="auto"/>
        </w:rPr>
      </w:pPr>
    </w:p>
    <w:p>
      <w:pPr>
        <w:ind w:right="320"/>
        <w:spacing w:after="0" w:line="189" w:lineRule="exact"/>
        <w:rPr>
          <w:sz w:val="20"/>
          <w:szCs w:val="20"/>
          <w:color w:val="auto"/>
        </w:rPr>
      </w:pPr>
      <w:r>
        <w:rPr>
          <w:rFonts w:ascii="Times New Roman" w:cs="Times New Roman" w:eastAsia="Times New Roman" w:hAnsi="Times New Roman"/>
          <w:sz w:val="17"/>
          <w:szCs w:val="17"/>
          <w:b w:val="1"/>
          <w:bCs w:val="1"/>
          <w:i w:val="1"/>
          <w:iCs w:val="1"/>
          <w:color w:val="auto"/>
        </w:rPr>
        <w:t>We are subject to U.S. and certain foreign export and import controls, sanctions, embargoes, anti</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corruption laws, and anti</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-401955</wp:posOffset>
            </wp:positionV>
            <wp:extent cx="622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230" cy="3873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-295910</wp:posOffset>
            </wp:positionV>
            <wp:extent cx="622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30" w:lineRule="exact"/>
        <w:rPr>
          <w:sz w:val="20"/>
          <w:szCs w:val="20"/>
          <w:color w:val="auto"/>
        </w:rPr>
      </w:pPr>
    </w:p>
    <w:p>
      <w:pPr>
        <w:ind w:right="80"/>
        <w:spacing w:after="0" w:line="172" w:lineRule="exact"/>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bribery and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the United States tend to impose strict price controls, which may adversely affect our revenues, if any.</w:t>
      </w:r>
    </w:p>
    <w:p>
      <w:pPr>
        <w:spacing w:after="0" w:line="184" w:lineRule="exact"/>
        <w:rPr>
          <w:sz w:val="20"/>
          <w:szCs w:val="20"/>
          <w:color w:val="auto"/>
        </w:rPr>
      </w:pPr>
    </w:p>
    <w:p>
      <w:pPr>
        <w:ind w:right="220"/>
        <w:spacing w:after="0" w:line="173" w:lineRule="exact"/>
        <w:rPr>
          <w:sz w:val="20"/>
          <w:szCs w:val="20"/>
          <w:color w:val="auto"/>
        </w:rPr>
      </w:pPr>
      <w:r>
        <w:rPr>
          <w:rFonts w:ascii="Times New Roman" w:cs="Times New Roman" w:eastAsia="Times New Roman" w:hAnsi="Times New Roman"/>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priced and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effectiveness of our product candidate to other available therapies, which is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costly. If coverage and reimbursement of our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7"/>
          <w:szCs w:val="17"/>
          <w:color w:val="auto"/>
        </w:rPr>
        <w:t>product candidates are unavailable or limited in scope or amount, or if pricing is set at unsatisfactory levels, our business could be harmed, possibly materially.</w:t>
      </w:r>
    </w:p>
    <w:p>
      <w:pPr>
        <w:spacing w:after="0" w:line="145" w:lineRule="exact"/>
        <w:rPr>
          <w:sz w:val="20"/>
          <w:szCs w:val="20"/>
          <w:color w:val="auto"/>
        </w:rPr>
      </w:pPr>
    </w:p>
    <w:p>
      <w:pPr>
        <w:ind w:right="6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5"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56"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44"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51"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7"/>
          <w:szCs w:val="17"/>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7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5"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59" w:lineRule="exact"/>
        <w:rPr>
          <w:sz w:val="20"/>
          <w:szCs w:val="20"/>
          <w:color w:val="auto"/>
        </w:rPr>
      </w:pPr>
    </w:p>
    <w:p>
      <w:pPr>
        <w:ind w:right="40"/>
        <w:spacing w:after="0" w:line="188" w:lineRule="exact"/>
        <w:rPr>
          <w:sz w:val="20"/>
          <w:szCs w:val="20"/>
          <w:color w:val="auto"/>
        </w:rPr>
      </w:pPr>
      <w:r>
        <w:rPr>
          <w:rFonts w:ascii="Times New Roman" w:cs="Times New Roman" w:eastAsia="Times New Roman" w:hAnsi="Times New Roman"/>
          <w:sz w:val="17"/>
          <w:szCs w:val="17"/>
          <w:color w:val="auto"/>
        </w:rPr>
        <w:t>The patent prosecution process is expensive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Any of these outcomes could impair our ability to prevent competition from third parties, which may have an adverse impact on our business.</w:t>
      </w:r>
    </w:p>
    <w:p>
      <w:pPr>
        <w:spacing w:after="0" w:line="160"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53" w:lineRule="exact"/>
        <w:rPr>
          <w:sz w:val="20"/>
          <w:szCs w:val="20"/>
          <w:color w:val="auto"/>
        </w:rPr>
      </w:pPr>
    </w:p>
    <w:p>
      <w:pPr>
        <w:jc w:val="both"/>
        <w:ind w:right="80"/>
        <w:spacing w:after="0" w:line="178" w:lineRule="exact"/>
        <w:rPr>
          <w:sz w:val="20"/>
          <w:szCs w:val="20"/>
          <w:color w:val="auto"/>
        </w:rPr>
      </w:pPr>
      <w:r>
        <w:rPr>
          <w:rFonts w:ascii="Times New Roman" w:cs="Times New Roman" w:eastAsia="Times New Roman" w:hAnsi="Times New Roman"/>
          <w:sz w:val="17"/>
          <w:szCs w:val="17"/>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product. These and other factors may provide opportunities for our competitors to design around our patents, should they issue.</w:t>
      </w:r>
    </w:p>
    <w:p>
      <w:pPr>
        <w:spacing w:after="0" w:line="154"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4" w:lineRule="exact"/>
        <w:rPr>
          <w:sz w:val="20"/>
          <w:szCs w:val="20"/>
          <w:color w:val="auto"/>
        </w:rPr>
      </w:pPr>
    </w:p>
    <w:p>
      <w:pPr>
        <w:ind w:right="60"/>
        <w:spacing w:after="0" w:line="212" w:lineRule="auto"/>
        <w:rPr>
          <w:sz w:val="20"/>
          <w:szCs w:val="20"/>
          <w:color w:val="auto"/>
        </w:rPr>
      </w:pPr>
      <w:r>
        <w:rPr>
          <w:rFonts w:ascii="Times New Roman" w:cs="Times New Roman" w:eastAsia="Times New Roman" w:hAnsi="Times New Roman"/>
          <w:sz w:val="17"/>
          <w:szCs w:val="17"/>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23" w:lineRule="exact"/>
        <w:rPr>
          <w:sz w:val="20"/>
          <w:szCs w:val="20"/>
          <w:color w:val="auto"/>
        </w:rPr>
      </w:pPr>
    </w:p>
    <w:p>
      <w:pPr>
        <w:ind w:right="40"/>
        <w:spacing w:after="0" w:line="184" w:lineRule="exact"/>
        <w:rPr>
          <w:sz w:val="20"/>
          <w:szCs w:val="20"/>
          <w:color w:val="auto"/>
        </w:rPr>
      </w:pPr>
      <w:r>
        <w:rPr>
          <w:rFonts w:ascii="Times New Roman" w:cs="Times New Roman" w:eastAsia="Times New Roman" w:hAnsi="Times New Roman"/>
          <w:sz w:val="17"/>
          <w:szCs w:val="17"/>
          <w:color w:val="auto"/>
        </w:rPr>
        <w:t>We may be subject to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59" w:lineRule="exact"/>
        <w:rPr>
          <w:sz w:val="20"/>
          <w:szCs w:val="20"/>
          <w:color w:val="auto"/>
        </w:rPr>
      </w:pPr>
    </w:p>
    <w:p>
      <w:pPr>
        <w:ind w:right="40"/>
        <w:spacing w:after="0" w:line="181" w:lineRule="exact"/>
        <w:rPr>
          <w:sz w:val="20"/>
          <w:szCs w:val="20"/>
          <w:color w:val="auto"/>
        </w:rPr>
      </w:pPr>
      <w:r>
        <w:rPr>
          <w:rFonts w:ascii="Times New Roman" w:cs="Times New Roman" w:eastAsia="Times New Roman" w:hAnsi="Times New Roman"/>
          <w:sz w:val="17"/>
          <w:szCs w:val="17"/>
          <w:color w:val="auto"/>
        </w:rPr>
        <w:t>to manufacture or commercialize product candidates without infringing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53"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56" w:lineRule="exact"/>
        <w:rPr>
          <w:sz w:val="20"/>
          <w:szCs w:val="20"/>
          <w:color w:val="auto"/>
        </w:rPr>
      </w:pPr>
    </w:p>
    <w:p>
      <w:pPr>
        <w:ind w:right="120"/>
        <w:spacing w:after="0" w:line="172" w:lineRule="exact"/>
        <w:rPr>
          <w:sz w:val="20"/>
          <w:szCs w:val="20"/>
          <w:color w:val="auto"/>
        </w:rPr>
      </w:pPr>
      <w:r>
        <w:rPr>
          <w:rFonts w:ascii="Times New Roman" w:cs="Times New Roman" w:eastAsia="Times New Roman" w:hAnsi="Times New Roman"/>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and other confidential information and technology to enter into appropriate confidentiality agreements, we cannot be certain that our trade secrets, proprietary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and other confidential information and technology will not be subject to unauthorized disclosure or that our competitors will not otherwise gain access to or independently develop substantially equivalent trade secrets, proprietary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prevent all potential threats to competitive advantages we may have.</w:t>
      </w:r>
    </w:p>
    <w:p>
      <w:pPr>
        <w:spacing w:after="0" w:line="184"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examples are illustrative:</w:t>
      </w:r>
    </w:p>
    <w:p>
      <w:pPr>
        <w:spacing w:after="0" w:line="178" w:lineRule="exact"/>
        <w:rPr>
          <w:sz w:val="20"/>
          <w:szCs w:val="20"/>
          <w:color w:val="auto"/>
        </w:rPr>
      </w:pPr>
    </w:p>
    <w:p>
      <w:pPr>
        <w:ind w:left="60" w:right="180" w:hanging="50"/>
        <w:spacing w:after="0" w:line="239" w:lineRule="auto"/>
        <w:rPr>
          <w:sz w:val="20"/>
          <w:szCs w:val="20"/>
          <w:color w:val="auto"/>
        </w:rPr>
      </w:pPr>
      <w:r>
        <w:rPr>
          <w:rFonts w:ascii="Times New Roman" w:cs="Times New Roman" w:eastAsia="Times New Roman" w:hAnsi="Times New Roman"/>
          <w:sz w:val="17"/>
          <w:szCs w:val="17"/>
          <w:color w:val="auto"/>
        </w:rPr>
        <w:t>·others may be able to make compounds that are the same as or similar to our current or future product candidates but that are not covered by the claims of the patents that we own or have exclusively licensed;</w:t>
      </w:r>
    </w:p>
    <w:p>
      <w:pPr>
        <w:spacing w:after="0" w:line="48" w:lineRule="exact"/>
        <w:rPr>
          <w:sz w:val="20"/>
          <w:szCs w:val="20"/>
          <w:color w:val="auto"/>
        </w:rPr>
      </w:pPr>
    </w:p>
    <w:p>
      <w:pPr>
        <w:ind w:left="60" w:right="140" w:hanging="50"/>
        <w:spacing w:after="0" w:line="239" w:lineRule="auto"/>
        <w:rPr>
          <w:sz w:val="20"/>
          <w:szCs w:val="20"/>
          <w:color w:val="auto"/>
        </w:rPr>
      </w:pPr>
      <w:r>
        <w:rPr>
          <w:rFonts w:ascii="Times New Roman" w:cs="Times New Roman" w:eastAsia="Times New Roman" w:hAnsi="Times New Roman"/>
          <w:sz w:val="17"/>
          <w:szCs w:val="17"/>
          <w:color w:val="auto"/>
        </w:rPr>
        <w:t>·we or any of our licensors or collaborators might not have been the first to make the inventions covered by the patents or pending patent applications that we own or have exclusively licensed;</w:t>
      </w:r>
    </w:p>
    <w:p>
      <w:pPr>
        <w:spacing w:after="0" w:line="48" w:lineRule="exact"/>
        <w:rPr>
          <w:sz w:val="20"/>
          <w:szCs w:val="20"/>
          <w:color w:val="auto"/>
        </w:rPr>
      </w:pPr>
    </w:p>
    <w:p>
      <w:pPr>
        <w:ind w:left="60" w:right="700" w:hanging="50"/>
        <w:spacing w:after="0" w:line="239" w:lineRule="auto"/>
        <w:rPr>
          <w:sz w:val="20"/>
          <w:szCs w:val="20"/>
          <w:color w:val="auto"/>
        </w:rPr>
      </w:pPr>
      <w:r>
        <w:rPr>
          <w:rFonts w:ascii="Times New Roman" w:cs="Times New Roman" w:eastAsia="Times New Roman" w:hAnsi="Times New Roman"/>
          <w:sz w:val="17"/>
          <w:szCs w:val="17"/>
          <w:color w:val="auto"/>
        </w:rPr>
        <w:t>·we or any of our licensors or collaborators might not have been the first to file patent applications covering certain of our inventions;</w:t>
      </w:r>
    </w:p>
    <w:p>
      <w:pPr>
        <w:spacing w:after="0" w:line="48" w:lineRule="exact"/>
        <w:rPr>
          <w:sz w:val="20"/>
          <w:szCs w:val="20"/>
          <w:color w:val="auto"/>
        </w:rPr>
      </w:pPr>
    </w:p>
    <w:p>
      <w:pPr>
        <w:ind w:left="60" w:right="200" w:hanging="50"/>
        <w:spacing w:after="0" w:line="239" w:lineRule="auto"/>
        <w:rPr>
          <w:sz w:val="20"/>
          <w:szCs w:val="20"/>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prosecution of our pending patent applications may not result in granted patents;</w:t>
      </w:r>
    </w:p>
    <w:p>
      <w:pPr>
        <w:spacing w:after="0" w:line="75" w:lineRule="exact"/>
        <w:rPr>
          <w:sz w:val="20"/>
          <w:szCs w:val="20"/>
          <w:color w:val="auto"/>
        </w:rPr>
      </w:pPr>
    </w:p>
    <w:p>
      <w:pPr>
        <w:ind w:left="60" w:right="20" w:hanging="50"/>
        <w:spacing w:after="0" w:line="239" w:lineRule="auto"/>
        <w:rPr>
          <w:sz w:val="20"/>
          <w:szCs w:val="20"/>
          <w:color w:val="auto"/>
        </w:rPr>
      </w:pPr>
      <w:r>
        <w:rPr>
          <w:rFonts w:ascii="Times New Roman" w:cs="Times New Roman" w:eastAsia="Times New Roman" w:hAnsi="Times New Roman"/>
          <w:sz w:val="17"/>
          <w:szCs w:val="17"/>
          <w:color w:val="auto"/>
        </w:rPr>
        <w:t>·granted patents that we own or have licensed may not cover our products or may be held not infringed, invalid or unenforceable, as a result of legal challenges by our competitors;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70" w:name="page71"/>
    <w:bookmarkEnd w:id="70"/>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59" w:lineRule="exact"/>
        <w:rPr>
          <w:sz w:val="20"/>
          <w:szCs w:val="20"/>
          <w:color w:val="auto"/>
        </w:rPr>
      </w:pPr>
    </w:p>
    <w:p>
      <w:pPr>
        <w:ind w:left="61" w:right="440" w:hanging="50"/>
        <w:spacing w:after="0" w:line="209" w:lineRule="exact"/>
        <w:rPr>
          <w:sz w:val="20"/>
          <w:szCs w:val="20"/>
          <w:color w:val="auto"/>
        </w:rPr>
      </w:pPr>
      <w:r>
        <w:rPr>
          <w:rFonts w:ascii="Times New Roman" w:cs="Times New Roman" w:eastAsia="Times New Roman" w:hAnsi="Times New Roman"/>
          <w:sz w:val="17"/>
          <w:szCs w:val="17"/>
          <w:color w:val="auto"/>
        </w:rPr>
        <w:t>·with respect to granted patents that we own or have licensed, especially patents that we either acquire or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if certain information was withheld from or misrepresented to the patent examiner, such patents might be held to be unenforceable;</w:t>
      </w:r>
    </w:p>
    <w:p>
      <w:pPr>
        <w:spacing w:after="0" w:line="49" w:lineRule="exact"/>
        <w:rPr>
          <w:sz w:val="20"/>
          <w:szCs w:val="20"/>
          <w:color w:val="auto"/>
        </w:rPr>
      </w:pPr>
    </w:p>
    <w:p>
      <w:pPr>
        <w:ind w:left="61" w:right="20" w:hanging="50"/>
        <w:spacing w:after="0" w:line="239" w:lineRule="auto"/>
        <w:rPr>
          <w:sz w:val="20"/>
          <w:szCs w:val="20"/>
          <w:color w:val="auto"/>
        </w:rPr>
      </w:pPr>
      <w:r>
        <w:rPr>
          <w:rFonts w:ascii="Times New Roman" w:cs="Times New Roman" w:eastAsia="Times New Roman" w:hAnsi="Times New Roman"/>
          <w:sz w:val="17"/>
          <w:szCs w:val="17"/>
          <w:color w:val="auto"/>
        </w:rPr>
        <w:t>·patent protection on our product candidates may expire before we are able to develop and commercialize the product, or before we are able to recover our investment in the product candidates;</w:t>
      </w:r>
    </w:p>
    <w:p>
      <w:pPr>
        <w:spacing w:after="0" w:line="48" w:lineRule="exact"/>
        <w:rPr>
          <w:sz w:val="20"/>
          <w:szCs w:val="20"/>
          <w:color w:val="auto"/>
        </w:rPr>
      </w:pPr>
    </w:p>
    <w:p>
      <w:pPr>
        <w:ind w:left="61" w:right="140" w:hanging="50"/>
        <w:spacing w:after="0" w:line="222" w:lineRule="auto"/>
        <w:rPr>
          <w:sz w:val="20"/>
          <w:szCs w:val="20"/>
          <w:color w:val="auto"/>
        </w:rPr>
      </w:pPr>
      <w:r>
        <w:rPr>
          <w:rFonts w:ascii="Times New Roman" w:cs="Times New Roman" w:eastAsia="Times New Roman" w:hAnsi="Times New Roman"/>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48" w:lineRule="exact"/>
        <w:rPr>
          <w:sz w:val="20"/>
          <w:szCs w:val="20"/>
          <w:color w:val="auto"/>
        </w:rPr>
      </w:pPr>
    </w:p>
    <w:p>
      <w:pPr>
        <w:ind w:left="81" w:hanging="81"/>
        <w:spacing w:after="0"/>
        <w:tabs>
          <w:tab w:leader="none" w:pos="8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 and</w:t>
      </w:r>
    </w:p>
    <w:p>
      <w:pPr>
        <w:spacing w:after="0" w:line="252" w:lineRule="exact"/>
        <w:rPr>
          <w:sz w:val="20"/>
          <w:szCs w:val="20"/>
          <w:color w:val="auto"/>
        </w:rPr>
      </w:pPr>
    </w:p>
    <w:p>
      <w:pPr>
        <w:ind w:left="61" w:right="720" w:hanging="50"/>
        <w:spacing w:after="0" w:line="209" w:lineRule="exact"/>
        <w:rPr>
          <w:sz w:val="20"/>
          <w:szCs w:val="20"/>
          <w:color w:val="auto"/>
        </w:rPr>
      </w:pPr>
      <w:r>
        <w:rPr>
          <w:rFonts w:ascii="Times New Roman" w:cs="Times New Roman" w:eastAsia="Times New Roman" w:hAnsi="Times New Roman"/>
          <w:sz w:val="17"/>
          <w:szCs w:val="17"/>
          <w:color w:val="auto"/>
        </w:rPr>
        <w:t>·we may choose not to file a patent application for certain technologies, trade secrets or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and a third party may subsequently file a patent covering such intellectual property.</w:t>
      </w:r>
    </w:p>
    <w:p>
      <w:pPr>
        <w:spacing w:after="0" w:line="248" w:lineRule="exact"/>
        <w:rPr>
          <w:sz w:val="20"/>
          <w:szCs w:val="20"/>
          <w:color w:val="auto"/>
        </w:rPr>
      </w:pPr>
    </w:p>
    <w:p>
      <w:pPr>
        <w:ind w:left="1" w:right="3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patents or may incorrectly interpret the relevance, scope or expiration of a patent, which might adversely affect our ability to develop and market our product candidates.</w:t>
      </w:r>
    </w:p>
    <w:p>
      <w:pPr>
        <w:spacing w:after="0" w:line="145" w:lineRule="exact"/>
        <w:rPr>
          <w:sz w:val="20"/>
          <w:szCs w:val="20"/>
          <w:color w:val="auto"/>
        </w:rPr>
      </w:pPr>
    </w:p>
    <w:p>
      <w:pPr>
        <w:ind w:left="1" w:right="140"/>
        <w:spacing w:after="0" w:line="222" w:lineRule="auto"/>
        <w:rPr>
          <w:sz w:val="20"/>
          <w:szCs w:val="20"/>
          <w:color w:val="auto"/>
        </w:rPr>
      </w:pPr>
      <w:r>
        <w:rPr>
          <w:rFonts w:ascii="Times New Roman" w:cs="Times New Roman" w:eastAsia="Times New Roman" w:hAnsi="Times New Roman"/>
          <w:sz w:val="17"/>
          <w:szCs w:val="17"/>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51" w:lineRule="exact"/>
        <w:rPr>
          <w:sz w:val="20"/>
          <w:szCs w:val="20"/>
          <w:color w:val="auto"/>
        </w:rPr>
      </w:pPr>
    </w:p>
    <w:p>
      <w:pPr>
        <w:ind w:left="1" w:right="240"/>
        <w:spacing w:after="0" w:line="185" w:lineRule="exact"/>
        <w:rPr>
          <w:sz w:val="20"/>
          <w:szCs w:val="20"/>
          <w:color w:val="auto"/>
        </w:rPr>
      </w:pPr>
      <w:r>
        <w:rPr>
          <w:rFonts w:ascii="Times New Roman" w:cs="Times New Roman" w:eastAsia="Times New Roman" w:hAnsi="Times New Roman"/>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w:t>
      </w:r>
    </w:p>
    <w:p>
      <w:pPr>
        <w:spacing w:after="0" w:line="135" w:lineRule="exact"/>
        <w:rPr>
          <w:sz w:val="20"/>
          <w:szCs w:val="20"/>
          <w:color w:val="auto"/>
        </w:rPr>
      </w:pPr>
    </w:p>
    <w:p>
      <w:pPr>
        <w:ind w:left="1" w:right="100"/>
        <w:spacing w:after="0" w:line="216" w:lineRule="auto"/>
        <w:rPr>
          <w:sz w:val="20"/>
          <w:szCs w:val="20"/>
          <w:color w:val="auto"/>
        </w:rPr>
      </w:pPr>
      <w:r>
        <w:rPr>
          <w:rFonts w:ascii="Times New Roman" w:cs="Times New Roman" w:eastAsia="Times New Roman" w:hAnsi="Times New Roman"/>
          <w:sz w:val="17"/>
          <w:szCs w:val="17"/>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53" w:lineRule="exact"/>
        <w:rPr>
          <w:sz w:val="20"/>
          <w:szCs w:val="20"/>
          <w:color w:val="auto"/>
        </w:rPr>
      </w:pPr>
    </w:p>
    <w:p>
      <w:pPr>
        <w:ind w:left="1" w:right="80"/>
        <w:spacing w:after="0" w:line="239" w:lineRule="auto"/>
        <w:rPr>
          <w:sz w:val="20"/>
          <w:szCs w:val="20"/>
          <w:color w:val="auto"/>
        </w:rPr>
      </w:pPr>
      <w:r>
        <w:rPr>
          <w:rFonts w:ascii="Times New Roman" w:cs="Times New Roman" w:eastAsia="Times New Roman" w:hAnsi="Times New Roman"/>
          <w:sz w:val="17"/>
          <w:szCs w:val="17"/>
          <w:color w:val="auto"/>
        </w:rPr>
        <w:t>Our failure to identify and correctly interpret relevant patents may negatively impact our ability to develop and market our product candidates.</w:t>
      </w:r>
    </w:p>
    <w:p>
      <w:pPr>
        <w:spacing w:after="0" w:line="123" w:lineRule="exact"/>
        <w:rPr>
          <w:sz w:val="20"/>
          <w:szCs w:val="20"/>
          <w:color w:val="auto"/>
        </w:rPr>
      </w:pPr>
    </w:p>
    <w:p>
      <w:pPr>
        <w:ind w:left="1" w:right="160"/>
        <w:spacing w:after="0" w:line="209" w:lineRule="exact"/>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how, our business and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-189230</wp:posOffset>
            </wp:positionV>
            <wp:extent cx="622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32" w:lineRule="exact"/>
        <w:rPr>
          <w:sz w:val="20"/>
          <w:szCs w:val="20"/>
          <w:color w:val="auto"/>
        </w:rPr>
      </w:pPr>
    </w:p>
    <w:p>
      <w:pPr>
        <w:ind w:left="1"/>
        <w:spacing w:after="0" w:line="173" w:lineRule="exact"/>
        <w:rPr>
          <w:sz w:val="20"/>
          <w:szCs w:val="20"/>
          <w:color w:val="auto"/>
        </w:rPr>
      </w:pPr>
      <w:r>
        <w:rPr>
          <w:rFonts w:ascii="Times New Roman" w:cs="Times New Roman" w:eastAsia="Times New Roman" w:hAnsi="Times New Roman"/>
          <w:sz w:val="17"/>
          <w:szCs w:val="17"/>
          <w:color w:val="auto"/>
        </w:rPr>
        <w:t>In addition to seeking patents for some of our technology and product candidates, we also rely on trade secrets, including unpatented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technology and other proprietary information, to maintain our competitive position. We seek to protect these trade secrets, in part, by entering into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the outcome is unpredictable. In addition,</w:t>
      </w: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1"/>
          </w:cols>
          <w:pgMar w:left="1419" w:top="110" w:right="143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jc w:val="both"/>
        <w:ind w:right="80"/>
        <w:spacing w:after="0" w:line="222" w:lineRule="auto"/>
        <w:rPr>
          <w:sz w:val="20"/>
          <w:szCs w:val="20"/>
          <w:color w:val="auto"/>
        </w:rPr>
      </w:pPr>
      <w:r>
        <w:rPr>
          <w:rFonts w:ascii="Times New Roman" w:cs="Times New Roman" w:eastAsia="Times New Roman" w:hAnsi="Times New Roman"/>
          <w:sz w:val="17"/>
          <w:szCs w:val="17"/>
          <w:color w:val="auto"/>
        </w:rPr>
        <w:t>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4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Changes in U.S. patent law could diminish the value of patents in general, thereby impairing our ability to protect our product candidates.</w:t>
      </w:r>
    </w:p>
    <w:p>
      <w:pPr>
        <w:spacing w:after="0" w:line="145" w:lineRule="exact"/>
        <w:rPr>
          <w:sz w:val="20"/>
          <w:szCs w:val="20"/>
          <w:color w:val="auto"/>
        </w:rPr>
      </w:pPr>
    </w:p>
    <w:p>
      <w:pPr>
        <w:spacing w:after="0" w:line="182" w:lineRule="exact"/>
        <w:rPr>
          <w:sz w:val="20"/>
          <w:szCs w:val="20"/>
          <w:color w:val="auto"/>
        </w:rPr>
      </w:pPr>
      <w:r>
        <w:rPr>
          <w:rFonts w:ascii="Times New Roman" w:cs="Times New Roman" w:eastAsia="Times New Roman" w:hAnsi="Times New Roman"/>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Smith America Invents Act, or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Smith Act, was signed into law.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This introduces additional complexities into the prosecution and management of our portfolio.</w:t>
      </w:r>
    </w:p>
    <w:p>
      <w:pPr>
        <w:spacing w:after="0" w:line="128" w:lineRule="exact"/>
        <w:rPr>
          <w:sz w:val="20"/>
          <w:szCs w:val="20"/>
          <w:color w:val="auto"/>
        </w:rPr>
      </w:pPr>
    </w:p>
    <w:p>
      <w:pPr>
        <w:ind w:right="40"/>
        <w:spacing w:after="0" w:line="181" w:lineRule="exact"/>
        <w:rPr>
          <w:sz w:val="20"/>
          <w:szCs w:val="20"/>
          <w:color w:val="auto"/>
        </w:rPr>
      </w:pPr>
      <w:r>
        <w:rPr>
          <w:rFonts w:ascii="Times New Roman" w:cs="Times New Roman" w:eastAsia="Times New Roman" w:hAnsi="Times New Roman"/>
          <w:sz w:val="17"/>
          <w:szCs w:val="17"/>
          <w:color w:val="auto"/>
        </w:rPr>
        <w:t>In addition,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53" w:lineRule="exact"/>
        <w:rPr>
          <w:sz w:val="20"/>
          <w:szCs w:val="20"/>
          <w:color w:val="auto"/>
        </w:rPr>
      </w:pPr>
    </w:p>
    <w:p>
      <w:pPr>
        <w:spacing w:after="0" w:line="178" w:lineRule="exact"/>
        <w:rPr>
          <w:sz w:val="20"/>
          <w:szCs w:val="20"/>
          <w:color w:val="auto"/>
        </w:rPr>
      </w:pPr>
      <w:r>
        <w:rPr>
          <w:rFonts w:ascii="Times New Roman" w:cs="Times New Roman" w:eastAsia="Times New Roman" w:hAnsi="Times New Roman"/>
          <w:sz w:val="17"/>
          <w:szCs w:val="17"/>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will have on the operation of our business. However, the Leahy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5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51"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72" w:name="page73"/>
    <w:bookmarkEnd w:id="72"/>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ind w:right="160"/>
        <w:spacing w:after="0" w:line="207" w:lineRule="exact"/>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or other intellectual property, which could be expensive, time</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consuming and ultimately unsuccessful.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-95250</wp:posOffset>
            </wp:positionV>
            <wp:extent cx="622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12" w:lineRule="exact"/>
        <w:rPr>
          <w:sz w:val="20"/>
          <w:szCs w:val="20"/>
          <w:color w:val="auto"/>
        </w:rPr>
      </w:pPr>
    </w:p>
    <w:p>
      <w:pPr>
        <w:ind w:right="20"/>
        <w:spacing w:after="0" w:line="176" w:lineRule="exact"/>
        <w:rPr>
          <w:sz w:val="20"/>
          <w:szCs w:val="20"/>
          <w:color w:val="auto"/>
        </w:rPr>
      </w:pPr>
      <w:r>
        <w:rPr>
          <w:rFonts w:ascii="Times New Roman" w:cs="Times New Roman" w:eastAsia="Times New Roman" w:hAnsi="Times New Roman"/>
          <w:sz w:val="17"/>
          <w:szCs w:val="17"/>
          <w:color w:val="auto"/>
        </w:rPr>
        <w:t>Competitors may infringe our issued patents or other intellectual property. To counter infringement or unauthorized use, we may be required to file infringement claims, which can be expensive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22" w:lineRule="exact"/>
        <w:rPr>
          <w:sz w:val="20"/>
          <w:szCs w:val="20"/>
          <w:color w:val="auto"/>
        </w:rPr>
      </w:pPr>
    </w:p>
    <w:p>
      <w:pPr>
        <w:spacing w:after="0" w:line="175" w:lineRule="exact"/>
        <w:rPr>
          <w:sz w:val="20"/>
          <w:szCs w:val="20"/>
          <w:color w:val="auto"/>
        </w:rPr>
      </w:pPr>
      <w:r>
        <w:rPr>
          <w:rFonts w:ascii="Times New Roman" w:cs="Times New Roman" w:eastAsia="Times New Roman" w:hAnsi="Times New Roman"/>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50"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5" w:lineRule="exact"/>
        <w:rPr>
          <w:sz w:val="20"/>
          <w:szCs w:val="20"/>
          <w:color w:val="auto"/>
        </w:rPr>
      </w:pPr>
    </w:p>
    <w:p>
      <w:pPr>
        <w:ind w:right="20"/>
        <w:spacing w:after="0" w:line="182" w:lineRule="exact"/>
        <w:rPr>
          <w:sz w:val="20"/>
          <w:szCs w:val="20"/>
          <w:color w:val="auto"/>
        </w:rPr>
      </w:pPr>
      <w:r>
        <w:rPr>
          <w:rFonts w:ascii="Times New Roman" w:cs="Times New Roman" w:eastAsia="Times New Roman" w:hAnsi="Times New Roman"/>
          <w:sz w:val="17"/>
          <w:szCs w:val="17"/>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patents.</w:t>
      </w:r>
    </w:p>
    <w:p>
      <w:pPr>
        <w:spacing w:after="0" w:line="134" w:lineRule="exact"/>
        <w:rPr>
          <w:sz w:val="20"/>
          <w:szCs w:val="20"/>
          <w:color w:val="auto"/>
        </w:rPr>
      </w:pPr>
    </w:p>
    <w:p>
      <w:pPr>
        <w:ind w:right="20"/>
        <w:spacing w:after="0" w:line="172" w:lineRule="exact"/>
        <w:rPr>
          <w:sz w:val="20"/>
          <w:szCs w:val="20"/>
          <w:color w:val="auto"/>
        </w:rPr>
      </w:pPr>
      <w:r>
        <w:rPr>
          <w:rFonts w:ascii="Times New Roman" w:cs="Times New Roman" w:eastAsia="Times New Roman" w:hAnsi="Times New Roman"/>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56"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73" w:name="page74"/>
    <w:bookmarkEnd w:id="73"/>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right="80"/>
        <w:spacing w:after="0" w:line="215" w:lineRule="auto"/>
        <w:rPr>
          <w:sz w:val="20"/>
          <w:szCs w:val="20"/>
          <w:color w:val="auto"/>
        </w:rPr>
      </w:pPr>
      <w:r>
        <w:rPr>
          <w:rFonts w:ascii="Times New Roman" w:cs="Times New Roman" w:eastAsia="Times New Roman" w:hAnsi="Times New Roman"/>
          <w:sz w:val="17"/>
          <w:szCs w:val="17"/>
          <w:color w:val="auto"/>
        </w:rPr>
        <w:t>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50" w:lineRule="exact"/>
        <w:rPr>
          <w:sz w:val="20"/>
          <w:szCs w:val="20"/>
          <w:color w:val="auto"/>
        </w:rPr>
      </w:pPr>
    </w:p>
    <w:p>
      <w:pPr>
        <w:ind w:left="1" w:right="60"/>
        <w:spacing w:after="0" w:line="173" w:lineRule="exact"/>
        <w:rPr>
          <w:sz w:val="20"/>
          <w:szCs w:val="20"/>
          <w:color w:val="auto"/>
        </w:rPr>
      </w:pPr>
      <w:r>
        <w:rPr>
          <w:rFonts w:ascii="Times New Roman" w:cs="Times New Roman" w:eastAsia="Times New Roman" w:hAnsi="Times New Roman"/>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1" w:lineRule="exact"/>
        <w:rPr>
          <w:sz w:val="20"/>
          <w:szCs w:val="20"/>
          <w:color w:val="auto"/>
        </w:rPr>
      </w:pPr>
    </w:p>
    <w:p>
      <w:pPr>
        <w:ind w:left="1"/>
        <w:spacing w:after="0" w:line="176" w:lineRule="exact"/>
        <w:rPr>
          <w:sz w:val="20"/>
          <w:szCs w:val="20"/>
          <w:color w:val="auto"/>
        </w:rPr>
      </w:pPr>
      <w:r>
        <w:rPr>
          <w:rFonts w:ascii="Times New Roman" w:cs="Times New Roman" w:eastAsia="Times New Roman" w:hAnsi="Times New Roman"/>
          <w:sz w:val="17"/>
          <w:szCs w:val="17"/>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In addition, intellectual property litigation or claims could force us to do one or more of the following:</w:t>
      </w:r>
    </w:p>
    <w:p>
      <w:pPr>
        <w:spacing w:after="0" w:line="178" w:lineRule="exact"/>
        <w:rPr>
          <w:sz w:val="20"/>
          <w:szCs w:val="20"/>
          <w:color w:val="auto"/>
        </w:rPr>
      </w:pPr>
    </w:p>
    <w:p>
      <w:pPr>
        <w:ind w:left="81" w:hanging="81"/>
        <w:spacing w:after="0"/>
        <w:tabs>
          <w:tab w:leader="none" w:pos="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developing, selling or otherwise commercializing our product candidates;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for past use of the asserted intellectual property;</w:t>
      </w:r>
    </w:p>
    <w:p>
      <w:pPr>
        <w:spacing w:after="0" w:line="75" w:lineRule="exact"/>
        <w:rPr>
          <w:sz w:val="20"/>
          <w:szCs w:val="20"/>
          <w:color w:val="auto"/>
        </w:rPr>
      </w:pPr>
    </w:p>
    <w:p>
      <w:pPr>
        <w:ind w:left="61" w:right="120" w:hanging="50"/>
        <w:spacing w:after="0" w:line="239" w:lineRule="auto"/>
        <w:rPr>
          <w:sz w:val="20"/>
          <w:szCs w:val="20"/>
          <w:color w:val="auto"/>
        </w:rPr>
      </w:pPr>
      <w:r>
        <w:rPr>
          <w:rFonts w:ascii="Times New Roman" w:cs="Times New Roman" w:eastAsia="Times New Roman" w:hAnsi="Times New Roman"/>
          <w:sz w:val="17"/>
          <w:szCs w:val="17"/>
          <w:color w:val="auto"/>
        </w:rPr>
        <w:t>·obtain a license from the holder of the asserted intellectual property, which license may not be available on reasonable terms, if at all; and</w:t>
      </w:r>
    </w:p>
    <w:p>
      <w:pPr>
        <w:spacing w:after="0" w:line="48" w:lineRule="exact"/>
        <w:rPr>
          <w:sz w:val="20"/>
          <w:szCs w:val="20"/>
          <w:color w:val="auto"/>
        </w:rPr>
      </w:pPr>
    </w:p>
    <w:p>
      <w:pPr>
        <w:jc w:val="both"/>
        <w:ind w:left="61" w:right="160" w:hanging="50"/>
        <w:spacing w:after="0" w:line="204" w:lineRule="exact"/>
        <w:rPr>
          <w:sz w:val="20"/>
          <w:szCs w:val="20"/>
          <w:color w:val="auto"/>
        </w:rPr>
      </w:pPr>
      <w:r>
        <w:rPr>
          <w:rFonts w:ascii="Times New Roman" w:cs="Times New Roman" w:eastAsia="Times New Roman" w:hAnsi="Times New Roman"/>
          <w:sz w:val="17"/>
          <w:szCs w:val="17"/>
          <w:color w:val="auto"/>
        </w:rPr>
        <w:t>·in the case of trademark claims, redesign or rename some or all of our product candidates, or other brands to avoid infringing the intellectual property rights of third parties, which may not be possible and, even if possible, could be costly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w:t>
      </w:r>
    </w:p>
    <w:p>
      <w:pPr>
        <w:spacing w:after="0" w:line="133" w:lineRule="exact"/>
        <w:rPr>
          <w:sz w:val="20"/>
          <w:szCs w:val="20"/>
          <w:color w:val="auto"/>
        </w:rPr>
      </w:pPr>
    </w:p>
    <w:p>
      <w:pPr>
        <w:ind w:left="1" w:right="100"/>
        <w:spacing w:after="0" w:line="222"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Any of these risks coming to fruition could harm our business.</w:t>
      </w:r>
    </w:p>
    <w:p>
      <w:pPr>
        <w:spacing w:after="0" w:line="172" w:lineRule="exact"/>
        <w:rPr>
          <w:sz w:val="20"/>
          <w:szCs w:val="20"/>
          <w:color w:val="auto"/>
        </w:rPr>
      </w:pPr>
    </w:p>
    <w:p>
      <w:pPr>
        <w:ind w:left="1" w:right="38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Issued patents covering our product candidates could be found invalid or unenforceable or could be interpreted narrowly if challenged in court.</w:t>
      </w:r>
    </w:p>
    <w:p>
      <w:pPr>
        <w:spacing w:after="0" w:line="145" w:lineRule="exact"/>
        <w:rPr>
          <w:sz w:val="20"/>
          <w:szCs w:val="20"/>
          <w:color w:val="auto"/>
        </w:rPr>
      </w:pPr>
    </w:p>
    <w:p>
      <w:pPr>
        <w:ind w:left="1" w:right="180"/>
        <w:spacing w:after="0" w:line="192" w:lineRule="exact"/>
        <w:rPr>
          <w:sz w:val="20"/>
          <w:szCs w:val="20"/>
          <w:color w:val="auto"/>
        </w:rPr>
      </w:pPr>
      <w:r>
        <w:rPr>
          <w:rFonts w:ascii="Times New Roman" w:cs="Times New Roman" w:eastAsia="Times New Roman" w:hAnsi="Times New Roman"/>
          <w:sz w:val="17"/>
          <w:szCs w:val="17"/>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party infringement or unauthorized use. This can be expensive, particularly for a company of our size,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If we initiated legal proceedings against a third party to</w:t>
      </w: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59"/>
        <w:spacing w:after="0" w:line="171" w:lineRule="exact"/>
        <w:rPr>
          <w:sz w:val="20"/>
          <w:szCs w:val="20"/>
          <w:color w:val="auto"/>
        </w:rPr>
      </w:pPr>
      <w:r>
        <w:rPr>
          <w:rFonts w:ascii="Times New Roman" w:cs="Times New Roman" w:eastAsia="Times New Roman" w:hAnsi="Times New Roman"/>
          <w:sz w:val="17"/>
          <w:szCs w:val="17"/>
          <w:color w:val="auto"/>
        </w:rPr>
        <w:t>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enablement, or failure to claim patent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examination,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52" w:lineRule="exact"/>
        <w:rPr>
          <w:sz w:val="20"/>
          <w:szCs w:val="20"/>
          <w:color w:val="auto"/>
        </w:rPr>
      </w:pPr>
    </w:p>
    <w:p>
      <w:pPr>
        <w:ind w:right="239"/>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1" w:lineRule="exact"/>
        <w:rPr>
          <w:sz w:val="20"/>
          <w:szCs w:val="20"/>
          <w:color w:val="auto"/>
        </w:rPr>
      </w:pPr>
    </w:p>
    <w:p>
      <w:pPr>
        <w:ind w:right="39"/>
        <w:spacing w:after="0" w:line="173" w:lineRule="exact"/>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our patents and other intellectual property.</w:t>
      </w:r>
    </w:p>
    <w:p>
      <w:pPr>
        <w:spacing w:after="0" w:line="184" w:lineRule="exact"/>
        <w:rPr>
          <w:sz w:val="20"/>
          <w:szCs w:val="20"/>
          <w:color w:val="auto"/>
        </w:rPr>
      </w:pPr>
    </w:p>
    <w:p>
      <w:pPr>
        <w:ind w:right="99"/>
        <w:spacing w:after="0" w:line="215" w:lineRule="auto"/>
        <w:rPr>
          <w:sz w:val="20"/>
          <w:szCs w:val="20"/>
          <w:color w:val="auto"/>
        </w:rPr>
      </w:pPr>
      <w:r>
        <w:rPr>
          <w:rFonts w:ascii="Times New Roman" w:cs="Times New Roman" w:eastAsia="Times New Roman" w:hAnsi="Times New Roman"/>
          <w:sz w:val="17"/>
          <w:szCs w:val="17"/>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50" w:lineRule="exact"/>
        <w:rPr>
          <w:sz w:val="20"/>
          <w:szCs w:val="20"/>
          <w:color w:val="auto"/>
        </w:rPr>
      </w:pPr>
    </w:p>
    <w:p>
      <w:pPr>
        <w:ind w:right="19"/>
        <w:spacing w:after="0" w:line="218" w:lineRule="auto"/>
        <w:rPr>
          <w:sz w:val="20"/>
          <w:szCs w:val="20"/>
          <w:color w:val="auto"/>
        </w:rPr>
      </w:pPr>
      <w:r>
        <w:rPr>
          <w:rFonts w:ascii="Times New Roman" w:cs="Times New Roman" w:eastAsia="Times New Roman" w:hAnsi="Times New Roman"/>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39"/>
          </w:cols>
          <w:pgMar w:left="1420" w:top="110" w:right="1440" w:bottom="1440" w:gutter="0" w:footer="0" w:header="0"/>
        </w:sectPr>
      </w:pPr>
    </w:p>
    <w:bookmarkStart w:id="75" w:name="page76"/>
    <w:bookmarkEnd w:id="75"/>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45"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55" w:lineRule="exact"/>
        <w:rPr>
          <w:sz w:val="20"/>
          <w:szCs w:val="20"/>
          <w:color w:val="auto"/>
        </w:rPr>
      </w:pPr>
    </w:p>
    <w:p>
      <w:pPr>
        <w:ind w:right="400"/>
        <w:spacing w:after="0" w:line="207" w:lineRule="exact"/>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necessary rights to our product candidates through acquisitions and in</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-95250</wp:posOffset>
            </wp:positionV>
            <wp:extent cx="622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12" w:lineRule="exact"/>
        <w:rPr>
          <w:sz w:val="20"/>
          <w:szCs w:val="20"/>
          <w:color w:val="auto"/>
        </w:rPr>
      </w:pPr>
    </w:p>
    <w:p>
      <w:pPr>
        <w:ind w:right="20"/>
        <w:spacing w:after="0" w:line="172" w:lineRule="exact"/>
        <w:rPr>
          <w:sz w:val="20"/>
          <w:szCs w:val="20"/>
          <w:color w:val="auto"/>
        </w:rPr>
      </w:pPr>
      <w:r>
        <w:rPr>
          <w:rFonts w:ascii="Times New Roman" w:cs="Times New Roman" w:eastAsia="Times New Roman" w:hAnsi="Times New Roman"/>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compositions, methods of use, processes or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intellectual property rights on terms that would allow us to make an appropriate return on our investment.</w:t>
      </w:r>
    </w:p>
    <w:p>
      <w:pPr>
        <w:spacing w:after="0" w:line="126" w:lineRule="exact"/>
        <w:rPr>
          <w:sz w:val="20"/>
          <w:szCs w:val="20"/>
          <w:color w:val="auto"/>
        </w:rPr>
      </w:pPr>
    </w:p>
    <w:p>
      <w:pPr>
        <w:ind w:right="60"/>
        <w:spacing w:after="0" w:line="195" w:lineRule="exact"/>
        <w:rPr>
          <w:sz w:val="20"/>
          <w:szCs w:val="20"/>
          <w:color w:val="auto"/>
        </w:rPr>
      </w:pPr>
      <w:r>
        <w:rPr>
          <w:rFonts w:ascii="Times New Roman" w:cs="Times New Roman" w:eastAsia="Times New Roman" w:hAnsi="Times New Roman"/>
          <w:sz w:val="17"/>
          <w:szCs w:val="17"/>
          <w:color w:val="auto"/>
        </w:rPr>
        <w:t>If we are unable to successfully obtain rights to required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intellectual property rights or maintain the existing intellectual property rights we have, we may have to abandon development of that program and our business and financial condition could suffer.</w:t>
      </w:r>
    </w:p>
    <w:p>
      <w:pPr>
        <w:spacing w:after="0" w:line="1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45" w:lineRule="exact"/>
        <w:rPr>
          <w:sz w:val="20"/>
          <w:szCs w:val="20"/>
          <w:color w:val="auto"/>
        </w:rPr>
      </w:pPr>
    </w:p>
    <w:p>
      <w:pPr>
        <w:ind w:right="80"/>
        <w:spacing w:after="0" w:line="174" w:lineRule="exact"/>
        <w:rPr>
          <w:sz w:val="20"/>
          <w:szCs w:val="20"/>
          <w:color w:val="auto"/>
        </w:rPr>
      </w:pPr>
      <w:r>
        <w:rPr>
          <w:rFonts w:ascii="Times New Roman" w:cs="Times New Roman" w:eastAsia="Times New Roman" w:hAnsi="Times New Roman"/>
          <w:sz w:val="17"/>
          <w:szCs w:val="17"/>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56"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76" w:name="page77"/>
    <w:bookmarkEnd w:id="7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40"/>
        <w:spacing w:after="0" w:line="174" w:lineRule="exact"/>
        <w:rPr>
          <w:sz w:val="20"/>
          <w:szCs w:val="20"/>
          <w:color w:val="auto"/>
        </w:rPr>
      </w:pPr>
      <w:r>
        <w:rPr>
          <w:rFonts w:ascii="Times New Roman" w:cs="Times New Roman" w:eastAsia="Times New Roman" w:hAnsi="Times New Roman"/>
          <w:sz w:val="17"/>
          <w:szCs w:val="17"/>
          <w:color w:val="auto"/>
        </w:rPr>
        <w:t>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56"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7"/>
          <w:szCs w:val="17"/>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4"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5"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4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will need to obtain FDA approval for any proposed product names, and any failure or delay associated with such approval may adversely affect our business.</w:t>
      </w:r>
    </w:p>
    <w:p>
      <w:pPr>
        <w:spacing w:after="0" w:line="145"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45"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5"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77" w:name="page78"/>
    <w:bookmarkEnd w:id="77"/>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7"/>
          <w:szCs w:val="17"/>
          <w:color w:val="auto"/>
        </w:rPr>
        <w:t>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53"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7"/>
          <w:szCs w:val="17"/>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53"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basis, which is an expensive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process with uncertain outcomes. Accordingly, we may choose not to seek patent protection in certain countries, and we will not have the benefit of patent protection in such countries.</w:t>
      </w:r>
    </w:p>
    <w:p>
      <w:pPr>
        <w:spacing w:after="0" w:line="151"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7"/>
          <w:szCs w:val="17"/>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23" w:lineRule="exact"/>
        <w:rPr>
          <w:sz w:val="20"/>
          <w:szCs w:val="20"/>
          <w:color w:val="auto"/>
        </w:rPr>
      </w:pPr>
    </w:p>
    <w:p>
      <w:pPr>
        <w:ind w:right="240"/>
        <w:spacing w:after="0" w:line="209" w:lineRule="exact"/>
        <w:rPr>
          <w:sz w:val="20"/>
          <w:szCs w:val="20"/>
          <w:color w:val="auto"/>
        </w:rPr>
      </w:pPr>
      <w:r>
        <w:rPr>
          <w:rFonts w:ascii="Times New Roman" w:cs="Times New Roman" w:eastAsia="Times New Roman" w:hAnsi="Times New Roman"/>
          <w:sz w:val="17"/>
          <w:szCs w:val="17"/>
          <w:b w:val="1"/>
          <w:bCs w:val="1"/>
          <w:i w:val="1"/>
          <w:iCs w:val="1"/>
          <w:color w:val="auto"/>
        </w:rPr>
        <w:t>If we do not obtain additional protection under the Hatch</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Waxman Act and similar foreign legislation extending the terms of our patents for our product candidates, our business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-189230</wp:posOffset>
            </wp:positionV>
            <wp:extent cx="622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32" w:lineRule="exact"/>
        <w:rPr>
          <w:sz w:val="20"/>
          <w:szCs w:val="20"/>
          <w:color w:val="auto"/>
        </w:rPr>
      </w:pPr>
    </w:p>
    <w:p>
      <w:pPr>
        <w:ind w:right="60"/>
        <w:spacing w:after="0" w:line="178" w:lineRule="exact"/>
        <w:rPr>
          <w:sz w:val="20"/>
          <w:szCs w:val="20"/>
          <w:color w:val="auto"/>
        </w:rPr>
      </w:pPr>
      <w:r>
        <w:rPr>
          <w:rFonts w:ascii="Times New Roman" w:cs="Times New Roman" w:eastAsia="Times New Roman" w:hAnsi="Times New Roman"/>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Waxman Act. The Hatch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54"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may face competition from biosimilars, which may have a material adverse effect on the future commercial prospects of our product candidates</w:t>
      </w:r>
      <w:r>
        <w:rPr>
          <w:rFonts w:ascii="Times New Roman" w:cs="Times New Roman" w:eastAsia="Times New Roman" w:hAnsi="Times New Roman"/>
          <w:sz w:val="17"/>
          <w:szCs w:val="17"/>
          <w:b w:val="1"/>
          <w:bCs w:val="1"/>
          <w:color w:val="auto"/>
        </w:rPr>
        <w:t>.</w:t>
      </w:r>
    </w:p>
    <w:p>
      <w:pPr>
        <w:spacing w:after="0" w:line="145" w:lineRule="exact"/>
        <w:rPr>
          <w:sz w:val="20"/>
          <w:szCs w:val="20"/>
          <w:color w:val="auto"/>
        </w:rPr>
      </w:pPr>
    </w:p>
    <w:p>
      <w:pPr>
        <w:ind w:right="120"/>
        <w:spacing w:after="0" w:line="171" w:lineRule="exact"/>
        <w:rPr>
          <w:sz w:val="20"/>
          <w:szCs w:val="20"/>
          <w:color w:val="auto"/>
        </w:rPr>
      </w:pPr>
      <w:r>
        <w:rPr>
          <w:rFonts w:ascii="Times New Roman" w:cs="Times New Roman" w:eastAsia="Times New Roman" w:hAnsi="Times New Roman"/>
          <w:sz w:val="17"/>
          <w:szCs w:val="17"/>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1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b w:val="1"/>
          <w:bCs w:val="1"/>
          <w:color w:val="auto"/>
        </w:rPr>
        <w:t>RISKS RELATED TO EMPLOYEE MATTERS AND MANAGING GROWTH AND OTHER RISKS RELATED TO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retain key executives and to attract, retain and motivate qualified personnel.</w:t>
      </w:r>
    </w:p>
    <w:p>
      <w:pPr>
        <w:spacing w:after="0" w:line="184"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7"/>
          <w:szCs w:val="17"/>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1" w:lineRule="exact"/>
        <w:rPr>
          <w:sz w:val="20"/>
          <w:szCs w:val="20"/>
          <w:color w:val="auto"/>
        </w:rPr>
      </w:pPr>
    </w:p>
    <w:p>
      <w:pPr>
        <w:jc w:val="both"/>
        <w:ind w:right="200"/>
        <w:spacing w:after="0" w:line="212" w:lineRule="auto"/>
        <w:rPr>
          <w:sz w:val="20"/>
          <w:szCs w:val="20"/>
          <w:color w:val="auto"/>
        </w:rPr>
      </w:pPr>
      <w:r>
        <w:rPr>
          <w:rFonts w:ascii="Times New Roman" w:cs="Times New Roman" w:eastAsia="Times New Roman" w:hAnsi="Times New Roman"/>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w:t>
      </w:r>
    </w:p>
    <w:p>
      <w:pPr>
        <w:spacing w:after="0" w:line="2" w:lineRule="exact"/>
        <w:rPr>
          <w:sz w:val="20"/>
          <w:szCs w:val="20"/>
          <w:color w:val="auto"/>
        </w:rPr>
      </w:pPr>
    </w:p>
    <w:p>
      <w:pPr>
        <w:ind w:right="60"/>
        <w:spacing w:after="0" w:line="209" w:lineRule="auto"/>
        <w:rPr>
          <w:sz w:val="20"/>
          <w:szCs w:val="20"/>
          <w:color w:val="auto"/>
        </w:rPr>
      </w:pPr>
      <w:r>
        <w:rPr>
          <w:rFonts w:ascii="Times New Roman" w:cs="Times New Roman" w:eastAsia="Times New Roman" w:hAnsi="Times New Roman"/>
          <w:sz w:val="17"/>
          <w:szCs w:val="17"/>
          <w:color w:val="auto"/>
        </w:rPr>
        <w:t>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5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5"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7"/>
          <w:szCs w:val="17"/>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7"/>
          <w:szCs w:val="17"/>
          <w:color w:val="auto"/>
        </w:rPr>
        <w:t>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variety of risks associated with operating in Russia and internationally could adversely affect our business.</w:t>
      </w:r>
    </w:p>
    <w:p>
      <w:pPr>
        <w:spacing w:after="0" w:line="184"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7"/>
          <w:szCs w:val="17"/>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w:t>
      </w:r>
    </w:p>
    <w:p>
      <w:pPr>
        <w:spacing w:after="0" w:line="15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7"/>
          <w:szCs w:val="17"/>
          <w:color w:val="auto"/>
        </w:rPr>
        <w:t>We may also rely on collaborators to commercialize any approved product candidates outside of the United States. Doing business in Russia and internationally involves a number of risks, including but not limited to:</w:t>
      </w:r>
    </w:p>
    <w:p>
      <w:pPr>
        <w:spacing w:after="0" w:line="151" w:lineRule="exact"/>
        <w:rPr>
          <w:sz w:val="20"/>
          <w:szCs w:val="20"/>
          <w:color w:val="auto"/>
        </w:rPr>
      </w:pPr>
    </w:p>
    <w:p>
      <w:pPr>
        <w:ind w:left="60" w:right="420" w:hanging="50"/>
        <w:spacing w:after="0" w:line="239" w:lineRule="auto"/>
        <w:rPr>
          <w:sz w:val="20"/>
          <w:szCs w:val="20"/>
          <w:color w:val="auto"/>
        </w:rPr>
      </w:pPr>
      <w:r>
        <w:rPr>
          <w:rFonts w:ascii="Times New Roman" w:cs="Times New Roman" w:eastAsia="Times New Roman" w:hAnsi="Times New Roman"/>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48" w:lineRule="exact"/>
        <w:rPr>
          <w:sz w:val="20"/>
          <w:szCs w:val="20"/>
          <w:color w:val="auto"/>
        </w:rPr>
      </w:pPr>
    </w:p>
    <w:p>
      <w:pPr>
        <w:ind w:right="1100"/>
        <w:spacing w:after="0" w:line="255" w:lineRule="exact"/>
        <w:rPr>
          <w:sz w:val="20"/>
          <w:szCs w:val="20"/>
          <w:color w:val="auto"/>
        </w:rPr>
      </w:pPr>
      <w:r>
        <w:rPr>
          <w:rFonts w:ascii="Times New Roman" w:cs="Times New Roman" w:eastAsia="Times New Roman" w:hAnsi="Times New Roman"/>
          <w:sz w:val="17"/>
          <w:szCs w:val="17"/>
          <w:color w:val="auto"/>
        </w:rPr>
        <w:t>·failure by us to obtain and maintain regulatory approvals for the use of our product candidates in various countries; · additional potentially relevant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 rights;</w:t>
      </w:r>
    </w:p>
    <w:p>
      <w:pPr>
        <w:spacing w:after="0" w:line="30" w:lineRule="exact"/>
        <w:rPr>
          <w:sz w:val="20"/>
          <w:szCs w:val="20"/>
          <w:color w:val="auto"/>
        </w:rPr>
      </w:pPr>
    </w:p>
    <w:p>
      <w:pPr>
        <w:ind w:right="2060"/>
        <w:spacing w:after="0" w:line="314" w:lineRule="auto"/>
        <w:rPr>
          <w:sz w:val="20"/>
          <w:szCs w:val="20"/>
          <w:color w:val="auto"/>
        </w:rPr>
      </w:pPr>
      <w:r>
        <w:rPr>
          <w:rFonts w:ascii="Times New Roman" w:cs="Times New Roman" w:eastAsia="Times New Roman" w:hAnsi="Times New Roman"/>
          <w:sz w:val="17"/>
          <w:szCs w:val="17"/>
          <w:color w:val="auto"/>
        </w:rPr>
        <w:t>·complexities and difficulties in obtaining protection of and enforcing our intellectual property rights; · difficulties in staffing and managing foreign operations;</w:t>
      </w:r>
    </w:p>
    <w:p>
      <w:pPr>
        <w:ind w:right="240"/>
        <w:spacing w:after="0" w:line="260" w:lineRule="exact"/>
        <w:rPr>
          <w:sz w:val="20"/>
          <w:szCs w:val="20"/>
          <w:color w:val="auto"/>
        </w:rPr>
      </w:pPr>
      <w:r>
        <w:rPr>
          <w:rFonts w:ascii="Times New Roman" w:cs="Times New Roman" w:eastAsia="Times New Roman" w:hAnsi="Times New Roman"/>
          <w:sz w:val="17"/>
          <w:szCs w:val="17"/>
          <w:color w:val="auto"/>
        </w:rPr>
        <w:t>·complexities associated with managing multiple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payor reimbursement regimes, government payors or patient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pay systems; · limits on our ability to penetrate international markets;</w:t>
      </w:r>
    </w:p>
    <w:p>
      <w:pPr>
        <w:spacing w:after="0" w:line="49" w:lineRule="exact"/>
        <w:rPr>
          <w:sz w:val="20"/>
          <w:szCs w:val="20"/>
          <w:color w:val="auto"/>
        </w:rPr>
      </w:pPr>
    </w:p>
    <w:p>
      <w:pPr>
        <w:ind w:left="60" w:right="120" w:hanging="50"/>
        <w:spacing w:after="0" w:line="228" w:lineRule="auto"/>
        <w:rPr>
          <w:sz w:val="20"/>
          <w:szCs w:val="20"/>
          <w:color w:val="auto"/>
        </w:rPr>
      </w:pPr>
      <w:r>
        <w:rPr>
          <w:rFonts w:ascii="Times New Roman" w:cs="Times New Roman" w:eastAsia="Times New Roman" w:hAnsi="Times New Roman"/>
          <w:sz w:val="17"/>
          <w:szCs w:val="17"/>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47" w:lineRule="exact"/>
        <w:rPr>
          <w:sz w:val="20"/>
          <w:szCs w:val="20"/>
          <w:color w:val="auto"/>
        </w:rPr>
      </w:pPr>
    </w:p>
    <w:p>
      <w:pPr>
        <w:ind w:left="60" w:right="220" w:hanging="50"/>
        <w:spacing w:after="0" w:line="239" w:lineRule="auto"/>
        <w:rPr>
          <w:sz w:val="20"/>
          <w:szCs w:val="20"/>
          <w:color w:val="auto"/>
        </w:rPr>
      </w:pPr>
      <w:r>
        <w:rPr>
          <w:rFonts w:ascii="Times New Roman" w:cs="Times New Roman" w:eastAsia="Times New Roman" w:hAnsi="Times New Roman"/>
          <w:sz w:val="17"/>
          <w:szCs w:val="17"/>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changes in diplomatic and trade relationships;</w:t>
      </w:r>
    </w:p>
    <w:p>
      <w:pPr>
        <w:spacing w:after="0" w:line="75" w:lineRule="exact"/>
        <w:rPr>
          <w:sz w:val="20"/>
          <w:szCs w:val="20"/>
          <w:color w:val="auto"/>
        </w:rPr>
      </w:pPr>
    </w:p>
    <w:p>
      <w:pPr>
        <w:ind w:left="60" w:hanging="50"/>
        <w:spacing w:after="0" w:line="239" w:lineRule="auto"/>
        <w:rPr>
          <w:sz w:val="20"/>
          <w:szCs w:val="20"/>
          <w:color w:val="auto"/>
        </w:rPr>
      </w:pPr>
      <w:r>
        <w:rPr>
          <w:rFonts w:ascii="Times New Roman" w:cs="Times New Roman" w:eastAsia="Times New Roman" w:hAnsi="Times New Roman"/>
          <w:sz w:val="17"/>
          <w:szCs w:val="17"/>
          <w:color w:val="auto"/>
        </w:rPr>
        <w:t>·challenges in enforcing our contractual and intellectual property rights, especially in those foreign countries that do not respect and protect intellectual property rights to the same extent as the United States;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expenses including, among others, expenses for travel, translation and insurance;</w:t>
      </w:r>
    </w:p>
    <w:p>
      <w:pPr>
        <w:spacing w:after="0" w:line="75" w:lineRule="exact"/>
        <w:rPr>
          <w:sz w:val="20"/>
          <w:szCs w:val="20"/>
          <w:color w:val="auto"/>
        </w:rPr>
      </w:pPr>
    </w:p>
    <w:p>
      <w:pPr>
        <w:ind w:left="60" w:right="400" w:hanging="50"/>
        <w:spacing w:after="0" w:line="239" w:lineRule="auto"/>
        <w:rPr>
          <w:sz w:val="20"/>
          <w:szCs w:val="20"/>
          <w:color w:val="auto"/>
        </w:rPr>
      </w:pPr>
      <w:r>
        <w:rPr>
          <w:rFonts w:ascii="Times New Roman" w:cs="Times New Roman" w:eastAsia="Times New Roman" w:hAnsi="Times New Roman"/>
          <w:sz w:val="17"/>
          <w:szCs w:val="17"/>
          <w:color w:val="auto"/>
        </w:rPr>
        <w:t>·legal risks, including use of the legal system by the government to benefit itself or affiliated entities at our expense, including expropriation of property; and</w:t>
      </w:r>
    </w:p>
    <w:p>
      <w:pPr>
        <w:spacing w:after="0" w:line="48" w:lineRule="exact"/>
        <w:rPr>
          <w:sz w:val="20"/>
          <w:szCs w:val="20"/>
          <w:color w:val="auto"/>
        </w:rPr>
      </w:pPr>
    </w:p>
    <w:p>
      <w:pPr>
        <w:ind w:left="60" w:right="160" w:hanging="50"/>
        <w:spacing w:after="0" w:line="204" w:lineRule="exact"/>
        <w:rPr>
          <w:sz w:val="20"/>
          <w:szCs w:val="20"/>
          <w:color w:val="auto"/>
        </w:rPr>
      </w:pPr>
      <w:r>
        <w:rPr>
          <w:rFonts w:ascii="Times New Roman" w:cs="Times New Roman" w:eastAsia="Times New Roman" w:hAnsi="Times New Roman"/>
          <w:sz w:val="17"/>
          <w:szCs w:val="17"/>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bribery provisions.</w:t>
      </w:r>
    </w:p>
    <w:p>
      <w:pPr>
        <w:spacing w:after="0" w:line="339"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results of operations.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80" w:name="page81"/>
    <w:bookmarkEnd w:id="80"/>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Sanctions against Russia, and Russia’s response to those sanctions, could adversely affect our business.</w:t>
      </w:r>
    </w:p>
    <w:p>
      <w:pPr>
        <w:spacing w:after="0" w:line="184" w:lineRule="exact"/>
        <w:rPr>
          <w:sz w:val="20"/>
          <w:szCs w:val="20"/>
          <w:color w:val="auto"/>
        </w:rPr>
      </w:pPr>
    </w:p>
    <w:p>
      <w:pPr>
        <w:ind w:left="1" w:right="40"/>
        <w:spacing w:after="0" w:line="176" w:lineRule="exact"/>
        <w:rPr>
          <w:sz w:val="20"/>
          <w:szCs w:val="20"/>
          <w:color w:val="auto"/>
        </w:rPr>
      </w:pPr>
      <w:r>
        <w:rPr>
          <w:rFonts w:ascii="Times New Roman" w:cs="Times New Roman" w:eastAsia="Times New Roman" w:hAnsi="Times New Roman"/>
          <w:sz w:val="17"/>
          <w:szCs w:val="17"/>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If the United States and European Union were to impose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14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would suffer in the event of system failures.</w:t>
      </w:r>
    </w:p>
    <w:p>
      <w:pPr>
        <w:spacing w:after="0" w:line="184" w:lineRule="exact"/>
        <w:rPr>
          <w:sz w:val="20"/>
          <w:szCs w:val="20"/>
          <w:color w:val="auto"/>
        </w:rPr>
      </w:pPr>
    </w:p>
    <w:p>
      <w:pPr>
        <w:ind w:left="1" w:right="40"/>
        <w:spacing w:after="0" w:line="211"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49" w:lineRule="exact"/>
        <w:rPr>
          <w:sz w:val="20"/>
          <w:szCs w:val="20"/>
          <w:color w:val="auto"/>
        </w:rPr>
      </w:pPr>
    </w:p>
    <w:p>
      <w:pPr>
        <w:ind w:left="1" w:right="2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51" w:lineRule="exact"/>
        <w:rPr>
          <w:sz w:val="20"/>
          <w:szCs w:val="20"/>
          <w:color w:val="auto"/>
        </w:rPr>
      </w:pPr>
    </w:p>
    <w:p>
      <w:pPr>
        <w:ind w:left="1" w:right="300"/>
        <w:spacing w:after="0" w:line="210"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w:t>
      </w:r>
    </w:p>
    <w:p>
      <w:pPr>
        <w:spacing w:after="0" w:line="3" w:lineRule="exact"/>
        <w:rPr>
          <w:sz w:val="20"/>
          <w:szCs w:val="20"/>
          <w:color w:val="auto"/>
        </w:rPr>
      </w:pPr>
    </w:p>
    <w:p>
      <w:pPr>
        <w:ind w:left="1" w:hanging="1"/>
        <w:spacing w:after="0" w:line="208" w:lineRule="auto"/>
        <w:tabs>
          <w:tab w:leader="none" w:pos="24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standards, (3) healthcare fraud and abuse laws, or (4)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5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Acquisitions or joint ventures could disrupt our business, cause dilution to our stockholders and otherwise harm our business.</w:t>
      </w:r>
    </w:p>
    <w:p>
      <w:pPr>
        <w:spacing w:after="0" w:line="184" w:lineRule="exact"/>
        <w:rPr>
          <w:sz w:val="20"/>
          <w:szCs w:val="20"/>
          <w:color w:val="auto"/>
        </w:rPr>
      </w:pPr>
    </w:p>
    <w:p>
      <w:pPr>
        <w:ind w:left="1" w:right="780"/>
        <w:spacing w:after="0" w:line="239" w:lineRule="auto"/>
        <w:rPr>
          <w:sz w:val="20"/>
          <w:szCs w:val="20"/>
          <w:color w:val="auto"/>
        </w:rPr>
      </w:pPr>
      <w:r>
        <w:rPr>
          <w:rFonts w:ascii="Times New Roman" w:cs="Times New Roman" w:eastAsia="Times New Roman" w:hAnsi="Times New Roman"/>
          <w:sz w:val="17"/>
          <w:szCs w:val="17"/>
          <w:color w:val="auto"/>
        </w:rPr>
        <w:t>We may acquire other businesses, product candidates or technologies as well as pursue strategic alliances, joint ventures, technology licenses or investments in complementary businesses. We have not made any acquisitions to date, and our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81" w:name="page82"/>
    <w:bookmarkEnd w:id="81"/>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spacing w:after="0" w:line="239" w:lineRule="auto"/>
        <w:rPr>
          <w:sz w:val="20"/>
          <w:szCs w:val="20"/>
          <w:color w:val="auto"/>
        </w:rPr>
      </w:pPr>
      <w:r>
        <w:rPr>
          <w:rFonts w:ascii="Times New Roman" w:cs="Times New Roman" w:eastAsia="Times New Roman" w:hAnsi="Times New Roman"/>
          <w:sz w:val="17"/>
          <w:szCs w:val="17"/>
          <w:color w:val="auto"/>
        </w:rPr>
        <w:t>ability to do so successfully is unproven. Any of these transactions could be material to our financial condition and operating results and expose us to many risks, including:</w:t>
      </w:r>
    </w:p>
    <w:p>
      <w:pPr>
        <w:spacing w:after="0" w:line="151" w:lineRule="exact"/>
        <w:rPr>
          <w:sz w:val="20"/>
          <w:szCs w:val="20"/>
          <w:color w:val="auto"/>
        </w:rPr>
      </w:pPr>
    </w:p>
    <w:p>
      <w:pPr>
        <w:ind w:left="61" w:right="640" w:hanging="50"/>
        <w:spacing w:after="0" w:line="239" w:lineRule="auto"/>
        <w:rPr>
          <w:sz w:val="20"/>
          <w:szCs w:val="20"/>
          <w:color w:val="auto"/>
        </w:rPr>
      </w:pPr>
      <w:r>
        <w:rPr>
          <w:rFonts w:ascii="Times New Roman" w:cs="Times New Roman" w:eastAsia="Times New Roman" w:hAnsi="Times New Roman"/>
          <w:sz w:val="17"/>
          <w:szCs w:val="17"/>
          <w:color w:val="auto"/>
        </w:rPr>
        <w:t>·disruption in our relationships with future customers or with current or future distributors or suppliers as a result of such a transaction;</w:t>
      </w:r>
    </w:p>
    <w:p>
      <w:pPr>
        <w:spacing w:after="0" w:line="4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 unexpected liabilities related to acquired companies;</w:t>
      </w:r>
    </w:p>
    <w:p>
      <w:pPr>
        <w:spacing w:after="0" w:line="75" w:lineRule="exact"/>
        <w:rPr>
          <w:sz w:val="20"/>
          <w:szCs w:val="20"/>
          <w:color w:val="auto"/>
        </w:rPr>
      </w:pPr>
    </w:p>
    <w:p>
      <w:pPr>
        <w:ind w:left="1" w:right="1680"/>
        <w:spacing w:after="0" w:line="320" w:lineRule="auto"/>
        <w:rPr>
          <w:sz w:val="20"/>
          <w:szCs w:val="20"/>
          <w:color w:val="auto"/>
        </w:rPr>
      </w:pPr>
      <w:r>
        <w:rPr>
          <w:rFonts w:ascii="Times New Roman" w:cs="Times New Roman" w:eastAsia="Times New Roman" w:hAnsi="Times New Roman"/>
          <w:sz w:val="17"/>
          <w:szCs w:val="17"/>
          <w:color w:val="auto"/>
        </w:rPr>
        <w:t>·difficulties integrating acquired personnel, technologies and operations into our existing business; ·diversion of management time and focus from operating our business to acquisition integration challenges; ·increases in our expenses and reductions in our cash available for operations and other uses;</w:t>
      </w:r>
    </w:p>
    <w:p>
      <w:pPr>
        <w:ind w:left="81" w:hanging="81"/>
        <w:spacing w:after="0" w:line="196" w:lineRule="exact"/>
        <w:tabs>
          <w:tab w:leader="none" w:pos="8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write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offs or impairment charges relating to acquired businesses; and</w:t>
      </w:r>
    </w:p>
    <w:p>
      <w:pPr>
        <w:spacing w:after="0" w:line="102"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develop a sales force for any additional product candidates.</w:t>
      </w:r>
    </w:p>
    <w:p>
      <w:pPr>
        <w:spacing w:after="0" w:line="383" w:lineRule="exact"/>
        <w:rPr>
          <w:sz w:val="20"/>
          <w:szCs w:val="20"/>
          <w:color w:val="auto"/>
        </w:rPr>
      </w:pPr>
    </w:p>
    <w:p>
      <w:pPr>
        <w:ind w:left="1" w:right="100"/>
        <w:spacing w:after="0" w:line="228" w:lineRule="auto"/>
        <w:rPr>
          <w:sz w:val="20"/>
          <w:szCs w:val="20"/>
          <w:color w:val="auto"/>
        </w:rPr>
      </w:pPr>
      <w:r>
        <w:rPr>
          <w:rFonts w:ascii="Times New Roman" w:cs="Times New Roman" w:eastAsia="Times New Roman" w:hAnsi="Times New Roman"/>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0" w:lineRule="exact"/>
        <w:rPr>
          <w:sz w:val="20"/>
          <w:szCs w:val="20"/>
          <w:color w:val="auto"/>
        </w:rPr>
      </w:pPr>
    </w:p>
    <w:p>
      <w:pPr>
        <w:ind w:left="1" w:right="80"/>
        <w:spacing w:after="0" w:line="181" w:lineRule="exact"/>
        <w:rPr>
          <w:sz w:val="20"/>
          <w:szCs w:val="20"/>
          <w:color w:val="auto"/>
        </w:rPr>
      </w:pPr>
      <w:r>
        <w:rPr>
          <w:rFonts w:ascii="Times New Roman" w:cs="Times New Roman" w:eastAsia="Times New Roman" w:hAnsi="Times New Roman"/>
          <w:sz w:val="17"/>
          <w:szCs w:val="17"/>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1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76" w:lineRule="exact"/>
        <w:rPr>
          <w:sz w:val="20"/>
          <w:szCs w:val="20"/>
          <w:color w:val="auto"/>
        </w:rPr>
      </w:pPr>
    </w:p>
    <w:p>
      <w:pPr>
        <w:ind w:left="1" w:right="2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and fluctuate substantially, which could result in substantial losses for purchasers of our common stock.</w:t>
      </w:r>
    </w:p>
    <w:p>
      <w:pPr>
        <w:spacing w:after="0" w:line="145" w:lineRule="exact"/>
        <w:rPr>
          <w:sz w:val="20"/>
          <w:szCs w:val="20"/>
          <w:color w:val="auto"/>
        </w:rPr>
      </w:pPr>
    </w:p>
    <w:p>
      <w:pPr>
        <w:ind w:left="1" w:right="160"/>
        <w:spacing w:after="0" w:line="222" w:lineRule="auto"/>
        <w:rPr>
          <w:sz w:val="20"/>
          <w:szCs w:val="20"/>
          <w:color w:val="auto"/>
        </w:rPr>
      </w:pPr>
      <w:r>
        <w:rPr>
          <w:rFonts w:ascii="Times New Roman" w:cs="Times New Roman" w:eastAsia="Times New Roman" w:hAnsi="Times New Roman"/>
          <w:sz w:val="17"/>
          <w:szCs w:val="17"/>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1" w:lineRule="exact"/>
        <w:rPr>
          <w:sz w:val="20"/>
          <w:szCs w:val="20"/>
          <w:color w:val="auto"/>
        </w:rPr>
      </w:pPr>
    </w:p>
    <w:p>
      <w:pPr>
        <w:ind w:left="121" w:hanging="121"/>
        <w:spacing w:after="0"/>
        <w:tabs>
          <w:tab w:leader="none" w:pos="12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expected changes in our growth rate relative to our competitors;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trials of our product candidates or those of our competitors;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related to our existing or any future collaborations;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75" w:lineRule="exact"/>
        <w:rPr>
          <w:sz w:val="20"/>
          <w:szCs w:val="20"/>
          <w:color w:val="auto"/>
        </w:rPr>
      </w:pPr>
    </w:p>
    <w:p>
      <w:pPr>
        <w:ind w:left="1" w:right="880"/>
        <w:spacing w:after="0" w:line="331" w:lineRule="auto"/>
        <w:rPr>
          <w:sz w:val="20"/>
          <w:szCs w:val="20"/>
          <w:color w:val="auto"/>
        </w:rPr>
      </w:pPr>
      <w:r>
        <w:rPr>
          <w:rFonts w:ascii="Times New Roman" w:cs="Times New Roman" w:eastAsia="Times New Roman" w:hAnsi="Times New Roman"/>
          <w:sz w:val="17"/>
          <w:szCs w:val="17"/>
          <w:color w:val="auto"/>
        </w:rPr>
        <w:t>·development of new product candidates that may address our markets and make our product candidates less attractive; ·changes in physician, hospital or healthcare provider practices that may make our product candidates less useful;</w:t>
      </w:r>
    </w:p>
    <w:p>
      <w:pPr>
        <w:spacing w:after="0" w:line="1" w:lineRule="exact"/>
        <w:rPr>
          <w:sz w:val="20"/>
          <w:szCs w:val="20"/>
          <w:color w:val="auto"/>
        </w:rPr>
      </w:pPr>
    </w:p>
    <w:p>
      <w:pPr>
        <w:ind w:left="61" w:right="880" w:hanging="50"/>
        <w:spacing w:after="0" w:line="239" w:lineRule="auto"/>
        <w:rPr>
          <w:sz w:val="20"/>
          <w:szCs w:val="20"/>
          <w:color w:val="auto"/>
        </w:rPr>
      </w:pPr>
      <w:r>
        <w:rPr>
          <w:rFonts w:ascii="Times New Roman" w:cs="Times New Roman" w:eastAsia="Times New Roman" w:hAnsi="Times New Roman"/>
          <w:sz w:val="17"/>
          <w:szCs w:val="17"/>
          <w:color w:val="auto"/>
        </w:rPr>
        <w:t>·announcements by us, our partners or our competitors of significant acquisitions, strategic partnerships, joint ventures, collaborations or capital commitments;</w:t>
      </w:r>
    </w:p>
    <w:p>
      <w:pPr>
        <w:spacing w:after="0" w:line="48" w:lineRule="exact"/>
        <w:rPr>
          <w:sz w:val="20"/>
          <w:szCs w:val="20"/>
          <w:color w:val="auto"/>
        </w:rPr>
      </w:pPr>
    </w:p>
    <w:p>
      <w:pPr>
        <w:ind w:left="1" w:right="2200"/>
        <w:spacing w:after="0" w:line="331" w:lineRule="auto"/>
        <w:rPr>
          <w:sz w:val="20"/>
          <w:szCs w:val="20"/>
          <w:color w:val="auto"/>
        </w:rPr>
      </w:pPr>
      <w:r>
        <w:rPr>
          <w:rFonts w:ascii="Times New Roman" w:cs="Times New Roman" w:eastAsia="Times New Roman" w:hAnsi="Times New Roman"/>
          <w:sz w:val="17"/>
          <w:szCs w:val="17"/>
          <w:color w:val="auto"/>
        </w:rPr>
        <w:t>·developments or disputes concerning patent applications, issued patents or other proprietary rights; · the recruitment or departure of key personnel;</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level of expenses related to any of our product candidates or clinical development programs;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82" w:name="page83"/>
    <w:bookmarkEnd w:id="82"/>
    <w:p>
      <w:pPr>
        <w:ind w:left="1"/>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 w:right="580"/>
        <w:spacing w:after="0" w:line="255" w:lineRule="exact"/>
        <w:rPr>
          <w:sz w:val="20"/>
          <w:szCs w:val="20"/>
          <w:color w:val="auto"/>
        </w:rPr>
      </w:pPr>
      <w:r>
        <w:rPr>
          <w:rFonts w:ascii="Times New Roman" w:cs="Times New Roman" w:eastAsia="Times New Roman" w:hAnsi="Times New Roman"/>
          <w:sz w:val="17"/>
          <w:szCs w:val="17"/>
          <w:color w:val="auto"/>
        </w:rPr>
        <w:t>·failure to meet or exceed financial estimates and projections of the investment community or that we provide to the public; ·the results of our efforts to discover, develop, acquire or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additional product candidates or products;</w:t>
      </w:r>
    </w:p>
    <w:p>
      <w:pPr>
        <w:spacing w:after="0" w:line="30" w:lineRule="exact"/>
        <w:rPr>
          <w:sz w:val="20"/>
          <w:szCs w:val="20"/>
          <w:color w:val="auto"/>
        </w:rPr>
      </w:pPr>
    </w:p>
    <w:p>
      <w:pPr>
        <w:ind w:left="1" w:right="180"/>
        <w:spacing w:after="0" w:line="331" w:lineRule="auto"/>
        <w:rPr>
          <w:sz w:val="20"/>
          <w:szCs w:val="20"/>
          <w:color w:val="auto"/>
        </w:rPr>
      </w:pPr>
      <w:r>
        <w:rPr>
          <w:rFonts w:ascii="Times New Roman" w:cs="Times New Roman" w:eastAsia="Times New Roman" w:hAnsi="Times New Roman"/>
          <w:sz w:val="17"/>
          <w:szCs w:val="17"/>
          <w:color w:val="auto"/>
        </w:rPr>
        <w:t>·actual or expected changes in estimates as to financial results, development timelines or recommendations by securities analysts; ·variations in our financial results or those of companies that are perceived to be similar to us;</w:t>
      </w:r>
    </w:p>
    <w:p>
      <w:pPr>
        <w:spacing w:after="0" w:line="1" w:lineRule="exact"/>
        <w:rPr>
          <w:sz w:val="20"/>
          <w:szCs w:val="20"/>
          <w:color w:val="auto"/>
        </w:rPr>
      </w:pPr>
    </w:p>
    <w:p>
      <w:pPr>
        <w:ind w:left="121" w:hanging="121"/>
        <w:spacing w:after="0"/>
        <w:tabs>
          <w:tab w:leader="none" w:pos="12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74" w:lineRule="exact"/>
        <w:rPr>
          <w:rFonts w:ascii="Times New Roman" w:cs="Times New Roman" w:eastAsia="Times New Roman" w:hAnsi="Times New Roman"/>
          <w:sz w:val="17"/>
          <w:szCs w:val="17"/>
          <w:color w:val="auto"/>
        </w:rPr>
      </w:pPr>
    </w:p>
    <w:p>
      <w:pPr>
        <w:ind w:left="81" w:hanging="81"/>
        <w:spacing w:after="0"/>
        <w:tabs>
          <w:tab w:leader="none" w:pos="8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and</w:t>
      </w:r>
    </w:p>
    <w:p>
      <w:pPr>
        <w:spacing w:after="0" w:line="74" w:lineRule="exact"/>
        <w:rPr>
          <w:rFonts w:ascii="Times New Roman" w:cs="Times New Roman" w:eastAsia="Times New Roman" w:hAnsi="Times New Roman"/>
          <w:sz w:val="17"/>
          <w:szCs w:val="17"/>
          <w:color w:val="auto"/>
        </w:rPr>
      </w:pPr>
    </w:p>
    <w:p>
      <w:pPr>
        <w:ind w:left="121" w:hanging="121"/>
        <w:spacing w:after="0"/>
        <w:tabs>
          <w:tab w:leader="none" w:pos="12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in this “Risk factors” section.</w:t>
      </w:r>
    </w:p>
    <w:p>
      <w:pPr>
        <w:spacing w:after="0" w:line="172" w:lineRule="exact"/>
        <w:rPr>
          <w:sz w:val="20"/>
          <w:szCs w:val="20"/>
          <w:color w:val="auto"/>
        </w:rPr>
      </w:pPr>
    </w:p>
    <w:p>
      <w:pPr>
        <w:ind w:left="1" w:right="30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45" w:lineRule="exact"/>
        <w:rPr>
          <w:sz w:val="20"/>
          <w:szCs w:val="20"/>
          <w:color w:val="auto"/>
        </w:rPr>
      </w:pPr>
    </w:p>
    <w:p>
      <w:pPr>
        <w:ind w:left="1" w:right="140"/>
        <w:spacing w:after="0" w:line="216" w:lineRule="auto"/>
        <w:rPr>
          <w:sz w:val="20"/>
          <w:szCs w:val="20"/>
          <w:color w:val="auto"/>
        </w:rPr>
      </w:pPr>
      <w:r>
        <w:rPr>
          <w:rFonts w:ascii="Times New Roman" w:cs="Times New Roman" w:eastAsia="Times New Roman" w:hAnsi="Times New Roman"/>
          <w:sz w:val="17"/>
          <w:szCs w:val="17"/>
          <w:color w:val="auto"/>
        </w:rPr>
        <w:t>Our executive officers, directors and stockholders who own more than 5% of our outstanding common stock and their respective affiliates, in the aggregate, hold shares representing approximately 50% of our outstanding voting stock as of June 30, 2016.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47" w:lineRule="exact"/>
        <w:rPr>
          <w:sz w:val="20"/>
          <w:szCs w:val="20"/>
          <w:color w:val="auto"/>
        </w:rPr>
      </w:pPr>
    </w:p>
    <w:p>
      <w:pPr>
        <w:ind w:left="1" w:right="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5" w:lineRule="exact"/>
        <w:rPr>
          <w:sz w:val="20"/>
          <w:szCs w:val="20"/>
          <w:color w:val="auto"/>
        </w:rPr>
      </w:pPr>
    </w:p>
    <w:p>
      <w:pPr>
        <w:ind w:left="1"/>
        <w:spacing w:after="0" w:line="210"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in the market that the holders of a large number of shares intend to sell shares, could reduce the market price of our common stock. As of June 30, 2016, approximately 12.9 million shares of our common stock are restricted as a result of securities laws or lock-up agreements but will become eligible to be sold at various times beginning 180 days after the date of the initial public offering of our common stock, unless held by one of our affiliates, in which case the resale of those securities will be subject to volume limitations under Rule 144 of the Securities Act of 1933, as amended, or Rule 144. Moreover, holders of an aggregate of approximately 12.3 million shares of our common stock as of the completion of the initial public offering of our common stock on June 27,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the lock-up agreements.</w:t>
      </w:r>
    </w:p>
    <w:p>
      <w:pPr>
        <w:spacing w:after="0" w:line="150" w:lineRule="exact"/>
        <w:rPr>
          <w:sz w:val="20"/>
          <w:szCs w:val="20"/>
          <w:color w:val="auto"/>
        </w:rPr>
      </w:pPr>
    </w:p>
    <w:p>
      <w:pPr>
        <w:ind w:left="1" w:right="32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the reduced disclosure requirements applicable to emerging growth companies may make our common stock less attractive to investors</w:t>
      </w:r>
      <w:r>
        <w:rPr>
          <w:rFonts w:ascii="Times New Roman" w:cs="Times New Roman" w:eastAsia="Times New Roman" w:hAnsi="Times New Roman"/>
          <w:sz w:val="17"/>
          <w:szCs w:val="17"/>
          <w:b w:val="1"/>
          <w:bCs w:val="1"/>
          <w:color w:val="auto"/>
        </w:rPr>
        <w:t>.</w:t>
      </w:r>
    </w:p>
    <w:p>
      <w:pPr>
        <w:spacing w:after="0" w:line="1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or the JOBS Act, and may</w:t>
      </w:r>
    </w:p>
    <w:p>
      <w:pPr>
        <w:ind w:left="1"/>
        <w:spacing w:after="0" w:line="205" w:lineRule="auto"/>
        <w:rPr>
          <w:sz w:val="20"/>
          <w:szCs w:val="20"/>
          <w:color w:val="auto"/>
        </w:rPr>
      </w:pPr>
      <w:r>
        <w:rPr>
          <w:rFonts w:ascii="Times New Roman" w:cs="Times New Roman" w:eastAsia="Times New Roman" w:hAnsi="Times New Roman"/>
          <w:sz w:val="17"/>
          <w:szCs w:val="17"/>
          <w:color w:val="auto"/>
        </w:rPr>
        <w:t>remain an emerging growth company until the last day of the fiscal year following the fifth anniversary of the closing of the initial</w:t>
      </w:r>
    </w:p>
    <w:p>
      <w:pPr>
        <w:ind w:left="1"/>
        <w:spacing w:after="0" w:line="167" w:lineRule="exact"/>
        <w:rPr>
          <w:sz w:val="20"/>
          <w:szCs w:val="20"/>
          <w:color w:val="auto"/>
        </w:rPr>
      </w:pPr>
      <w:r>
        <w:rPr>
          <w:rFonts w:ascii="Times New Roman" w:cs="Times New Roman" w:eastAsia="Times New Roman" w:hAnsi="Times New Roman"/>
          <w:sz w:val="17"/>
          <w:szCs w:val="17"/>
          <w:color w:val="auto"/>
        </w:rPr>
        <w:t>public offering of our common stock. However, if certain events occur prior to the end of such five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including if we</w:t>
      </w:r>
    </w:p>
    <w:p>
      <w:pPr>
        <w:ind w:left="1"/>
        <w:spacing w:after="0" w:line="205" w:lineRule="auto"/>
        <w:rPr>
          <w:sz w:val="20"/>
          <w:szCs w:val="20"/>
          <w:color w:val="auto"/>
        </w:rPr>
      </w:pPr>
      <w:r>
        <w:rPr>
          <w:rFonts w:ascii="Times New Roman" w:cs="Times New Roman" w:eastAsia="Times New Roman" w:hAnsi="Times New Roman"/>
          <w:sz w:val="17"/>
          <w:szCs w:val="17"/>
          <w:color w:val="auto"/>
        </w:rPr>
        <w:t>become a “large accelerated filer,” our annual gross revenues exceed $1.0 billion or we issue more than $1.0 billion of</w:t>
      </w:r>
    </w:p>
    <w:p>
      <w:pPr>
        <w:ind w:left="1"/>
        <w:spacing w:after="0" w:line="168"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convertible debt in any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we will cease to be an emerging growth company prior to the end of such five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w:t>
      </w:r>
    </w:p>
    <w:p>
      <w:pPr>
        <w:ind w:left="1"/>
        <w:spacing w:after="0"/>
        <w:rPr>
          <w:sz w:val="20"/>
          <w:szCs w:val="20"/>
          <w:color w:val="auto"/>
        </w:rPr>
      </w:pPr>
      <w:r>
        <w:rPr>
          <w:rFonts w:ascii="Times New Roman" w:cs="Times New Roman" w:eastAsia="Times New Roman" w:hAnsi="Times New Roman"/>
          <w:sz w:val="17"/>
          <w:szCs w:val="17"/>
          <w:color w:val="auto"/>
        </w:rPr>
        <w:t>period. For so long as we remain an emerging growth company, we are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576643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1"/>
          </w:cols>
          <w:pgMar w:left="1419" w:top="110" w:right="1419" w:bottom="1440" w:gutter="0" w:footer="0" w:header="0"/>
        </w:sectPr>
      </w:pPr>
    </w:p>
    <w:bookmarkStart w:id="83" w:name="page84"/>
    <w:bookmarkEnd w:id="83"/>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7"/>
          <w:szCs w:val="17"/>
          <w:color w:val="auto"/>
        </w:rPr>
        <w:t>permitted and intend to rely on exemptions from certain disclosure requirements that are applicable to other public companies that are not emerging growth companies. These exemptions include:</w:t>
      </w:r>
    </w:p>
    <w:p>
      <w:pPr>
        <w:spacing w:after="0" w:line="151" w:lineRule="exact"/>
        <w:rPr>
          <w:sz w:val="20"/>
          <w:szCs w:val="20"/>
          <w:color w:val="auto"/>
        </w:rPr>
      </w:pPr>
    </w:p>
    <w:p>
      <w:pPr>
        <w:ind w:left="60" w:hanging="50"/>
        <w:spacing w:after="0" w:line="239" w:lineRule="auto"/>
        <w:rPr>
          <w:sz w:val="20"/>
          <w:szCs w:val="20"/>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w:t>
      </w:r>
    </w:p>
    <w:p>
      <w:pPr>
        <w:spacing w:after="0" w:line="48" w:lineRule="exact"/>
        <w:rPr>
          <w:sz w:val="20"/>
          <w:szCs w:val="20"/>
          <w:color w:val="auto"/>
        </w:rPr>
      </w:pPr>
    </w:p>
    <w:p>
      <w:pPr>
        <w:ind w:left="60" w:right="420" w:hanging="50"/>
        <w:spacing w:after="0" w:line="239" w:lineRule="auto"/>
        <w:rPr>
          <w:sz w:val="20"/>
          <w:szCs w:val="20"/>
          <w:color w:val="auto"/>
        </w:rPr>
      </w:pPr>
      <w:r>
        <w:rPr>
          <w:rFonts w:ascii="Times New Roman" w:cs="Times New Roman" w:eastAsia="Times New Roman" w:hAnsi="Times New Roman"/>
          <w:sz w:val="17"/>
          <w:szCs w:val="17"/>
          <w:color w:val="auto"/>
        </w:rPr>
        <w:t>·not being required to comply with the auditor attestation requirements in the assessment of our internal control over financial reporting;</w:t>
      </w:r>
    </w:p>
    <w:p>
      <w:pPr>
        <w:spacing w:after="0" w:line="48" w:lineRule="exact"/>
        <w:rPr>
          <w:sz w:val="20"/>
          <w:szCs w:val="20"/>
          <w:color w:val="auto"/>
        </w:rPr>
      </w:pPr>
    </w:p>
    <w:p>
      <w:pPr>
        <w:ind w:left="60" w:right="240" w:hanging="50"/>
        <w:spacing w:after="0" w:line="228" w:lineRule="auto"/>
        <w:rPr>
          <w:sz w:val="20"/>
          <w:szCs w:val="20"/>
          <w:color w:val="auto"/>
        </w:rPr>
      </w:pPr>
      <w:r>
        <w:rPr>
          <w:rFonts w:ascii="Times New Roman" w:cs="Times New Roman" w:eastAsia="Times New Roman" w:hAnsi="Times New Roman"/>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reduced disclosure obligations regarding executive compensation; and</w:t>
      </w:r>
    </w:p>
    <w:p>
      <w:pPr>
        <w:spacing w:after="0" w:line="75" w:lineRule="exact"/>
        <w:rPr>
          <w:sz w:val="20"/>
          <w:szCs w:val="20"/>
          <w:color w:val="auto"/>
        </w:rPr>
      </w:pPr>
    </w:p>
    <w:p>
      <w:pPr>
        <w:ind w:left="60" w:right="100" w:hanging="50"/>
        <w:spacing w:after="0" w:line="239" w:lineRule="auto"/>
        <w:rPr>
          <w:sz w:val="20"/>
          <w:szCs w:val="20"/>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44"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45" w:lineRule="exact"/>
        <w:rPr>
          <w:sz w:val="20"/>
          <w:szCs w:val="20"/>
          <w:color w:val="auto"/>
        </w:rPr>
      </w:pPr>
    </w:p>
    <w:p>
      <w:pPr>
        <w:ind w:right="100"/>
        <w:spacing w:after="0" w:line="173" w:lineRule="exact"/>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the Dodd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57"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6" w:lineRule="exact"/>
        <w:rPr>
          <w:sz w:val="20"/>
          <w:szCs w:val="20"/>
          <w:color w:val="auto"/>
        </w:rPr>
      </w:pPr>
    </w:p>
    <w:p>
      <w:pPr>
        <w:ind w:right="60"/>
        <w:spacing w:after="0" w:line="178" w:lineRule="exact"/>
        <w:rPr>
          <w:sz w:val="20"/>
          <w:szCs w:val="20"/>
          <w:color w:val="auto"/>
        </w:rPr>
      </w:pPr>
      <w:r>
        <w:rPr>
          <w:rFonts w:ascii="Times New Roman" w:cs="Times New Roman" w:eastAsia="Times New Roman" w:hAnsi="Times New Roman"/>
          <w:sz w:val="17"/>
          <w:szCs w:val="17"/>
          <w:color w:val="auto"/>
        </w:rPr>
        <w:t>Pursuant to Section 404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40"/>
          </w:cols>
          <w:pgMar w:left="1420" w:top="110" w:right="1439" w:bottom="1440" w:gutter="0" w:footer="0" w:header="0"/>
        </w:sectPr>
      </w:pPr>
    </w:p>
    <w:bookmarkStart w:id="84" w:name="page85"/>
    <w:bookmarkEnd w:id="8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7"/>
          <w:szCs w:val="17"/>
          <w:color w:val="auto"/>
        </w:rPr>
        <w:t>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4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4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5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7"/>
          <w:szCs w:val="17"/>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27" w:lineRule="exact"/>
        <w:rPr>
          <w:sz w:val="20"/>
          <w:szCs w:val="20"/>
          <w:color w:val="auto"/>
        </w:rPr>
      </w:pPr>
    </w:p>
    <w:p>
      <w:pPr>
        <w:ind w:left="60" w:right="720" w:hanging="50"/>
        <w:spacing w:after="0" w:line="209" w:lineRule="exact"/>
        <w:rPr>
          <w:sz w:val="20"/>
          <w:szCs w:val="20"/>
          <w:color w:val="auto"/>
        </w:rPr>
      </w:pPr>
      <w:r>
        <w:rPr>
          <w:rFonts w:ascii="Times New Roman" w:cs="Times New Roman" w:eastAsia="Times New Roman" w:hAnsi="Times New Roman"/>
          <w:sz w:val="17"/>
          <w:szCs w:val="17"/>
          <w:color w:val="auto"/>
        </w:rPr>
        <w:t>·a classified board of directors with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staggered terms, which may delay the ability of stockholders to change the membership of a majority of our 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cumulative voting in the election of directors, which limits the ability of minority stockholders to elect director candidates;</w:t>
      </w:r>
    </w:p>
    <w:p>
      <w:pPr>
        <w:spacing w:after="0" w:line="75" w:lineRule="exact"/>
        <w:rPr>
          <w:sz w:val="20"/>
          <w:szCs w:val="20"/>
          <w:color w:val="auto"/>
        </w:rPr>
      </w:pPr>
    </w:p>
    <w:p>
      <w:pPr>
        <w:ind w:left="60" w:right="20" w:hanging="50"/>
        <w:spacing w:after="0" w:line="239" w:lineRule="auto"/>
        <w:rPr>
          <w:sz w:val="20"/>
          <w:szCs w:val="20"/>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48" w:lineRule="exact"/>
        <w:rPr>
          <w:sz w:val="20"/>
          <w:szCs w:val="20"/>
          <w:color w:val="auto"/>
        </w:rPr>
      </w:pPr>
    </w:p>
    <w:p>
      <w:pPr>
        <w:jc w:val="both"/>
        <w:ind w:left="60" w:right="460" w:hanging="50"/>
        <w:spacing w:after="0" w:line="228" w:lineRule="auto"/>
        <w:rPr>
          <w:sz w:val="20"/>
          <w:szCs w:val="20"/>
          <w:color w:val="auto"/>
        </w:rPr>
      </w:pPr>
      <w:r>
        <w:rPr>
          <w:rFonts w:ascii="Times New Roman" w:cs="Times New Roman" w:eastAsia="Times New Roman" w:hAnsi="Times New Roman"/>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ability of our board of directors to alter our bylaws without obtaining stockholder approval;</w:t>
      </w:r>
    </w:p>
    <w:p>
      <w:pPr>
        <w:spacing w:after="0" w:line="46" w:lineRule="exact"/>
        <w:rPr>
          <w:sz w:val="20"/>
          <w:szCs w:val="20"/>
          <w:color w:val="auto"/>
        </w:rPr>
      </w:pPr>
    </w:p>
    <w:p>
      <w:pPr>
        <w:ind w:left="60" w:hanging="50"/>
        <w:spacing w:after="0" w:line="195" w:lineRule="exact"/>
        <w:rPr>
          <w:sz w:val="20"/>
          <w:szCs w:val="20"/>
          <w:color w:val="auto"/>
        </w:rPr>
      </w:pPr>
      <w:r>
        <w:rPr>
          <w:rFonts w:ascii="Times New Roman" w:cs="Times New Roman" w:eastAsia="Times New Roman" w:hAnsi="Times New Roman"/>
          <w:sz w:val="17"/>
          <w:szCs w:val="17"/>
          <w:color w:val="auto"/>
        </w:rPr>
        <w:t>·the required approval of the holders of at least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thirds of the shares entitled to vote at an election of directors to adopt, amend or repeal our bylaws or repeal the provisions of our restated certificate of incorporation regarding the election and removal of directors;</w:t>
      </w:r>
    </w:p>
    <w:p>
      <w:pPr>
        <w:spacing w:after="0" w:line="49" w:lineRule="exact"/>
        <w:rPr>
          <w:sz w:val="20"/>
          <w:szCs w:val="20"/>
          <w:color w:val="auto"/>
        </w:rPr>
      </w:pPr>
    </w:p>
    <w:p>
      <w:pPr>
        <w:ind w:left="60" w:right="60" w:hanging="50"/>
        <w:spacing w:after="0" w:line="239" w:lineRule="auto"/>
        <w:rPr>
          <w:sz w:val="20"/>
          <w:szCs w:val="20"/>
          <w:color w:val="auto"/>
        </w:rPr>
      </w:pPr>
      <w:r>
        <w:rPr>
          <w:rFonts w:ascii="Times New Roman" w:cs="Times New Roman" w:eastAsia="Times New Roman" w:hAnsi="Times New Roman"/>
          <w:sz w:val="17"/>
          <w:szCs w:val="17"/>
          <w:color w:val="auto"/>
        </w:rPr>
        <w:t>·a prohibition on stockholder action by written consent, which forces stockholder action to be taken at an annual or special meeting of our stockholders;</w:t>
      </w:r>
    </w:p>
    <w:p>
      <w:pPr>
        <w:spacing w:after="0" w:line="48" w:lineRule="exact"/>
        <w:rPr>
          <w:sz w:val="20"/>
          <w:szCs w:val="20"/>
          <w:color w:val="auto"/>
        </w:rPr>
      </w:pPr>
    </w:p>
    <w:p>
      <w:pPr>
        <w:ind w:left="60" w:hanging="50"/>
        <w:spacing w:after="0" w:line="228" w:lineRule="auto"/>
        <w:rPr>
          <w:sz w:val="20"/>
          <w:szCs w:val="20"/>
          <w:color w:val="auto"/>
        </w:rPr>
      </w:pPr>
      <w:r>
        <w:rPr>
          <w:rFonts w:ascii="Times New Roman" w:cs="Times New Roman" w:eastAsia="Times New Roman" w:hAnsi="Times New Roman"/>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85" w:name="page86"/>
    <w:bookmarkEnd w:id="85"/>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60" w:right="40" w:hanging="50"/>
        <w:spacing w:after="0" w:line="228" w:lineRule="auto"/>
        <w:rPr>
          <w:sz w:val="20"/>
          <w:szCs w:val="20"/>
          <w:color w:val="auto"/>
        </w:rPr>
      </w:pPr>
      <w:r>
        <w:rPr>
          <w:rFonts w:ascii="Times New Roman" w:cs="Times New Roman" w:eastAsia="Times New Roman" w:hAnsi="Times New Roman"/>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356" w:lineRule="exact"/>
        <w:rPr>
          <w:sz w:val="20"/>
          <w:szCs w:val="20"/>
          <w:color w:val="auto"/>
        </w:rPr>
      </w:pPr>
    </w:p>
    <w:p>
      <w:pPr>
        <w:jc w:val="both"/>
        <w:ind w:right="100"/>
        <w:spacing w:after="0" w:line="222"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5"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5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7"/>
          <w:szCs w:val="17"/>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51" w:lineRule="exact"/>
        <w:rPr>
          <w:sz w:val="20"/>
          <w:szCs w:val="20"/>
          <w:color w:val="auto"/>
        </w:rPr>
      </w:pPr>
    </w:p>
    <w:p>
      <w:pPr>
        <w:ind w:right="20"/>
        <w:spacing w:after="0" w:line="172" w:lineRule="exact"/>
        <w:rPr>
          <w:sz w:val="20"/>
          <w:szCs w:val="20"/>
          <w:color w:val="auto"/>
        </w:rPr>
      </w:pPr>
      <w:r>
        <w:rPr>
          <w:rFonts w:ascii="Times New Roman" w:cs="Times New Roman" w:eastAsia="Times New Roman" w:hAnsi="Times New Roman"/>
          <w:sz w:val="17"/>
          <w:szCs w:val="17"/>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49"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Because we do not expect paying any cash dividends on our capital stock in the foreseeable future, capital appreciation, if any, will be your sole source of gain.</w:t>
      </w:r>
    </w:p>
    <w:p>
      <w:pPr>
        <w:spacing w:after="0" w:line="145"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be subject to securities class action litigation.</w:t>
      </w:r>
    </w:p>
    <w:p>
      <w:pPr>
        <w:spacing w:after="0" w:line="18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86" w:name="page87"/>
    <w:bookmarkEnd w:id="86"/>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Unregistered Sales of Equity Securities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On May 24, 2016, we issued 567,306 shares of common stock upon the automatic cashless exercise of common stock warrants to accredited investors pursuant to Section 4(a)(2) of the Securities Act and Rule 506 as a transaction not involving a public offering.</w:t>
      </w:r>
    </w:p>
    <w:p>
      <w:pPr>
        <w:spacing w:after="0" w:line="1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At various times between April 1, 2016 and June 30, 2016, we issued 22,646 shares of common stock upon the exercise of common stock options pursuant to Section 4(a)(2) of the Securities Act and Rule 506 as a transaction not involving a public offering.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 from the Sale of Registered Securities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On June 21, 2016, we completed the initial public offering of our common stock and issued and sold 5,000,000 shares of our common stock at a public offering price of $14.00 per share.</w:t>
      </w:r>
    </w:p>
    <w:p>
      <w:pPr>
        <w:spacing w:after="0" w:line="15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The offer and sale of all of the shares in the offering was registered under the Securities Act pursuant to a registration on Form S-1 (File No. 333-211555), as amended, which was declared effective by the Securities and Exchange Commission (the “SEC”) on June 21, 2016, and a registration statement on Form S-1MEF (File No. 333-212162), which was automatically effective upon filing with the SEC on June 21, 2016. UBS Securities LLC and Stifel Nicolaus &amp; Company, Incorporated acted as joint book-running managers for the offering, and Canaccord Genuity Inc. and Needham &amp; Company, LLC acted as co-managers. The offering closed on June 27, 2016. On July 21, 2016, the underwriters exercised in part their option to purchase additional shares pursuant to the underwriting agreement. On July 25, 2016, we closed the underwriters’ over-allotment option, and we sold 289,633 shares at a price to the public of $14.00 per share.</w:t>
      </w:r>
    </w:p>
    <w:p>
      <w:pPr>
        <w:spacing w:after="0" w:line="15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 a result of the offering, we received net proceeds of approximately $64.5 million, which is comprised of gross proceeds of approximately $74.1 million, offset by underwriting discounts and commissions of approximately $5.2 million and other offering expenses of approximately $4.4 million. No payments for any expenses were made directly or indirectly to (i) any of our officers or directors or their associates, (ii) any persons owning 10% or more of any class of our equity securities or (iii) any of our affiliates. The offering terminated before the sale of all the securities registered pursuant to the registration statement when the underwriters completed the exercise of the over-allotment option in part on July 21, 2016.</w:t>
      </w:r>
    </w:p>
    <w:p>
      <w:pPr>
        <w:spacing w:after="0" w:line="145"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21"/>
          <w:szCs w:val="21"/>
          <w:color w:val="auto"/>
        </w:rPr>
        <w:t>The net proceeds of approximately $64.5 million from our initial public offering have been invested in short-term, investment-grade, interest-bearing instruments and U.S. government securities. There has been no material change in the expected use of the net proceeds from our initial public offering as described in our final prospectus, dated June 21, 2016, filed with the SEC pursuant to Rule 424(b) relating to our Registration Statement on Form S-1.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ind w:right="160" w:firstLine="540"/>
        <w:spacing w:after="0" w:line="228" w:lineRule="auto"/>
        <w:rPr>
          <w:sz w:val="20"/>
          <w:szCs w:val="20"/>
          <w:color w:val="auto"/>
        </w:rPr>
      </w:pPr>
      <w:r>
        <w:rPr>
          <w:rFonts w:ascii="Times New Roman" w:cs="Times New Roman" w:eastAsia="Times New Roman" w:hAnsi="Times New Roman"/>
          <w:sz w:val="17"/>
          <w:szCs w:val="17"/>
          <w:color w:val="auto"/>
        </w:rPr>
        <w:t>The exhibits filed as part of this Quarterly Report on Form 10-Q are set forth on the Exhibit Index, which Exhibit Index is incorporated herein by reference.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87" w:name="page88"/>
    <w:bookmarkEnd w:id="87"/>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152" w:lineRule="exact"/>
        <w:rPr>
          <w:sz w:val="20"/>
          <w:szCs w:val="20"/>
          <w:color w:val="auto"/>
        </w:rPr>
      </w:pPr>
    </w:p>
    <w:p>
      <w:pPr>
        <w:ind w:firstLine="617"/>
        <w:spacing w:after="0" w:line="23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SELECTA BIOSCIENCES, INC.</w:t>
      </w:r>
    </w:p>
    <w:p>
      <w:pPr>
        <w:spacing w:after="0" w:line="139"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17"/>
          <w:szCs w:val="17"/>
          <w:color w:val="auto"/>
        </w:rPr>
        <w:t>Date: August 9, 2016</w:t>
      </w:r>
      <w:r>
        <w:rPr>
          <w:sz w:val="20"/>
          <w:szCs w:val="20"/>
          <w:color w:val="auto"/>
        </w:rPr>
        <w:tab/>
      </w:r>
      <w:r>
        <w:rPr>
          <w:rFonts w:ascii="Times New Roman" w:cs="Times New Roman" w:eastAsia="Times New Roman" w:hAnsi="Times New Roman"/>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635</wp:posOffset>
            </wp:positionV>
            <wp:extent cx="230314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03145" cy="16510"/>
                    </a:xfrm>
                    <a:prstGeom prst="rect">
                      <a:avLst/>
                    </a:prstGeom>
                    <a:noFill/>
                  </pic:spPr>
                </pic:pic>
              </a:graphicData>
            </a:graphic>
          </wp:anchor>
        </w:drawing>
      </w:r>
    </w:p>
    <w:p>
      <w:pPr>
        <w:jc w:val="center"/>
        <w:ind w:left="3640"/>
        <w:spacing w:after="0" w:line="224" w:lineRule="auto"/>
        <w:rPr>
          <w:sz w:val="20"/>
          <w:szCs w:val="20"/>
          <w:color w:val="auto"/>
        </w:rPr>
      </w:pPr>
      <w:r>
        <w:rPr>
          <w:rFonts w:ascii="Times New Roman" w:cs="Times New Roman" w:eastAsia="Times New Roman" w:hAnsi="Times New Roman"/>
          <w:sz w:val="17"/>
          <w:szCs w:val="17"/>
          <w:color w:val="auto"/>
        </w:rPr>
        <w:t>Werner Cautreels, Ph.D.</w:t>
      </w:r>
    </w:p>
    <w:p>
      <w:pPr>
        <w:jc w:val="center"/>
        <w:ind w:left="3640"/>
        <w:spacing w:after="0" w:line="205" w:lineRule="auto"/>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jc w:val="center"/>
        <w:ind w:left="3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12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7"/>
          <w:szCs w:val="17"/>
          <w:color w:val="auto"/>
        </w:rPr>
        <w:t>Date: August 9, 2016</w:t>
      </w:r>
      <w:r>
        <w:rPr>
          <w:sz w:val="20"/>
          <w:szCs w:val="20"/>
          <w:color w:val="auto"/>
        </w:rPr>
        <w:tab/>
      </w:r>
      <w:r>
        <w:rPr>
          <w:rFonts w:ascii="Times New Roman" w:cs="Times New Roman" w:eastAsia="Times New Roman" w:hAnsi="Times New Roman"/>
          <w:sz w:val="17"/>
          <w:szCs w:val="17"/>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635</wp:posOffset>
            </wp:positionV>
            <wp:extent cx="230314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03145" cy="16510"/>
                    </a:xfrm>
                    <a:prstGeom prst="rect">
                      <a:avLst/>
                    </a:prstGeom>
                    <a:noFill/>
                  </pic:spPr>
                </pic:pic>
              </a:graphicData>
            </a:graphic>
          </wp:anchor>
        </w:drawing>
      </w:r>
    </w:p>
    <w:p>
      <w:pPr>
        <w:jc w:val="center"/>
        <w:ind w:left="3640"/>
        <w:spacing w:after="0" w:line="224" w:lineRule="auto"/>
        <w:rPr>
          <w:sz w:val="20"/>
          <w:szCs w:val="20"/>
          <w:color w:val="auto"/>
        </w:rPr>
      </w:pPr>
      <w:r>
        <w:rPr>
          <w:rFonts w:ascii="Times New Roman" w:cs="Times New Roman" w:eastAsia="Times New Roman" w:hAnsi="Times New Roman"/>
          <w:sz w:val="17"/>
          <w:szCs w:val="17"/>
          <w:color w:val="auto"/>
        </w:rPr>
        <w:t>David Siewers</w:t>
      </w:r>
    </w:p>
    <w:p>
      <w:pPr>
        <w:jc w:val="center"/>
        <w:ind w:left="3640"/>
        <w:spacing w:after="0" w:line="205" w:lineRule="auto"/>
        <w:rPr>
          <w:sz w:val="20"/>
          <w:szCs w:val="20"/>
          <w:color w:val="auto"/>
        </w:rPr>
      </w:pPr>
      <w:r>
        <w:rPr>
          <w:rFonts w:ascii="Times New Roman" w:cs="Times New Roman" w:eastAsia="Times New Roman" w:hAnsi="Times New Roman"/>
          <w:sz w:val="17"/>
          <w:szCs w:val="17"/>
          <w:i w:val="1"/>
          <w:iCs w:val="1"/>
          <w:color w:val="auto"/>
        </w:rPr>
        <w:t>Chief Financial Officer</w:t>
      </w:r>
    </w:p>
    <w:p>
      <w:pPr>
        <w:jc w:val="center"/>
        <w:ind w:left="36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10" w:right="1419" w:bottom="1440" w:gutter="0" w:footer="0" w:header="0"/>
        </w:sectPr>
      </w:pPr>
    </w:p>
    <w:bookmarkStart w:id="88" w:name="page89"/>
    <w:bookmarkEnd w:id="88"/>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gridSpan w:val="2"/>
          </w:tcPr>
          <w:p>
            <w:pPr>
              <w:ind w:left="240"/>
              <w:spacing w:after="0" w:line="96" w:lineRule="exact"/>
              <w:rPr>
                <w:sz w:val="20"/>
                <w:szCs w:val="20"/>
                <w:color w:val="auto"/>
              </w:rPr>
            </w:pPr>
            <w:r>
              <w:rPr>
                <w:rFonts w:ascii="Times New Roman" w:cs="Times New Roman" w:eastAsia="Times New Roman" w:hAnsi="Times New Roman"/>
                <w:sz w:val="11"/>
                <w:szCs w:val="11"/>
                <w:b w:val="1"/>
                <w:bCs w:val="1"/>
                <w:color w:val="auto"/>
              </w:rPr>
              <w:t>Filing</w:t>
            </w:r>
          </w:p>
        </w:tc>
        <w:tc>
          <w:tcPr>
            <w:tcW w:w="1000" w:type="dxa"/>
            <w:vAlign w:val="bottom"/>
            <w:gridSpan w:val="2"/>
          </w:tcPr>
          <w:p>
            <w:pPr>
              <w:ind w:left="240"/>
              <w:spacing w:after="0" w:line="96" w:lineRule="exact"/>
              <w:rPr>
                <w:sz w:val="20"/>
                <w:szCs w:val="20"/>
                <w:color w:val="auto"/>
              </w:rPr>
            </w:pPr>
            <w:r>
              <w:rPr>
                <w:rFonts w:ascii="Times New Roman" w:cs="Times New Roman" w:eastAsia="Times New Roman" w:hAnsi="Times New Roman"/>
                <w:sz w:val="11"/>
                <w:szCs w:val="11"/>
                <w:b w:val="1"/>
                <w:bCs w:val="1"/>
                <w:color w:val="auto"/>
              </w:rPr>
              <w:t>Filed</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3.1</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Restated Certificate of Incorporation of</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8-K</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001-37798</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3.1</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6/29/16</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Selecta Biosciences, Inc.</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3.2</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Amended and Restated By-laws of Selecta</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8-K</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001-37798</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3.2</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6/29/16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Biosciences, Inc.</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2"/>
                <w:szCs w:val="22"/>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4.1</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Fifth Amended and Restated Investors'</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4.1</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Rights Agreement, dated as of August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26, 2015,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and each of the stockholders party</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thereto, as amended by Amendment No.</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1 to Fifth Amended and Restated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Investors' Rights Agreement, dated as of</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June 7, 2016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4.2</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Specimen Stock Certificate evidencing the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4.2</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5/24/16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shares of common stock</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4.3</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Form of Warrant to Purchase Common</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4.3</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5/24/16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Stock, dated July 24, 2015, issued by</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the Registrant to Investors in the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Registrant's April 2015 Convertible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Notes Financing, together with a</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schedule of warrantholders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4.4</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Form of Warrant to Purchase Common</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4.4</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5/24/16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Stock, dated August 27, 2015,</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September 3, 2015 or September 17,</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2015, issued by the Registrant to</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Investors in the Registrant's Series 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Preferred Stock Financing, together with</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schedule of warrantholders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4.5</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Form of Warrant to Purchase Shares of</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4.5</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5/24/16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Series D Preferred Stock, dated August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9, 2013 or July 25, 2014, issued by the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Registrant to Oxford Finance LLC and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Square One Bank, together with a</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schedule of warrantholders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4.6</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Form of Warrant to Purchase Shares of</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4.6</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5/24/16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Series E Preferred Stock, dated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December 31, 2015, issued by the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Registrant to Oxford Finance LLC and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Square One Bank, together with a</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schedule of warrantholders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10.1</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2016 Incentive Award Plan and forms of</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10.2</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award agreements thereunder</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10.2</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2016 Employee Stock Purchase Plan</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10.3</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9"/>
        </w:trPr>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88</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10" w:right="1399" w:bottom="1440" w:gutter="0" w:footer="0" w:header="0"/>
        </w:sectPr>
      </w:pPr>
    </w:p>
    <w:bookmarkStart w:id="89" w:name="page90"/>
    <w:bookmarkEnd w:id="89"/>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gridSpan w:val="2"/>
          </w:tcPr>
          <w:p>
            <w:pPr>
              <w:ind w:left="240"/>
              <w:spacing w:after="0" w:line="96" w:lineRule="exact"/>
              <w:rPr>
                <w:sz w:val="20"/>
                <w:szCs w:val="20"/>
                <w:color w:val="auto"/>
              </w:rPr>
            </w:pPr>
            <w:r>
              <w:rPr>
                <w:rFonts w:ascii="Times New Roman" w:cs="Times New Roman" w:eastAsia="Times New Roman" w:hAnsi="Times New Roman"/>
                <w:sz w:val="11"/>
                <w:szCs w:val="11"/>
                <w:b w:val="1"/>
                <w:bCs w:val="1"/>
                <w:color w:val="auto"/>
              </w:rPr>
              <w:t>Filing</w:t>
            </w:r>
          </w:p>
        </w:tc>
        <w:tc>
          <w:tcPr>
            <w:tcW w:w="1000" w:type="dxa"/>
            <w:vAlign w:val="bottom"/>
            <w:gridSpan w:val="2"/>
          </w:tcPr>
          <w:p>
            <w:pPr>
              <w:ind w:left="240"/>
              <w:spacing w:after="0" w:line="96" w:lineRule="exact"/>
              <w:rPr>
                <w:sz w:val="20"/>
                <w:szCs w:val="20"/>
                <w:color w:val="auto"/>
              </w:rPr>
            </w:pPr>
            <w:r>
              <w:rPr>
                <w:rFonts w:ascii="Times New Roman" w:cs="Times New Roman" w:eastAsia="Times New Roman" w:hAnsi="Times New Roman"/>
                <w:sz w:val="11"/>
                <w:szCs w:val="11"/>
                <w:b w:val="1"/>
                <w:bCs w:val="1"/>
                <w:color w:val="auto"/>
              </w:rPr>
              <w:t>Filed</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1140" w:type="dxa"/>
            <w:vAlign w:val="bottom"/>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10.3</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Non-Employee Director Compensation</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10.4</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Program</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10.4</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Form of Indemnification Agreement for</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10.5</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5/24/16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Directors and Officers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060" w:type="dxa"/>
            <w:vAlign w:val="bottom"/>
          </w:tcPr>
          <w:p>
            <w:pPr>
              <w:jc w:val="center"/>
              <w:ind w:left="37"/>
              <w:spacing w:after="0" w:line="189" w:lineRule="exact"/>
              <w:rPr>
                <w:sz w:val="20"/>
                <w:szCs w:val="20"/>
                <w:color w:val="auto"/>
              </w:rPr>
            </w:pPr>
            <w:r>
              <w:rPr>
                <w:rFonts w:ascii="Times New Roman" w:cs="Times New Roman" w:eastAsia="Times New Roman" w:hAnsi="Times New Roman"/>
                <w:sz w:val="17"/>
                <w:szCs w:val="17"/>
                <w:color w:val="auto"/>
              </w:rPr>
              <w:t>10.5</w:t>
            </w:r>
          </w:p>
        </w:tc>
        <w:tc>
          <w:tcPr>
            <w:tcW w:w="32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Exclusive License Agreement, dated as of</w:t>
            </w:r>
          </w:p>
        </w:tc>
        <w:tc>
          <w:tcPr>
            <w:tcW w:w="68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S-1</w:t>
            </w:r>
          </w:p>
        </w:tc>
        <w:tc>
          <w:tcPr>
            <w:tcW w:w="126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10.12</w:t>
            </w:r>
          </w:p>
        </w:tc>
        <w:tc>
          <w:tcPr>
            <w:tcW w:w="8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5/24/16</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May 17, 2016, by and among the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Registrant, the Massachusetts Eye and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Ear Infirmary and The Schepens Eye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Institute, Inc.</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060" w:type="dxa"/>
            <w:vAlign w:val="bottom"/>
          </w:tcPr>
          <w:p>
            <w:pPr>
              <w:jc w:val="center"/>
              <w:ind w:left="37"/>
              <w:spacing w:after="0" w:line="189" w:lineRule="exact"/>
              <w:rPr>
                <w:sz w:val="20"/>
                <w:szCs w:val="20"/>
                <w:color w:val="auto"/>
              </w:rPr>
            </w:pPr>
            <w:r>
              <w:rPr>
                <w:rFonts w:ascii="Times New Roman" w:cs="Times New Roman" w:eastAsia="Times New Roman" w:hAnsi="Times New Roman"/>
                <w:sz w:val="17"/>
                <w:szCs w:val="17"/>
                <w:color w:val="auto"/>
              </w:rPr>
              <w:t>10.6</w:t>
            </w:r>
          </w:p>
        </w:tc>
        <w:tc>
          <w:tcPr>
            <w:tcW w:w="32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Employment Agreement, dated as of June</w:t>
            </w:r>
          </w:p>
        </w:tc>
        <w:tc>
          <w:tcPr>
            <w:tcW w:w="68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10.17</w:t>
            </w:r>
          </w:p>
        </w:tc>
        <w:tc>
          <w:tcPr>
            <w:tcW w:w="8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6, 2016,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Werner Cautreels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10.7</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Employment Agreement, dated as of June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10.18</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6, 2016,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Takashi Kei Kishimoto</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10.8</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Employment Agreement, dated as of June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10.19</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6, 2016,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Peter Keller</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rPr>
              <w:t>10.9</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Employment Agreement, dated as of June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10.20</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6, 2016,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Earl E. Sands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9"/>
              </w:rPr>
              <w:t>10.10</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Employment Agreement, dated as of June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10.21</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6, 2016,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Lloyd P. M. Johnston, Ph.D.</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9"/>
              </w:rPr>
              <w:t>10.11</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Employment Agreement, dated as of June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10.22</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6, 2016,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David Abraham</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9"/>
              </w:rPr>
              <w:t>10.12</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Employment Agreement, dated as of June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10.23</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6, 2016, by and between the Registrant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David Siewers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9"/>
              </w:rPr>
              <w:t>10.13</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Independent Director Consulting</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S-1/A</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333-211555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10.24</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6/8/16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Agreement, dated as of May 5, 2009, as</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amended by the First Amendment to</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Independent Director Consulting</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Agreement, dated as of July 22, 2009,</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by and between the Registrant and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George R. Siber, M.D., as terminated by</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 letter, dated as of June 1, 2016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Rule 13a-14(a) / 15d-14(a) Certification of</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Chief Executive Officer</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8"/>
        </w:trPr>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89</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10" w:right="1399" w:bottom="1440" w:gutter="0" w:footer="0" w:header="0"/>
        </w:sectPr>
      </w:pPr>
    </w:p>
    <w:bookmarkStart w:id="90" w:name="page91"/>
    <w:bookmarkEnd w:id="90"/>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Incorporated by Reference</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460" w:type="dxa"/>
            <w:vAlign w:val="bottom"/>
          </w:tcPr>
          <w:p>
            <w:pPr>
              <w:spacing w:after="0"/>
              <w:rPr>
                <w:sz w:val="8"/>
                <w:szCs w:val="8"/>
                <w:color w:val="auto"/>
              </w:rPr>
            </w:pPr>
          </w:p>
        </w:tc>
        <w:tc>
          <w:tcPr>
            <w:tcW w:w="74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40" w:type="dxa"/>
            <w:vAlign w:val="bottom"/>
            <w:gridSpan w:val="2"/>
          </w:tcPr>
          <w:p>
            <w:pPr>
              <w:ind w:left="240"/>
              <w:spacing w:after="0" w:line="96" w:lineRule="exact"/>
              <w:rPr>
                <w:sz w:val="20"/>
                <w:szCs w:val="20"/>
                <w:color w:val="auto"/>
              </w:rPr>
            </w:pPr>
            <w:r>
              <w:rPr>
                <w:rFonts w:ascii="Times New Roman" w:cs="Times New Roman" w:eastAsia="Times New Roman" w:hAnsi="Times New Roman"/>
                <w:sz w:val="11"/>
                <w:szCs w:val="11"/>
                <w:b w:val="1"/>
                <w:bCs w:val="1"/>
                <w:color w:val="auto"/>
              </w:rPr>
              <w:t>Filing</w:t>
            </w:r>
          </w:p>
        </w:tc>
        <w:tc>
          <w:tcPr>
            <w:tcW w:w="1000" w:type="dxa"/>
            <w:vAlign w:val="bottom"/>
            <w:gridSpan w:val="2"/>
          </w:tcPr>
          <w:p>
            <w:pPr>
              <w:ind w:left="240"/>
              <w:spacing w:after="0" w:line="96" w:lineRule="exact"/>
              <w:rPr>
                <w:sz w:val="20"/>
                <w:szCs w:val="20"/>
                <w:color w:val="auto"/>
              </w:rPr>
            </w:pPr>
            <w:r>
              <w:rPr>
                <w:rFonts w:ascii="Times New Roman" w:cs="Times New Roman" w:eastAsia="Times New Roman" w:hAnsi="Times New Roman"/>
                <w:sz w:val="11"/>
                <w:szCs w:val="11"/>
                <w:b w:val="1"/>
                <w:bCs w:val="1"/>
                <w:color w:val="auto"/>
              </w:rPr>
              <w:t>Filed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8"/>
              <w:spacing w:after="0" w:line="134" w:lineRule="exact"/>
              <w:rPr>
                <w:sz w:val="20"/>
                <w:szCs w:val="20"/>
                <w:color w:val="auto"/>
              </w:rPr>
            </w:pPr>
            <w:r>
              <w:rPr>
                <w:rFonts w:ascii="Times New Roman" w:cs="Times New Roman" w:eastAsia="Times New Roman" w:hAnsi="Times New Roman"/>
                <w:sz w:val="15"/>
                <w:szCs w:val="15"/>
                <w:color w:val="auto"/>
              </w:rPr>
              <w:t>31.2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5"/>
                <w:szCs w:val="15"/>
                <w:color w:val="auto"/>
              </w:rPr>
              <w:t>Rule 13a-14(a) / 15d-14(a) Certification of</w:t>
            </w:r>
          </w:p>
        </w:tc>
        <w:tc>
          <w:tcPr>
            <w:tcW w:w="2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Chief Financial Officer</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center"/>
              <w:ind w:right="18"/>
              <w:spacing w:after="0"/>
              <w:rPr>
                <w:sz w:val="20"/>
                <w:szCs w:val="20"/>
                <w:color w:val="auto"/>
              </w:rPr>
            </w:pPr>
            <w:r>
              <w:rPr>
                <w:rFonts w:ascii="Times New Roman" w:cs="Times New Roman" w:eastAsia="Times New Roman" w:hAnsi="Times New Roman"/>
                <w:sz w:val="17"/>
                <w:szCs w:val="17"/>
                <w:color w:val="auto"/>
              </w:rPr>
              <w:t>32.1</w:t>
            </w:r>
          </w:p>
        </w:tc>
        <w:tc>
          <w:tcPr>
            <w:tcW w:w="180" w:type="dxa"/>
            <w:vAlign w:val="bottom"/>
          </w:tcPr>
          <w:p>
            <w:pPr>
              <w:spacing w:after="0"/>
              <w:rPr>
                <w:sz w:val="22"/>
                <w:szCs w:val="22"/>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Section 1350 Certification of Chief</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Executive Officer</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18"/>
              <w:spacing w:after="0"/>
              <w:rPr>
                <w:sz w:val="20"/>
                <w:szCs w:val="20"/>
                <w:color w:val="auto"/>
              </w:rPr>
            </w:pPr>
            <w:r>
              <w:rPr>
                <w:rFonts w:ascii="Times New Roman" w:cs="Times New Roman" w:eastAsia="Times New Roman" w:hAnsi="Times New Roman"/>
                <w:sz w:val="17"/>
                <w:szCs w:val="17"/>
                <w:color w:val="auto"/>
              </w:rPr>
              <w:t>32.2</w:t>
            </w:r>
          </w:p>
        </w:tc>
        <w:tc>
          <w:tcPr>
            <w:tcW w:w="180" w:type="dxa"/>
            <w:vAlign w:val="bottom"/>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Section 1350 Certification of Chief</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Financial Officer</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101.INS</w:t>
            </w: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XBRL Instance Document</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2"/>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101.SCH</w:t>
            </w: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Document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7"/>
                <w:szCs w:val="17"/>
                <w:color w:val="auto"/>
              </w:rPr>
              <w:t>101.CAL</w:t>
            </w:r>
          </w:p>
        </w:tc>
        <w:tc>
          <w:tcPr>
            <w:tcW w:w="306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7"/>
                <w:szCs w:val="17"/>
                <w:color w:val="auto"/>
              </w:rPr>
              <w:t>XBRL Taxonomy Extension Calculation</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gridSpan w:val="3"/>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Linkbase Document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101.DEF</w:t>
            </w: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XBRL Taxonomy Extension Definition</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Linkbase Document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101.LAB</w:t>
            </w: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XBRL Taxonomy Extension Label</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Linkbase Document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101.PRE</w:t>
            </w: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XBRL Taxonomy Extension Presentation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Linkbase Document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Filed herewith.</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4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Furnished herewith.</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766435"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39"/>
          </w:cols>
          <w:pgMar w:left="1420" w:top="110" w:right="1440" w:bottom="1440" w:gutter="0" w:footer="0" w:header="0"/>
        </w:sectPr>
      </w:pPr>
    </w:p>
    <w:bookmarkStart w:id="91" w:name="page92"/>
    <w:bookmarkEnd w:id="91"/>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Werner Cautreels, certify that: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 I have reviewed this Quarterly Report on Form 10-Q of Selecta Biosciences, Inc.;</w:t>
      </w:r>
    </w:p>
    <w:p>
      <w:pPr>
        <w:spacing w:after="0" w:line="216" w:lineRule="exact"/>
        <w:rPr>
          <w:sz w:val="20"/>
          <w:szCs w:val="20"/>
          <w:color w:val="auto"/>
        </w:rPr>
      </w:pPr>
    </w:p>
    <w:p>
      <w:pPr>
        <w:ind w:left="440" w:right="20" w:hanging="128"/>
        <w:spacing w:after="0" w:line="269" w:lineRule="auto"/>
        <w:rPr>
          <w:sz w:val="20"/>
          <w:szCs w:val="20"/>
          <w:color w:val="auto"/>
        </w:rPr>
      </w:pPr>
      <w:r>
        <w:rPr>
          <w:rFonts w:ascii="Times New Roman" w:cs="Times New Roman" w:eastAsia="Times New Roman" w:hAnsi="Times New Roman"/>
          <w:sz w:val="17"/>
          <w:szCs w:val="17"/>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ind w:left="440" w:right="80" w:hanging="128"/>
        <w:spacing w:after="0" w:line="269" w:lineRule="auto"/>
        <w:rPr>
          <w:sz w:val="20"/>
          <w:szCs w:val="20"/>
          <w:color w:val="auto"/>
        </w:rPr>
      </w:pPr>
      <w:r>
        <w:rPr>
          <w:rFonts w:ascii="Times New Roman" w:cs="Times New Roman" w:eastAsia="Times New Roman" w:hAnsi="Times New Roman"/>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ind w:left="440" w:right="440" w:hanging="128"/>
        <w:spacing w:after="0" w:line="286" w:lineRule="auto"/>
        <w:rPr>
          <w:sz w:val="20"/>
          <w:szCs w:val="20"/>
          <w:color w:val="auto"/>
        </w:rPr>
      </w:pPr>
      <w:r>
        <w:rPr>
          <w:rFonts w:ascii="Times New Roman" w:cs="Times New Roman" w:eastAsia="Times New Roman" w:hAnsi="Times New Roman"/>
          <w:sz w:val="17"/>
          <w:szCs w:val="17"/>
          <w:color w:val="auto"/>
        </w:rPr>
        <w:t>4.The registrant’s other certifying officer(s) and I are responsible for establishing and maintaining disclosure controls and procedures (as defined in Exchange Act Rules 13a-15(e) and 15d-15(e)) for the registrant and have:</w:t>
      </w:r>
    </w:p>
    <w:p>
      <w:pPr>
        <w:spacing w:after="0" w:line="152" w:lineRule="exact"/>
        <w:rPr>
          <w:sz w:val="20"/>
          <w:szCs w:val="20"/>
          <w:color w:val="auto"/>
        </w:rPr>
      </w:pPr>
    </w:p>
    <w:p>
      <w:pPr>
        <w:ind w:left="1380" w:right="120" w:hanging="141"/>
        <w:spacing w:after="0" w:line="263" w:lineRule="auto"/>
        <w:rPr>
          <w:sz w:val="20"/>
          <w:szCs w:val="20"/>
          <w:color w:val="auto"/>
        </w:rPr>
      </w:pPr>
      <w:r>
        <w:rPr>
          <w:rFonts w:ascii="Times New Roman" w:cs="Times New Roman" w:eastAsia="Times New Roman" w:hAnsi="Times New Roman"/>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sz w:val="20"/>
          <w:szCs w:val="20"/>
          <w:color w:val="auto"/>
        </w:rPr>
      </w:pPr>
    </w:p>
    <w:p>
      <w:pPr>
        <w:ind w:left="2640" w:hanging="1407"/>
        <w:spacing w:after="0"/>
        <w:tabs>
          <w:tab w:leader="none" w:pos="2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[omitted];</w:t>
      </w:r>
    </w:p>
    <w:p>
      <w:pPr>
        <w:spacing w:after="0" w:line="216" w:lineRule="exact"/>
        <w:rPr>
          <w:sz w:val="20"/>
          <w:szCs w:val="20"/>
          <w:color w:val="auto"/>
        </w:rPr>
      </w:pPr>
    </w:p>
    <w:p>
      <w:pPr>
        <w:jc w:val="both"/>
        <w:ind w:left="1380" w:right="260" w:hanging="141"/>
        <w:spacing w:after="0" w:line="269" w:lineRule="auto"/>
        <w:rPr>
          <w:sz w:val="20"/>
          <w:szCs w:val="20"/>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sz w:val="20"/>
          <w:szCs w:val="20"/>
          <w:color w:val="auto"/>
        </w:rPr>
      </w:pPr>
    </w:p>
    <w:p>
      <w:pPr>
        <w:ind w:left="1380" w:right="180" w:hanging="153"/>
        <w:spacing w:after="0" w:line="263" w:lineRule="auto"/>
        <w:rPr>
          <w:sz w:val="20"/>
          <w:szCs w:val="20"/>
          <w:color w:val="auto"/>
        </w:rPr>
      </w:pPr>
      <w:r>
        <w:rPr>
          <w:rFonts w:ascii="Times New Roman" w:cs="Times New Roman" w:eastAsia="Times New Roman" w:hAnsi="Times New Roman"/>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sz w:val="20"/>
          <w:szCs w:val="20"/>
          <w:color w:val="auto"/>
        </w:rPr>
      </w:pPr>
    </w:p>
    <w:p>
      <w:pPr>
        <w:ind w:left="440" w:right="160" w:hanging="128"/>
        <w:spacing w:after="0" w:line="228" w:lineRule="auto"/>
        <w:rPr>
          <w:sz w:val="20"/>
          <w:szCs w:val="20"/>
          <w:color w:val="auto"/>
        </w:rPr>
      </w:pPr>
      <w:r>
        <w:rPr>
          <w:rFonts w:ascii="Times New Roman" w:cs="Times New Roman" w:eastAsia="Times New Roman" w:hAnsi="Times New Roman"/>
          <w:sz w:val="17"/>
          <w:szCs w:val="17"/>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380" w:right="60" w:hanging="141"/>
        <w:spacing w:after="0" w:line="269" w:lineRule="auto"/>
        <w:rPr>
          <w:sz w:val="20"/>
          <w:szCs w:val="20"/>
          <w:color w:val="auto"/>
        </w:rPr>
      </w:pPr>
      <w:r>
        <w:rPr>
          <w:rFonts w:ascii="Times New Roman" w:cs="Times New Roman" w:eastAsia="Times New Roman" w:hAnsi="Times New Roman"/>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sz w:val="20"/>
          <w:szCs w:val="20"/>
          <w:color w:val="auto"/>
        </w:rPr>
      </w:pPr>
    </w:p>
    <w:p>
      <w:pPr>
        <w:ind w:left="1380" w:right="160" w:hanging="153"/>
        <w:spacing w:after="0" w:line="286" w:lineRule="auto"/>
        <w:rPr>
          <w:sz w:val="20"/>
          <w:szCs w:val="20"/>
          <w:color w:val="auto"/>
        </w:rPr>
      </w:pPr>
      <w:r>
        <w:rPr>
          <w:rFonts w:ascii="Times New Roman" w:cs="Times New Roman" w:eastAsia="Times New Roman" w:hAnsi="Times New Roman"/>
          <w:sz w:val="17"/>
          <w:szCs w:val="17"/>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August 9, 2016</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Werner Cautreels, Ph.D.</w:t>
            </w:r>
          </w:p>
        </w:tc>
        <w:tc>
          <w:tcPr>
            <w:tcW w:w="20" w:type="dxa"/>
            <w:vAlign w:val="bottom"/>
          </w:tcPr>
          <w:p>
            <w:pPr>
              <w:spacing w:after="0"/>
              <w:rPr>
                <w:sz w:val="17"/>
                <w:szCs w:val="17"/>
                <w:color w:val="auto"/>
              </w:rPr>
            </w:pPr>
          </w:p>
        </w:tc>
      </w:tr>
      <w:tr>
        <w:trPr>
          <w:trHeight w:val="134"/>
        </w:trPr>
        <w:tc>
          <w:tcPr>
            <w:tcW w:w="5040" w:type="dxa"/>
            <w:vAlign w:val="bottom"/>
          </w:tcPr>
          <w:p>
            <w:pPr>
              <w:spacing w:after="0"/>
              <w:rPr>
                <w:sz w:val="11"/>
                <w:szCs w:val="11"/>
                <w:color w:val="auto"/>
              </w:rPr>
            </w:pPr>
          </w:p>
        </w:tc>
        <w:tc>
          <w:tcPr>
            <w:tcW w:w="402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Werner Cautreels, Ph.D.</w:t>
            </w:r>
          </w:p>
        </w:tc>
        <w:tc>
          <w:tcPr>
            <w:tcW w:w="20" w:type="dxa"/>
            <w:vAlign w:val="bottom"/>
          </w:tcPr>
          <w:p>
            <w:pPr>
              <w:spacing w:after="0"/>
              <w:rPr>
                <w:sz w:val="11"/>
                <w:szCs w:val="11"/>
                <w:color w:val="auto"/>
              </w:rPr>
            </w:pPr>
          </w:p>
        </w:tc>
      </w:tr>
      <w:tr>
        <w:trPr>
          <w:trHeight w:val="223"/>
        </w:trPr>
        <w:tc>
          <w:tcPr>
            <w:tcW w:w="50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20" w:type="dxa"/>
            <w:vAlign w:val="bottom"/>
          </w:tcPr>
          <w:p>
            <w:pPr>
              <w:spacing w:after="0"/>
              <w:rPr>
                <w:sz w:val="19"/>
                <w:szCs w:val="19"/>
                <w:color w:val="auto"/>
              </w:rPr>
            </w:pPr>
          </w:p>
        </w:tc>
      </w:tr>
      <w:tr>
        <w:trPr>
          <w:trHeight w:val="362"/>
        </w:trPr>
        <w:tc>
          <w:tcPr>
            <w:tcW w:w="50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05" w:right="1399" w:bottom="1440" w:gutter="0" w:footer="0" w:header="0"/>
        </w:sectPr>
      </w:pPr>
    </w:p>
    <w:bookmarkStart w:id="92" w:name="page93"/>
    <w:bookmarkEnd w:id="92"/>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Siewers, certify that: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 I have reviewed this Quarterly Report on Form 10-Q of Selecta Biosciences, Inc.;</w:t>
      </w:r>
    </w:p>
    <w:p>
      <w:pPr>
        <w:spacing w:after="0" w:line="216" w:lineRule="exact"/>
        <w:rPr>
          <w:sz w:val="20"/>
          <w:szCs w:val="20"/>
          <w:color w:val="auto"/>
        </w:rPr>
      </w:pPr>
    </w:p>
    <w:p>
      <w:pPr>
        <w:ind w:left="440" w:right="20" w:hanging="128"/>
        <w:spacing w:after="0" w:line="269" w:lineRule="auto"/>
        <w:rPr>
          <w:sz w:val="20"/>
          <w:szCs w:val="20"/>
          <w:color w:val="auto"/>
        </w:rPr>
      </w:pPr>
      <w:r>
        <w:rPr>
          <w:rFonts w:ascii="Times New Roman" w:cs="Times New Roman" w:eastAsia="Times New Roman" w:hAnsi="Times New Roman"/>
          <w:sz w:val="17"/>
          <w:szCs w:val="17"/>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ind w:left="440" w:right="80" w:hanging="128"/>
        <w:spacing w:after="0" w:line="269" w:lineRule="auto"/>
        <w:rPr>
          <w:sz w:val="20"/>
          <w:szCs w:val="20"/>
          <w:color w:val="auto"/>
        </w:rPr>
      </w:pPr>
      <w:r>
        <w:rPr>
          <w:rFonts w:ascii="Times New Roman" w:cs="Times New Roman" w:eastAsia="Times New Roman" w:hAnsi="Times New Roman"/>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ind w:left="440" w:right="440" w:hanging="128"/>
        <w:spacing w:after="0" w:line="286" w:lineRule="auto"/>
        <w:rPr>
          <w:sz w:val="20"/>
          <w:szCs w:val="20"/>
          <w:color w:val="auto"/>
        </w:rPr>
      </w:pPr>
      <w:r>
        <w:rPr>
          <w:rFonts w:ascii="Times New Roman" w:cs="Times New Roman" w:eastAsia="Times New Roman" w:hAnsi="Times New Roman"/>
          <w:sz w:val="17"/>
          <w:szCs w:val="17"/>
          <w:color w:val="auto"/>
        </w:rPr>
        <w:t>4.The registrant’s other certifying officer(s) and I are responsible for establishing and maintaining disclosure controls and procedures (as defined in Exchange Act Rules 13a-15(e) and 15d-15(e)) for the registrant and have:</w:t>
      </w:r>
    </w:p>
    <w:p>
      <w:pPr>
        <w:spacing w:after="0" w:line="152" w:lineRule="exact"/>
        <w:rPr>
          <w:sz w:val="20"/>
          <w:szCs w:val="20"/>
          <w:color w:val="auto"/>
        </w:rPr>
      </w:pPr>
    </w:p>
    <w:p>
      <w:pPr>
        <w:ind w:left="1380" w:right="120" w:hanging="141"/>
        <w:spacing w:after="0" w:line="263" w:lineRule="auto"/>
        <w:rPr>
          <w:sz w:val="20"/>
          <w:szCs w:val="20"/>
          <w:color w:val="auto"/>
        </w:rPr>
      </w:pPr>
      <w:r>
        <w:rPr>
          <w:rFonts w:ascii="Times New Roman" w:cs="Times New Roman" w:eastAsia="Times New Roman" w:hAnsi="Times New Roman"/>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sz w:val="20"/>
          <w:szCs w:val="20"/>
          <w:color w:val="auto"/>
        </w:rPr>
      </w:pPr>
    </w:p>
    <w:p>
      <w:pPr>
        <w:ind w:left="2640" w:hanging="1407"/>
        <w:spacing w:after="0"/>
        <w:tabs>
          <w:tab w:leader="none" w:pos="2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[omitted];</w:t>
      </w:r>
    </w:p>
    <w:p>
      <w:pPr>
        <w:spacing w:after="0" w:line="216" w:lineRule="exact"/>
        <w:rPr>
          <w:sz w:val="20"/>
          <w:szCs w:val="20"/>
          <w:color w:val="auto"/>
        </w:rPr>
      </w:pPr>
    </w:p>
    <w:p>
      <w:pPr>
        <w:jc w:val="both"/>
        <w:ind w:left="1380" w:right="260" w:hanging="141"/>
        <w:spacing w:after="0" w:line="269" w:lineRule="auto"/>
        <w:rPr>
          <w:sz w:val="20"/>
          <w:szCs w:val="20"/>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sz w:val="20"/>
          <w:szCs w:val="20"/>
          <w:color w:val="auto"/>
        </w:rPr>
      </w:pPr>
    </w:p>
    <w:p>
      <w:pPr>
        <w:ind w:left="1380" w:right="180" w:hanging="153"/>
        <w:spacing w:after="0" w:line="263" w:lineRule="auto"/>
        <w:rPr>
          <w:sz w:val="20"/>
          <w:szCs w:val="20"/>
          <w:color w:val="auto"/>
        </w:rPr>
      </w:pPr>
      <w:r>
        <w:rPr>
          <w:rFonts w:ascii="Times New Roman" w:cs="Times New Roman" w:eastAsia="Times New Roman" w:hAnsi="Times New Roman"/>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sz w:val="20"/>
          <w:szCs w:val="20"/>
          <w:color w:val="auto"/>
        </w:rPr>
      </w:pPr>
    </w:p>
    <w:p>
      <w:pPr>
        <w:ind w:left="440" w:right="160" w:hanging="128"/>
        <w:spacing w:after="0" w:line="228" w:lineRule="auto"/>
        <w:rPr>
          <w:sz w:val="20"/>
          <w:szCs w:val="20"/>
          <w:color w:val="auto"/>
        </w:rPr>
      </w:pPr>
      <w:r>
        <w:rPr>
          <w:rFonts w:ascii="Times New Roman" w:cs="Times New Roman" w:eastAsia="Times New Roman" w:hAnsi="Times New Roman"/>
          <w:sz w:val="17"/>
          <w:szCs w:val="17"/>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380" w:right="60" w:hanging="141"/>
        <w:spacing w:after="0" w:line="269" w:lineRule="auto"/>
        <w:rPr>
          <w:sz w:val="20"/>
          <w:szCs w:val="20"/>
          <w:color w:val="auto"/>
        </w:rPr>
      </w:pPr>
      <w:r>
        <w:rPr>
          <w:rFonts w:ascii="Times New Roman" w:cs="Times New Roman" w:eastAsia="Times New Roman" w:hAnsi="Times New Roman"/>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sz w:val="20"/>
          <w:szCs w:val="20"/>
          <w:color w:val="auto"/>
        </w:rPr>
      </w:pPr>
    </w:p>
    <w:p>
      <w:pPr>
        <w:ind w:left="1380" w:right="160" w:hanging="153"/>
        <w:spacing w:after="0" w:line="286" w:lineRule="auto"/>
        <w:rPr>
          <w:sz w:val="20"/>
          <w:szCs w:val="20"/>
          <w:color w:val="auto"/>
        </w:rPr>
      </w:pPr>
      <w:r>
        <w:rPr>
          <w:rFonts w:ascii="Times New Roman" w:cs="Times New Roman" w:eastAsia="Times New Roman" w:hAnsi="Times New Roman"/>
          <w:sz w:val="17"/>
          <w:szCs w:val="17"/>
          <w:color w:val="auto"/>
        </w:rPr>
        <w:t>b)Any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9"/>
                <w:szCs w:val="19"/>
                <w:color w:val="auto"/>
              </w:rPr>
              <w:t>August 9, 2016</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David Siewers</w:t>
            </w:r>
          </w:p>
        </w:tc>
        <w:tc>
          <w:tcPr>
            <w:tcW w:w="20" w:type="dxa"/>
            <w:vAlign w:val="bottom"/>
          </w:tcPr>
          <w:p>
            <w:pPr>
              <w:spacing w:after="0"/>
              <w:rPr>
                <w:sz w:val="19"/>
                <w:szCs w:val="19"/>
                <w:color w:val="auto"/>
              </w:rPr>
            </w:pPr>
          </w:p>
        </w:tc>
      </w:tr>
      <w:tr>
        <w:trPr>
          <w:trHeight w:val="134"/>
        </w:trPr>
        <w:tc>
          <w:tcPr>
            <w:tcW w:w="5040" w:type="dxa"/>
            <w:vAlign w:val="bottom"/>
          </w:tcPr>
          <w:p>
            <w:pPr>
              <w:spacing w:after="0"/>
              <w:rPr>
                <w:sz w:val="11"/>
                <w:szCs w:val="11"/>
                <w:color w:val="auto"/>
              </w:rPr>
            </w:pPr>
          </w:p>
        </w:tc>
        <w:tc>
          <w:tcPr>
            <w:tcW w:w="402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David Siewers</w:t>
            </w:r>
          </w:p>
        </w:tc>
        <w:tc>
          <w:tcPr>
            <w:tcW w:w="20" w:type="dxa"/>
            <w:vAlign w:val="bottom"/>
          </w:tcPr>
          <w:p>
            <w:pPr>
              <w:spacing w:after="0"/>
              <w:rPr>
                <w:sz w:val="11"/>
                <w:szCs w:val="11"/>
                <w:color w:val="auto"/>
              </w:rPr>
            </w:pPr>
          </w:p>
        </w:tc>
      </w:tr>
      <w:tr>
        <w:trPr>
          <w:trHeight w:val="223"/>
        </w:trPr>
        <w:tc>
          <w:tcPr>
            <w:tcW w:w="50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20" w:type="dxa"/>
            <w:vAlign w:val="bottom"/>
          </w:tcPr>
          <w:p>
            <w:pPr>
              <w:spacing w:after="0"/>
              <w:rPr>
                <w:sz w:val="19"/>
                <w:szCs w:val="19"/>
                <w:color w:val="auto"/>
              </w:rPr>
            </w:pPr>
          </w:p>
        </w:tc>
      </w:tr>
      <w:tr>
        <w:trPr>
          <w:trHeight w:val="761"/>
        </w:trPr>
        <w:tc>
          <w:tcPr>
            <w:tcW w:w="50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05" w:right="13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jc w:val="center"/>
        <w:ind w:right="40"/>
        <w:spacing w:after="0" w:line="205" w:lineRule="auto"/>
        <w:rPr>
          <w:sz w:val="20"/>
          <w:szCs w:val="20"/>
          <w:color w:val="auto"/>
        </w:rPr>
      </w:pPr>
      <w:r>
        <w:rPr>
          <w:rFonts w:ascii="Times New Roman" w:cs="Times New Roman" w:eastAsia="Times New Roman" w:hAnsi="Times New Roman"/>
          <w:sz w:val="17"/>
          <w:szCs w:val="17"/>
          <w:b w:val="1"/>
          <w:bCs w:val="1"/>
          <w:color w:val="auto"/>
        </w:rPr>
        <w:t>18 U.S.C. SECTION 1350,</w:t>
      </w:r>
    </w:p>
    <w:p>
      <w:pPr>
        <w:jc w:val="center"/>
        <w:ind w:right="40"/>
        <w:spacing w:after="0" w:line="205"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 Werner Cautreels, President and Chief Executive Officer of Selecta Biosciences, Inc. (the “Company”), hereby certify, pursuant to 18 U.S.C. §1350, as adopted pursuant to §906 of the Sarbanes-Oxley Act of 2002, that, to the best of my knowledge:</w:t>
      </w:r>
    </w:p>
    <w:p>
      <w:pPr>
        <w:spacing w:after="0" w:line="164" w:lineRule="exact"/>
        <w:rPr>
          <w:sz w:val="20"/>
          <w:szCs w:val="20"/>
          <w:color w:val="auto"/>
        </w:rPr>
      </w:pPr>
    </w:p>
    <w:p>
      <w:pPr>
        <w:ind w:left="820" w:right="100" w:hanging="205"/>
        <w:spacing w:after="0" w:line="286" w:lineRule="auto"/>
        <w:rPr>
          <w:sz w:val="20"/>
          <w:szCs w:val="20"/>
          <w:color w:val="auto"/>
        </w:rPr>
      </w:pPr>
      <w:r>
        <w:rPr>
          <w:rFonts w:ascii="Times New Roman" w:cs="Times New Roman" w:eastAsia="Times New Roman" w:hAnsi="Times New Roman"/>
          <w:sz w:val="17"/>
          <w:szCs w:val="17"/>
          <w:color w:val="auto"/>
        </w:rPr>
        <w:t>(1)The Quarterly Report on Form 10-Q of the Company for the period ended June 30, 2016 (the “Report”) fully complies with the requirements of Section 13(a) or 15(d) of the Securities Exchange Act of 1934, as amended; and</w:t>
      </w:r>
    </w:p>
    <w:p>
      <w:pPr>
        <w:spacing w:after="0" w:line="152" w:lineRule="exact"/>
        <w:rPr>
          <w:sz w:val="20"/>
          <w:szCs w:val="20"/>
          <w:color w:val="auto"/>
        </w:rPr>
      </w:pPr>
    </w:p>
    <w:p>
      <w:pPr>
        <w:ind w:left="820" w:right="220" w:hanging="205"/>
        <w:spacing w:after="0" w:line="286" w:lineRule="auto"/>
        <w:rPr>
          <w:sz w:val="20"/>
          <w:szCs w:val="20"/>
          <w:color w:val="auto"/>
        </w:rPr>
      </w:pPr>
      <w:r>
        <w:rPr>
          <w:rFonts w:ascii="Times New Roman" w:cs="Times New Roman" w:eastAsia="Times New Roman" w:hAnsi="Times New Roman"/>
          <w:sz w:val="17"/>
          <w:szCs w:val="17"/>
          <w:color w:val="auto"/>
        </w:rPr>
        <w:t>(2)The information contained in the Report fairly presents, in all material respects, the financial condition and results of operations of the Company.</w:t>
      </w:r>
    </w:p>
    <w:p>
      <w:pPr>
        <w:spacing w:after="0" w:line="152"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7"/>
          <w:szCs w:val="17"/>
          <w:color w:val="auto"/>
        </w:rPr>
        <w:t>August 9, 2016</w:t>
      </w:r>
      <w:r>
        <w:rPr>
          <w:sz w:val="20"/>
          <w:szCs w:val="20"/>
          <w:color w:val="auto"/>
        </w:rPr>
        <w:tab/>
      </w:r>
      <w:r>
        <w:rPr>
          <w:rFonts w:ascii="Times New Roman" w:cs="Times New Roman" w:eastAsia="Times New Roman" w:hAnsi="Times New Roman"/>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8890</wp:posOffset>
            </wp:positionV>
            <wp:extent cx="254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5060"/>
        <w:spacing w:after="0" w:line="224" w:lineRule="auto"/>
        <w:rPr>
          <w:sz w:val="20"/>
          <w:szCs w:val="20"/>
          <w:color w:val="auto"/>
        </w:rPr>
      </w:pPr>
      <w:r>
        <w:rPr>
          <w:rFonts w:ascii="Times New Roman" w:cs="Times New Roman" w:eastAsia="Times New Roman" w:hAnsi="Times New Roman"/>
          <w:sz w:val="17"/>
          <w:szCs w:val="17"/>
          <w:color w:val="auto"/>
        </w:rPr>
        <w:t>Werner Cautreels, Ph.D.</w:t>
      </w:r>
    </w:p>
    <w:p>
      <w:pPr>
        <w:ind w:left="50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5766435"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p>
      <w:pPr>
        <w:sectPr>
          <w:pgSz w:w="11900" w:h="16838" w:orient="portrait"/>
          <w:cols w:equalWidth="0" w:num="1">
            <w:col w:w="9060"/>
          </w:cols>
          <w:pgMar w:left="1420" w:top="105" w:right="14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jc w:val="center"/>
        <w:ind w:right="40"/>
        <w:spacing w:after="0" w:line="205" w:lineRule="auto"/>
        <w:rPr>
          <w:sz w:val="20"/>
          <w:szCs w:val="20"/>
          <w:color w:val="auto"/>
        </w:rPr>
      </w:pPr>
      <w:r>
        <w:rPr>
          <w:rFonts w:ascii="Times New Roman" w:cs="Times New Roman" w:eastAsia="Times New Roman" w:hAnsi="Times New Roman"/>
          <w:sz w:val="17"/>
          <w:szCs w:val="17"/>
          <w:b w:val="1"/>
          <w:bCs w:val="1"/>
          <w:color w:val="auto"/>
        </w:rPr>
        <w:t>18 U.S.C. SECTION 1350,</w:t>
      </w:r>
    </w:p>
    <w:p>
      <w:pPr>
        <w:jc w:val="center"/>
        <w:ind w:right="40"/>
        <w:spacing w:after="0" w:line="205"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Siewers, Chief Financial Officer of Selecta Biosciences, Inc. (the “Company”), hereby certify, pursuant to 18 U.S.C.</w:t>
      </w:r>
    </w:p>
    <w:p>
      <w:pPr>
        <w:spacing w:after="0"/>
        <w:rPr>
          <w:sz w:val="20"/>
          <w:szCs w:val="20"/>
          <w:color w:val="auto"/>
        </w:rPr>
      </w:pPr>
      <w:r>
        <w:rPr>
          <w:rFonts w:ascii="Times New Roman" w:cs="Times New Roman" w:eastAsia="Times New Roman" w:hAnsi="Times New Roman"/>
          <w:sz w:val="17"/>
          <w:szCs w:val="17"/>
          <w:color w:val="auto"/>
        </w:rPr>
        <w:t>§1350, as adopted pursuant to §906 of the Sarbanes-Oxley Act of 2002, that, to the best of my knowledge:</w:t>
      </w:r>
    </w:p>
    <w:p>
      <w:pPr>
        <w:spacing w:after="0" w:line="172" w:lineRule="exact"/>
        <w:rPr>
          <w:sz w:val="20"/>
          <w:szCs w:val="20"/>
          <w:color w:val="auto"/>
        </w:rPr>
      </w:pPr>
    </w:p>
    <w:p>
      <w:pPr>
        <w:ind w:left="820" w:right="100" w:hanging="205"/>
        <w:spacing w:after="0" w:line="286" w:lineRule="auto"/>
        <w:rPr>
          <w:sz w:val="20"/>
          <w:szCs w:val="20"/>
          <w:color w:val="auto"/>
        </w:rPr>
      </w:pPr>
      <w:r>
        <w:rPr>
          <w:rFonts w:ascii="Times New Roman" w:cs="Times New Roman" w:eastAsia="Times New Roman" w:hAnsi="Times New Roman"/>
          <w:sz w:val="17"/>
          <w:szCs w:val="17"/>
          <w:color w:val="auto"/>
        </w:rPr>
        <w:t>(1)The Quarterly Report on Form 10-Q of the Company for the period ended June 30, 2016 (the “Report”) fully complies with the requirements of Section 13(a) or 15(d) of the Securities Exchange Act of 1934, as amended; and</w:t>
      </w:r>
    </w:p>
    <w:p>
      <w:pPr>
        <w:spacing w:after="0" w:line="152" w:lineRule="exact"/>
        <w:rPr>
          <w:sz w:val="20"/>
          <w:szCs w:val="20"/>
          <w:color w:val="auto"/>
        </w:rPr>
      </w:pPr>
    </w:p>
    <w:p>
      <w:pPr>
        <w:ind w:left="820" w:right="220" w:hanging="205"/>
        <w:spacing w:after="0" w:line="286" w:lineRule="auto"/>
        <w:rPr>
          <w:sz w:val="20"/>
          <w:szCs w:val="20"/>
          <w:color w:val="auto"/>
        </w:rPr>
      </w:pPr>
      <w:r>
        <w:rPr>
          <w:rFonts w:ascii="Times New Roman" w:cs="Times New Roman" w:eastAsia="Times New Roman" w:hAnsi="Times New Roman"/>
          <w:sz w:val="17"/>
          <w:szCs w:val="17"/>
          <w:color w:val="auto"/>
        </w:rPr>
        <w:t>(2)The information contained in the Report fairly presents, in all material respects, the financial condition and results of operations of the Company.</w:t>
      </w:r>
    </w:p>
    <w:p>
      <w:pPr>
        <w:spacing w:after="0" w:line="152"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7"/>
          <w:szCs w:val="17"/>
          <w:color w:val="auto"/>
        </w:rPr>
        <w:t>August 9, 2016</w:t>
      </w:r>
      <w:r>
        <w:rPr>
          <w:sz w:val="20"/>
          <w:szCs w:val="20"/>
          <w:color w:val="auto"/>
        </w:rPr>
        <w:tab/>
      </w:r>
      <w:r>
        <w:rPr>
          <w:rFonts w:ascii="Times New Roman" w:cs="Times New Roman" w:eastAsia="Times New Roman" w:hAnsi="Times New Roman"/>
          <w:sz w:val="17"/>
          <w:szCs w:val="17"/>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635</wp:posOffset>
            </wp:positionV>
            <wp:extent cx="28994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ind w:left="4500"/>
        <w:spacing w:after="0" w:line="208" w:lineRule="auto"/>
        <w:rPr>
          <w:sz w:val="20"/>
          <w:szCs w:val="20"/>
          <w:color w:val="auto"/>
        </w:rPr>
      </w:pPr>
      <w:r>
        <w:rPr>
          <w:rFonts w:ascii="Times New Roman" w:cs="Times New Roman" w:eastAsia="Times New Roman" w:hAnsi="Times New Roman"/>
          <w:sz w:val="17"/>
          <w:szCs w:val="17"/>
          <w:color w:val="auto"/>
        </w:rPr>
        <w:t>David Siewers</w:t>
      </w:r>
    </w:p>
    <w:p>
      <w:pPr>
        <w:ind w:left="45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5766435"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6435" cy="24765"/>
                    </a:xfrm>
                    <a:prstGeom prst="rect">
                      <a:avLst/>
                    </a:prstGeom>
                    <a:noFill/>
                  </pic:spPr>
                </pic:pic>
              </a:graphicData>
            </a:graphic>
          </wp:anchor>
        </w:drawing>
      </w:r>
    </w:p>
    <w:sectPr>
      <w:pgSz w:w="11900" w:h="16838" w:orient="portrait"/>
      <w:cols w:equalWidth="0" w:num="1">
        <w:col w:w="9060"/>
      </w:cols>
      <w:pgMar w:left="1420" w:top="105"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68"/>
    </w:lvl>
  </w:abstractNum>
  <w:abstractNum w:abstractNumId="6">
    <w:nsid w:val="721DA317"/>
    <w:multiLevelType w:val="hybridMultilevel"/>
    <w:lvl w:ilvl="0">
      <w:lvlJc w:val="left"/>
      <w:lvlText w:val="%1."/>
      <w:numFmt w:val="decimal"/>
      <w:start w:val="7"/>
    </w:lvl>
  </w:abstractNum>
  <w:abstractNum w:abstractNumId="7">
    <w:nsid w:val="2443A858"/>
    <w:multiLevelType w:val="hybridMultilevel"/>
    <w:lvl w:ilvl="0">
      <w:lvlJc w:val="left"/>
      <w:lvlText w:val="%1."/>
      <w:numFmt w:val="decimal"/>
      <w:start w:val="8"/>
    </w:lvl>
  </w:abstractNum>
  <w:abstractNum w:abstractNumId="8">
    <w:nsid w:val="2D1D5AE9"/>
    <w:multiLevelType w:val="hybridMultilevel"/>
    <w:lvl w:ilvl="0">
      <w:lvlJc w:val="left"/>
      <w:lvlText w:val="(%1)"/>
      <w:numFmt w:val="lowerRoman"/>
      <w:start w:val="5"/>
    </w:lvl>
  </w:abstractNum>
  <w:abstractNum w:abstractNumId="9">
    <w:nsid w:val="6763845E"/>
    <w:multiLevelType w:val="hybridMultilevel"/>
    <w:lvl w:ilvl="0">
      <w:lvlJc w:val="left"/>
      <w:lvlText w:val="%1."/>
      <w:numFmt w:val="decimal"/>
      <w:start w:val="12"/>
    </w:lvl>
  </w:abstractNum>
  <w:abstractNum w:abstractNumId="10">
    <w:nsid w:val="75A2A8D4"/>
    <w:multiLevelType w:val="hybridMultilevel"/>
    <w:lvl w:ilvl="0">
      <w:lvlJc w:val="left"/>
      <w:lvlText w:val="%1."/>
      <w:numFmt w:val="decimal"/>
      <w:start w:val="14"/>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262"/>
    </w:lvl>
  </w:abstractNum>
  <w:abstractNum w:abstractNumId="16">
    <w:nsid w:val="54E49EB4"/>
    <w:multiLevelType w:val="hybridMultilevel"/>
    <w:lvl w:ilvl="0">
      <w:lvlJc w:val="left"/>
      <w:lvlText w:val="(%1)"/>
      <w:numFmt w:val="lowerRoman"/>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2"/>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lowerLetter"/>
      <w:start w:val="2"/>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2019-12-29T11:00:28Z</dcterms:created>
  <dcterms:modified xsi:type="dcterms:W3CDTF">2019-12-29T11:00:28Z</dcterms:modified>
</cp:coreProperties>
</file>