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March 26,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CARTESIAN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783" w:type="dxa"/>
        <w:jc w:val="center"/>
        <w:tblInd w:w="0" w:type="dxa"/>
        <w:tblLayout w:type="fixed"/>
        <w:tblCellMar>
          <w:top w:w="28" w:type="dxa"/>
          <w:left w:w="28" w:type="dxa"/>
          <w:bottom w:w="28" w:type="dxa"/>
          <w:right w:w="28" w:type="dxa"/>
        </w:tblCellMar>
      </w:tblPr>
      <w:tblGrid>
        <w:gridCol w:w="829"/>
        <w:gridCol w:w="729"/>
        <w:gridCol w:w="736"/>
        <w:gridCol w:w="109"/>
        <w:gridCol w:w="109"/>
        <w:gridCol w:w="109"/>
        <w:gridCol w:w="394"/>
        <w:gridCol w:w="394"/>
        <w:gridCol w:w="398"/>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001-37798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26-1622110</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704 Quince Orchard Road, Gaithersburg, MD 20878 </w:t>
      </w:r>
    </w:p>
    <w:p>
      <w:pPr>
        <w:pStyle w:val="TextBody"/>
        <w:bidi w:val="0"/>
        <w:spacing w:lineRule="auto" w:line="288" w:before="0" w:after="0"/>
        <w:ind w:left="0" w:right="0" w:firstLine="31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offices)(Zip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(617) 923-1400 </w:t>
      </w:r>
    </w:p>
    <w:p>
      <w:pPr>
        <w:pStyle w:val="TextBody"/>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69" w:type="dxa"/>
        <w:jc w:val="center"/>
        <w:tblInd w:w="0" w:type="dxa"/>
        <w:tblLayout w:type="fixed"/>
        <w:tblCellMar>
          <w:top w:w="28" w:type="dxa"/>
          <w:left w:w="28" w:type="dxa"/>
          <w:bottom w:w="28" w:type="dxa"/>
          <w:right w:w="28" w:type="dxa"/>
        </w:tblCellMar>
      </w:tblPr>
      <w:tblGrid>
        <w:gridCol w:w="1104"/>
        <w:gridCol w:w="970"/>
        <w:gridCol w:w="970"/>
        <w:gridCol w:w="540"/>
        <w:gridCol w:w="540"/>
        <w:gridCol w:w="540"/>
        <w:gridCol w:w="1085"/>
        <w:gridCol w:w="1085"/>
        <w:gridCol w:w="1535"/>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36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0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w:t>
            </w:r>
          </w:p>
        </w:tc>
        <w:tc>
          <w:tcPr>
            <w:tcW w:w="16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RNAC</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3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Emerging growth company </w:t>
      </w:r>
      <w:r>
        <w:rPr>
          <w:rFonts w:ascii="Wingdings;sans-serif" w:hAnsi="Wingdings;sans-serif"/>
          <w:b w:val="false"/>
          <w:color w:val="000000"/>
          <w:sz w:val="20"/>
        </w:rPr>
        <w:t>o</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5.03 Amendments to Articles of Incorporation or Bylaws; Change in Fiscal Year.</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on November 13, 2023, Cartesian Therapeutics, Inc. (the “Company”) filed a Certificate of Designation of Preferences, Rights and Limitations of the Series A Non-Voting Convertible Preferred Stock (the “Certificate of Designation”) with the Secretary of State of the State of Delaware in connection with the Company’s merger with the Delaware corporation then known as Cartesian Therapeutics, Inc. (the “Merger”). The Certificate of Designation provides for the designation of shares of the Company’s Series A Non-Voting Convertible Preferred Stock, par value $0.0001 per share (the “Series A Preferred Stock”). On March 26, 2024, the Company, with the consent of the holders of Series A Preferred Stock required thereby, amended the Certificate of Designation (such amendment, the “Amendment to the Certificate of Designation”) such that the Automatic Conversion (as defined in the Certificate of Designation) will occur at 5:00 p.m. eight business days following stockholder approval of the Conversion Proposal (defined below). </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Amendment to the Certificate of Designation is qualified in its entirety by reference to the full text of the Amendment to the Certificate of Designation, a copy of which is filed as Exhibit 3.1 to this Current Report on Form 8-K and is incorporated herein by reference.</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2024, the Company held its previously announced Special Meeting of Stockholders (the “Special Meeting”). A total of 123,170,515 shares of the Company’s Common Stock were present electronically or by proxy at the Special Meeting, representing approximately 76.07% of the Company’s outstanding Common Stock as of the February 13, 2024 record date. The following are the voting results for the proposals considered and voted upon at the Special Meeting, all of which were described in the Company’s definitive proxy statement filed with the Securities and Exchange Commission on February 14, 2024 (the “Proxy Statement”).</w:t>
      </w:r>
    </w:p>
    <w:p>
      <w:pPr>
        <w:pStyle w:val="TextBody"/>
        <w:bidi w:val="0"/>
        <w:spacing w:lineRule="auto" w:line="288" w:before="120" w:after="12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Proposal 1:    Approval of the issuance of shares of the Company’s Common Stock upon conversion of the Series A Preferred Stock (the “Conversion Proposal”).</w:t>
      </w:r>
    </w:p>
    <w:tbl>
      <w:tblPr>
        <w:tblW w:w="5803" w:type="dxa"/>
        <w:jc w:val="left"/>
        <w:tblInd w:w="0" w:type="dxa"/>
        <w:tblLayout w:type="fixed"/>
        <w:tblCellMar>
          <w:top w:w="28" w:type="dxa"/>
          <w:left w:w="28" w:type="dxa"/>
          <w:bottom w:w="28" w:type="dxa"/>
          <w:right w:w="28" w:type="dxa"/>
        </w:tblCellMar>
      </w:tblPr>
      <w:tblGrid>
        <w:gridCol w:w="380"/>
        <w:gridCol w:w="333"/>
        <w:gridCol w:w="338"/>
        <w:gridCol w:w="479"/>
        <w:gridCol w:w="479"/>
        <w:gridCol w:w="481"/>
        <w:gridCol w:w="564"/>
        <w:gridCol w:w="564"/>
        <w:gridCol w:w="566"/>
        <w:gridCol w:w="474"/>
        <w:gridCol w:w="474"/>
        <w:gridCol w:w="671"/>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Votes FOR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Votes AGAINST</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Votes ABSTAINED</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87,791,910</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2,865,444</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75,914</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25,713,608</w:t>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above voting results for Proposal 1 do not include the 6,723,639 shares of Common Stock that were issued in connection with the Merger. Such shares were not entitled to vote on Proposal 1 for purposes of compliance with the applicable listing rules of The Nasdaq Stock Market LLC (“Nasdaq”). In order to comply with applicable Nasdaq rules, the Company instructed the inspector of elections to conduct a separate tabulation that subtracted 6,723,639 shares of Common Stock from the total number of shares of Common Stock that voted in favor of the Conversion Proposal to determine whether the Conversion Proposal was adopted in accordance with such rules. These 6,723,639 shares of Common Stock were eligible to vote on Proposal 1 for purposes of adopting Proposal 1 under Delaware law.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votes set forth above, the stockholders approved the Conversion Proposal.</w:t>
      </w:r>
    </w:p>
    <w:p>
      <w:pPr>
        <w:pStyle w:val="TextBody"/>
        <w:bidi w:val="0"/>
        <w:spacing w:lineRule="auto" w:line="288" w:before="120" w:after="12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Proposal 2:    Approval of an amendment to the Company’s restated certificate of incorporation, as amended (the “Charter”), to effect a reverse stock split of the Company’s issued and outstanding Common Stock, at a ratio in the range of 1-for-20 and 1-for-30, with such ratio to be determined at the discretion of the Board of Directors (the “Board”) of the Company (the “Reverse Stock Split Proposal”).</w:t>
      </w:r>
    </w:p>
    <w:tbl>
      <w:tblPr>
        <w:tblW w:w="5908" w:type="dxa"/>
        <w:jc w:val="left"/>
        <w:tblInd w:w="0" w:type="dxa"/>
        <w:tblLayout w:type="fixed"/>
        <w:tblCellMar>
          <w:top w:w="28" w:type="dxa"/>
          <w:left w:w="28" w:type="dxa"/>
          <w:bottom w:w="28" w:type="dxa"/>
          <w:right w:w="28" w:type="dxa"/>
        </w:tblCellMar>
      </w:tblPr>
      <w:tblGrid>
        <w:gridCol w:w="418"/>
        <w:gridCol w:w="366"/>
        <w:gridCol w:w="372"/>
        <w:gridCol w:w="479"/>
        <w:gridCol w:w="479"/>
        <w:gridCol w:w="481"/>
        <w:gridCol w:w="564"/>
        <w:gridCol w:w="564"/>
        <w:gridCol w:w="566"/>
        <w:gridCol w:w="474"/>
        <w:gridCol w:w="474"/>
        <w:gridCol w:w="671"/>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Votes FOR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Votes AGAINST</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Votes ABSTAINED</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114,747,625</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6,237,877</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2,185,013</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votes set forth above, the stockholders approved the Reverse Stock Split Proposal.</w:t>
      </w:r>
    </w:p>
    <w:p>
      <w:pPr>
        <w:pStyle w:val="TextBody"/>
        <w:bidi w:val="0"/>
        <w:spacing w:lineRule="auto" w:line="288" w:before="120" w:after="120"/>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Proposal 3:    Approval of the adjournment or postponement of the Special Meeting, if necessary, to continue to solicit votes for Proposal Nos. 1 or 2 (the “Adjournment Proposal”). </w:t>
      </w:r>
    </w:p>
    <w:tbl>
      <w:tblPr>
        <w:tblW w:w="5908" w:type="dxa"/>
        <w:jc w:val="left"/>
        <w:tblInd w:w="0" w:type="dxa"/>
        <w:tblLayout w:type="fixed"/>
        <w:tblCellMar>
          <w:top w:w="28" w:type="dxa"/>
          <w:left w:w="28" w:type="dxa"/>
          <w:bottom w:w="28" w:type="dxa"/>
          <w:right w:w="28" w:type="dxa"/>
        </w:tblCellMar>
      </w:tblPr>
      <w:tblGrid>
        <w:gridCol w:w="418"/>
        <w:gridCol w:w="366"/>
        <w:gridCol w:w="372"/>
        <w:gridCol w:w="479"/>
        <w:gridCol w:w="479"/>
        <w:gridCol w:w="481"/>
        <w:gridCol w:w="564"/>
        <w:gridCol w:w="564"/>
        <w:gridCol w:w="566"/>
        <w:gridCol w:w="474"/>
        <w:gridCol w:w="474"/>
        <w:gridCol w:w="671"/>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Votes FOR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Votes AGAINST</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Votes ABSTAINED</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Broker Non-Votes</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114,948,498</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7,889,418</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332,599</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votes set forth above, the stockholders approved the Adjournment Proposal.</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28, 2024, the Company issued a press release announcing its intention to effect a reverse stock split. A copy of the press release is furnished as Exhibit 99.1 to this Current Report on Form 8-K.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stockholder approval of the Conversion Proposal, the Board approved a final reverse stock split ratio of 1-for-30. Following such approval, the Company filed an amendment to its Charter (the “Charter Amendment”) with the Secretary of State of the State of Delaware to effect the reverse stock split, with an effective time of 4:30 p.m. Eastern Time on April 4, 2024 (“Effective Time”). Beginning on April 5, 2024, the Common Stock is expected to continue to trade on The Nasdaq Global Market on a split-adjusted basis under the symbol “RNAC” with a new CUSIP number, 816212302.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Effective Time, every 30 shares of Common Stock outstanding will be combined, automatically and without any action on the part of the Company or its stockholders, into one share of Common Stock. No fractional shares will be issued in connection with the reverse stock split. Instead, the Company’s transfer agent will aggregate all fractional shares and sell them as soon as practicable after the Effective Time at the then-prevailing prices on the open market, on behalf of those stockholders who would otherwise be entitled to receive a fractional share as a result of the reverse stock split. After that sale, each stockholder who would have been entitled to a fractional share will instead receive a cash payment (without interest) in an amount equal to its respective pro rata share of the total proceeds of such sale.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reverse stock split will reduce the number of shares of Common Stock issued and outstanding from approximately 165,475,062 to approximately 5,515,835. Following the reverse stock split, the authorized number of shares of Common Stock will remain at 350,000,000.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description of the Charter Amendment is qualified in its entirety by reference to the full text of the Charter Amendment, a copy of which is filed as Exhibit 3.2 to this Current Report on Form 8-K and is incorporated herein by reference. </w:t>
      </w:r>
    </w:p>
    <w:p>
      <w:pPr>
        <w:pStyle w:val="TextBody"/>
        <w:bidi w:val="0"/>
        <w:spacing w:before="120" w:after="12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42"/>
        <w:gridCol w:w="2674"/>
        <w:gridCol w:w="381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81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certificateofamen.htm">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certificateofamen.htm">
              <w:r>
                <w:rPr>
                  <w:rStyle w:val="InternetLink"/>
                  <w:rFonts w:ascii="Times New Roman;sans-serif" w:hAnsi="Times New Roman;sans-serif"/>
                  <w:b w:val="false"/>
                  <w:color w:val="0000FF"/>
                  <w:sz w:val="20"/>
                  <w:u w:val="single"/>
                </w:rPr>
                <w:t>Certificate of Amendment to the Certificate of Designation of Series A Non-Voting Convertible Preferred Stock, dated March 26,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certificateofamen.htm">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certificateofamen.htm">
              <w:r>
                <w:rPr>
                  <w:rStyle w:val="InternetLink"/>
                  <w:rFonts w:ascii="Times New Roman;sans-serif" w:hAnsi="Times New Roman;sans-serif"/>
                  <w:b w:val="false"/>
                  <w:color w:val="0000FF"/>
                  <w:sz w:val="20"/>
                  <w:u w:val="single"/>
                </w:rPr>
                <w:t>Certificate of Amendment to the Restated Certificate of Incorporation, as amended, of Cartesian Therapeutics, Inc., dated March 28,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991_03282024pressre.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03282024pressre.htm">
              <w:r>
                <w:rPr>
                  <w:rStyle w:val="InternetLink"/>
                  <w:rFonts w:ascii="Times New Roman;sans-serif" w:hAnsi="Times New Roman;sans-serif"/>
                  <w:b w:val="false"/>
                  <w:color w:val="0000FF"/>
                  <w:sz w:val="20"/>
                  <w:u w:val="single"/>
                </w:rPr>
                <w:t>Press Release, dated March 28, 2024</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578" w:type="dxa"/>
        <w:jc w:val="left"/>
        <w:tblInd w:w="0" w:type="dxa"/>
        <w:tblLayout w:type="fixed"/>
        <w:tblCellMar>
          <w:top w:w="28" w:type="dxa"/>
          <w:left w:w="28" w:type="dxa"/>
          <w:bottom w:w="28" w:type="dxa"/>
          <w:right w:w="28" w:type="dxa"/>
        </w:tblCellMar>
      </w:tblPr>
      <w:tblGrid>
        <w:gridCol w:w="683"/>
        <w:gridCol w:w="601"/>
        <w:gridCol w:w="605"/>
        <w:gridCol w:w="493"/>
        <w:gridCol w:w="493"/>
        <w:gridCol w:w="493"/>
        <w:gridCol w:w="939"/>
        <w:gridCol w:w="939"/>
        <w:gridCol w:w="133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CARTESIAN THERAPEUTICS, INC.</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28, 2024</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Carsten Brunn, Ph.D.</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Carsten Brunn, Ph.D.</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CARTESIAN THERAPEUTICS, INC.</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Certificate of Amendment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of the </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Certificate of Designation of Preferences, Rights and Limitations</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of</w: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Series A Non-Voting Convertible Preferred Stock </w:t>
      </w:r>
    </w:p>
    <w:p>
      <w:pPr>
        <w:pStyle w:val="TextBody"/>
        <w:bidi w:val="0"/>
        <w:spacing w:before="0" w:after="0"/>
        <w:jc w:val="center"/>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Pursuant to Sections 228 and 242 of the General Corporation Law of the State of Delaware, the undersigned, being a duly authorized officer of Cartesian Therapeutics, Inc., a Delaware corporation (the “</w:t>
      </w:r>
      <w:r>
        <w:rPr>
          <w:rFonts w:ascii="Times New Roman;sans-serif" w:hAnsi="Times New Roman;sans-serif"/>
          <w:b w:val="false"/>
          <w:i/>
          <w:color w:val="000000"/>
          <w:sz w:val="24"/>
        </w:rPr>
        <w:t>Company</w:t>
      </w:r>
      <w:r>
        <w:rPr>
          <w:color w:val="000000"/>
        </w:rPr>
        <w:t>”</w:t>
      </w:r>
      <w:r>
        <w:rPr>
          <w:rFonts w:ascii="Times New Roman;sans-serif" w:hAnsi="Times New Roman;sans-serif"/>
          <w:b w:val="false"/>
          <w:color w:val="000000"/>
          <w:sz w:val="24"/>
        </w:rPr>
        <w:t>), does hereby certify the following: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FIRST:    The name of the Company is Cartesian Therapeutics, Inc.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SECOND:    The original Certificate of Designation of Preferences, Rights and Limitations of Series A Non-Voting Convertible Preferred Stock of the Company was filed with the Secretary of State of the State of Delaware on November 13, 2023 (the “</w:t>
      </w:r>
      <w:r>
        <w:rPr>
          <w:rFonts w:ascii="Times New Roman;sans-serif" w:hAnsi="Times New Roman;sans-serif"/>
          <w:b w:val="false"/>
          <w:i/>
          <w:color w:val="000000"/>
          <w:sz w:val="24"/>
        </w:rPr>
        <w:t>Certificate of Designation</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THIRD:    Each of Section 6.01 (Automatic Conversion on Stockholder Approval) and Section 6.05(a) (Electronic Issuance) of the Certificate of Designation is hereby amended to read in its entirety as follows:</w:t>
      </w:r>
    </w:p>
    <w:p>
      <w:pPr>
        <w:pStyle w:val="TextBody"/>
        <w:bidi w:val="0"/>
        <w:spacing w:lineRule="auto" w:line="240" w:before="0" w:after="240"/>
        <w:jc w:val="both"/>
        <w:rPr/>
      </w:pPr>
      <w:r>
        <w:rPr>
          <w:rFonts w:ascii="Times New Roman;sans-serif" w:hAnsi="Times New Roman;sans-serif"/>
          <w:b/>
          <w:color w:val="000000"/>
          <w:sz w:val="24"/>
        </w:rPr>
        <w:t>Section 6.01    </w:t>
      </w:r>
      <w:r>
        <w:rPr>
          <w:rFonts w:ascii="Times New Roman;sans-serif" w:hAnsi="Times New Roman;sans-serif"/>
          <w:b w:val="false"/>
          <w:color w:val="000000"/>
          <w:sz w:val="24"/>
          <w:u w:val="single"/>
        </w:rPr>
        <w:t>Automatic Conversion on Stockholder Approval</w:t>
      </w:r>
      <w:r>
        <w:rPr>
          <w:rFonts w:ascii="Times New Roman;sans-serif" w:hAnsi="Times New Roman;sans-serif"/>
          <w:b w:val="false"/>
          <w:color w:val="000000"/>
          <w:sz w:val="24"/>
        </w:rPr>
        <w:t>. Effective as of 5:00 p.m., Eastern time, on the eighth Business Day after the date that the Corporation’s stockholders approve (i) the conversion of the Series A Non-Voting Preferred Stock into shares of Common Stock in accordance with the listing rules of the Nasdaq Stock Market, and (ii) an amendment to increase the number of authorized shares of Common Stock or to effect a reverse stock split of all outstanding shares of Common Stock, in either case, by a number of authorized shares or at a stock split ratio, as the case may be, sufficient to allow the conversion of all shares of Series A Non-Voting Preferred Stock into shares of Common Stock (the “</w:t>
      </w:r>
      <w:r>
        <w:rPr>
          <w:rFonts w:ascii="Times New Roman;sans-serif" w:hAnsi="Times New Roman;sans-serif"/>
          <w:b/>
          <w:i/>
          <w:color w:val="000000"/>
          <w:sz w:val="24"/>
        </w:rPr>
        <w:t>Stockholder Approval</w:t>
      </w:r>
      <w:r>
        <w:rPr>
          <w:color w:val="000000"/>
        </w:rPr>
        <w:t>”</w:t>
      </w:r>
      <w:r>
        <w:rPr>
          <w:rFonts w:ascii="Times New Roman;sans-serif" w:hAnsi="Times New Roman;sans-serif"/>
          <w:b w:val="false"/>
          <w:color w:val="000000"/>
          <w:sz w:val="24"/>
        </w:rPr>
        <w:t>), each share of Series A Non-Voting Preferred Stock then outstanding shall automatically convert into a number of shares of Common Stock equal to the Conversion Ratio (as defined below), subject to the Beneficial Ownership Limitation (the “</w:t>
      </w:r>
      <w:r>
        <w:rPr>
          <w:rFonts w:ascii="Times New Roman;sans-serif" w:hAnsi="Times New Roman;sans-serif"/>
          <w:b/>
          <w:i/>
          <w:color w:val="000000"/>
          <w:sz w:val="24"/>
        </w:rPr>
        <w:t>Automatic Conversion</w:t>
      </w:r>
      <w:r>
        <w:rPr>
          <w:color w:val="000000"/>
        </w:rPr>
        <w:t>”</w:t>
      </w:r>
      <w:r>
        <w:rPr>
          <w:rFonts w:ascii="Times New Roman;sans-serif" w:hAnsi="Times New Roman;sans-serif"/>
          <w:b w:val="false"/>
          <w:color w:val="000000"/>
          <w:sz w:val="24"/>
        </w:rPr>
        <w:t xml:space="preserve">). Following the effectiveness of the Automatic Conversion and subject to the Beneficial Ownership Limitation, shares of Series A Non-Voting Preferred Stock issued upon the exercise of a stock option following the Automatic Conversion shall automatically convert at the time of such exercise into a number of shares of Common Stock equal to the Conversion Ratio in effect at the time of such exercise. The Corporation shall inform each Holder and each holder of a stock option to purchase shares of Series A Non-Voting Preferred Stock of the occurrence of the Stockholder Approval within one Business Day of such Stockholder Approval, it being understood that the filing of a Current Report on Form 8-K reporting the Stockholder Approval shall be deemed sufficient to inform the Holders and the holders of stock options to purchase shares of Series A Non-Voting Preferred Stock in respect thereof. In determining the application of the Beneficial Ownership Limitation solely with respect to the Automatic Conversion, the Corporation shall calculate beneficial ownership for each Holder assuming beneficial ownership by such Holder of: (x) the number of shares of Common Stock issuable to such Holder in such Automatic Conversion,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(y) any additional shares of Common Stock for which a Holder has provided the Corporation with prior written notice of beneficial ownership within 30 days prior to the date of Stockholder Approval (a “</w:t>
      </w:r>
      <w:r>
        <w:rPr>
          <w:rFonts w:ascii="Times New Roman;sans-serif" w:hAnsi="Times New Roman;sans-serif"/>
          <w:b/>
          <w:i/>
          <w:color w:val="000000"/>
          <w:sz w:val="24"/>
        </w:rPr>
        <w:t>Beneficial Ownership Statement</w:t>
      </w:r>
      <w:r>
        <w:rPr>
          <w:color w:val="000000"/>
        </w:rPr>
        <w:t>”</w:t>
      </w:r>
      <w:r>
        <w:rPr>
          <w:rFonts w:ascii="Times New Roman;sans-serif" w:hAnsi="Times New Roman;sans-serif"/>
          <w:b w:val="false"/>
          <w:color w:val="000000"/>
          <w:sz w:val="24"/>
        </w:rPr>
        <w:t xml:space="preserve">) and assuming the conversion of all shares of Series A Non-Voting Preferred Stock held by all other Holders less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the aggregate number of shares of Series A Non-Voting Preferred Stock held by all other Holders that will not convert into shares of Common Stock on account of the application of any Beneficial Ownership Limitations applicable to any such other Holders. If a Holder fails to provide the Corporation with a Beneficial Ownership Statement within 30 days prior to the date of Stockholder Approval, then the Corporation shall presume the Holder’s beneficial ownership of Common Stock (excluding the Conversion Shares) to be zero or such other number of shares of Common Stock as the Corporation shall have reason to believe are beneficially owned by such Holder. The shares of Series A Non-Voting Preferred Stock that are converted in the Automatic Conversion are referred to as the “</w:t>
      </w:r>
      <w:r>
        <w:rPr>
          <w:rFonts w:ascii="Times New Roman;sans-serif" w:hAnsi="Times New Roman;sans-serif"/>
          <w:b/>
          <w:i/>
          <w:color w:val="000000"/>
          <w:sz w:val="24"/>
        </w:rPr>
        <w:t>Converted Stock</w:t>
      </w:r>
      <w:r>
        <w:rPr>
          <w:color w:val="000000"/>
        </w:rPr>
        <w:t>”</w:t>
      </w:r>
      <w:r>
        <w:rPr>
          <w:rFonts w:ascii="Times New Roman;sans-serif" w:hAnsi="Times New Roman;sans-serif"/>
          <w:b w:val="false"/>
          <w:color w:val="000000"/>
          <w:sz w:val="24"/>
        </w:rPr>
        <w:t xml:space="preserve">. The Conversion Shares shall be issued only in book entry form, as follows: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(a)Converted Stock shall be automatically cancelled upon the Automatic Conversion (or with respect to Series A Non-Voting Preferred Stock issued upon an option exercise following the Automatic Conversion, at the time of such option exercise) and converted into the corresponding Conversion Shares, which shares shall be issued in book entry form and without any action on the part of the Holders and shall be delivered to the Holders within one Business Day of the effectiveness of the Automatic Conversion (or option exercise, as applicable). </w:t>
      </w:r>
    </w:p>
    <w:p>
      <w:pPr>
        <w:pStyle w:val="TextBody"/>
        <w:bidi w:val="0"/>
        <w:spacing w:lineRule="auto" w:line="240"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(b)Notwithstanding the cancellation of the Converted Stock upon the Automatic Conversion, Holders of Converted Stock shall continue to have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the Converted Stock.</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40" w:before="0" w:after="240"/>
        <w:jc w:val="both"/>
        <w:rPr/>
      </w:pPr>
      <w:r>
        <w:rPr>
          <w:rFonts w:ascii="Times New Roman;sans-serif" w:hAnsi="Times New Roman;sans-serif"/>
          <w:b/>
          <w:color w:val="000000"/>
          <w:sz w:val="24"/>
        </w:rPr>
        <w:t>Section 6.05    </w:t>
      </w:r>
      <w:r>
        <w:rPr>
          <w:rFonts w:ascii="Times New Roman;sans-serif" w:hAnsi="Times New Roman;sans-serif"/>
          <w:b w:val="false"/>
          <w:color w:val="000000"/>
          <w:sz w:val="24"/>
          <w:u w:val="single"/>
        </w:rPr>
        <w:t>Mechanics of Conversion</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Electronic Issuance</w:t>
      </w:r>
      <w:r>
        <w:rPr>
          <w:rFonts w:ascii="Times New Roman;sans-serif" w:hAnsi="Times New Roman;sans-serif"/>
          <w:b w:val="false"/>
          <w:color w:val="000000"/>
          <w:sz w:val="24"/>
        </w:rPr>
        <w:t>. Upon conversion and not later than (i) in the case of the Automatic Conversion, eight (8) Business Days after the Stockholder Approval and (ii) in the case of an Optional Conversion, three Trading Days after the Optional Conversion Date (the applicable date in clause (i) or (ii), as the case may be, the “</w:t>
      </w:r>
      <w:r>
        <w:rPr>
          <w:rFonts w:ascii="Times New Roman;sans-serif" w:hAnsi="Times New Roman;sans-serif"/>
          <w:b/>
          <w:i/>
          <w:color w:val="000000"/>
          <w:sz w:val="24"/>
        </w:rPr>
        <w:t>Share Delivery Date</w:t>
      </w:r>
      <w:r>
        <w:rPr>
          <w:color w:val="000000"/>
        </w:rPr>
        <w:t>”</w:t>
      </w:r>
      <w:r>
        <w:rPr>
          <w:rFonts w:ascii="Times New Roman;sans-serif" w:hAnsi="Times New Roman;sans-serif"/>
          <w:b w:val="false"/>
          <w:color w:val="000000"/>
          <w:sz w:val="24"/>
        </w:rPr>
        <w:t>), the Corporation shall electronically transfer such Conversion Shares by crediting the account of the Holder’s prime broker with DTC through its DWAC system. If, in the case of any Notice of Optional Conversion, such shares are not electronically delivered to or as directed by, the applicable Holder by the Share Delivery Date, the applicable Holder shall be entitled to elect to rescind such Notice of Optional Conversion by written notice to the Corporation at any time on or before electronic receipt of such shares, in which event such Holder shall direct the return of any shares of Common Stock delivered to the Holder through the DWAC system, representing the shares of Series A Non-Voting Convertible Preferred Stock unsuccessfully tendered for conversion to the Corporation.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40" w:before="0" w:after="240"/>
        <w:ind w:left="0" w:right="0" w:firstLine="142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FOURTH:     The amendment effected herein was authorized by the consent in writing, setting forth the action so taken, signed by the holders of a majority of the outstanding shares entitled to vote thereon pursuant to Sections 228 and 242 of the General Corporation Law of the State of Delaware. </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this Certificate of Amendment of the Certificate of Designation of Preferences, Rights and Limitations of Series A Non-Voting Preferred Stock of the Company has been signed by the undersigned, its authorized officer, this 26th day of March, 2024.</w:t>
      </w:r>
    </w:p>
    <w:p>
      <w:pPr>
        <w:pStyle w:val="TextBody"/>
        <w:bidi w:val="0"/>
        <w:spacing w:before="0" w:after="240"/>
        <w:ind w:left="0" w:right="0" w:firstLine="1440"/>
        <w:jc w:val="left"/>
        <w:rPr/>
      </w:pPr>
      <w:r>
        <w:rPr/>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CARTESIAN THERAPEUTICS, INC.</w:t>
      </w:r>
    </w:p>
    <w:p>
      <w:pPr>
        <w:pStyle w:val="TextBody"/>
        <w:bidi w:val="0"/>
        <w:spacing w:lineRule="auto" w:line="240"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 xml:space="preserve">/s/ Carsten Brunn             </w:t>
      </w:r>
      <w:r>
        <w:rPr>
          <w:rFonts w:ascii="Times New Roman;sans-serif" w:hAnsi="Times New Roman;sans-serif"/>
          <w:b w:val="false"/>
          <w:color w:val="000000"/>
          <w:sz w:val="24"/>
        </w:rPr>
        <w:br/>
        <w:t>    Name: Carsten Brunn</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Title: President and CEO</w:t>
      </w:r>
    </w:p>
    <w:p>
      <w:pPr>
        <w:pStyle w:val="TextBody"/>
        <w:bidi w:val="0"/>
        <w:spacing w:lineRule="auto" w:line="240" w:before="0" w:after="0"/>
        <w:jc w:val="left"/>
        <w:rPr>
          <w:color w:val="000000"/>
        </w:rPr>
      </w:pPr>
      <w:r>
        <w:rPr>
          <w:color w:val="000000"/>
        </w:rPr>
        <w:t>    </w:t>
      </w:r>
    </w:p>
    <w:p>
      <w:pPr>
        <w:pStyle w:val="TextBody"/>
        <w:bidi w:val="0"/>
        <w:spacing w:before="0" w:after="240"/>
        <w:ind w:left="0" w:right="0" w:firstLine="684"/>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ind w:left="0" w:right="0" w:firstLine="1440"/>
        <w:jc w:val="left"/>
        <w:rPr/>
      </w:pPr>
      <w:r>
        <w:rPr/>
      </w:r>
    </w:p>
    <w:p>
      <w:pPr>
        <w:pStyle w:val="TextBody"/>
        <w:bidi w:val="0"/>
        <w:spacing w:before="0" w:after="240"/>
        <w:ind w:left="0" w:right="0" w:firstLine="1440"/>
        <w:jc w:val="left"/>
        <w:rPr/>
      </w:pPr>
      <w:r>
        <w:rPr/>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68630"/>
                <wp:effectExtent l="0" t="0" r="0" b="0"/>
                <wp:wrapNone/>
                <wp:docPr id="7" name="Frame7"/>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Certificate of Amendment of the Certificate of Designation of Preferences, Rights and Limitations of Series A Non-Voting Convertible Preferred Stock of Cartesian Therapeutics, Inc.]</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Certificate of Amendment of the Certificate of Designation of Preferences, Rights and Limitations of Series A Non-Voting Convertible Preferred Stock of Cartesian Therapeutics, Inc.]</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CERTIFICATE OF AMENDMENT OF THE RESTATED </w:t>
      </w:r>
    </w:p>
    <w:p>
      <w:pPr>
        <w:pStyle w:val="TextBody"/>
        <w:bidi w:val="0"/>
        <w:spacing w:lineRule="auto" w:line="240"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CERTIFICATE OF INCORPORATION, AS AMENDED, OF CARTESIAN THERAPEUTICS, INC. </w:t>
      </w:r>
    </w:p>
    <w:p>
      <w:pPr>
        <w:pStyle w:val="TextBody"/>
        <w:bidi w:val="0"/>
        <w:spacing w:lineRule="auto" w:line="240"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242 of the </w:t>
      </w:r>
    </w:p>
    <w:p>
      <w:pPr>
        <w:pStyle w:val="TextBody"/>
        <w:bidi w:val="0"/>
        <w:spacing w:lineRule="auto" w:line="240"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Corporation Law of the State of Delaware) </w:t>
      </w:r>
    </w:p>
    <w:p>
      <w:pPr>
        <w:pStyle w:val="TextBody"/>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Cartesian Therapeutics, Inc. (the “Corporation”), a corporation organized and existing under and by virtue of the provisions of the General Corporation Law of the State of Delaware (the “General Corporation Law”), </w:t>
      </w:r>
    </w:p>
    <w:p>
      <w:pPr>
        <w:pStyle w:val="TextBody"/>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DOES HEREBY CERTIFY: </w:t>
      </w:r>
    </w:p>
    <w:p>
      <w:pPr>
        <w:pStyle w:val="TextBody"/>
        <w:bidi w:val="0"/>
        <w:spacing w:lineRule="auto" w:line="240"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A resolution was duly adopted by the Board of Directors of the Corporation pursuant to Section 242 of the General Corporation Law proposing an amendment of the Restated Certificate of Incorporation, as amended, and declaring the advisability of said amendment of the Restated Certificate of Incorporation, as amended, and authorizing the appropriate officers of the Corporation to solicit the approval of the stockholders therefor. On March 27, 2024, the stockholders of the Corporation duly approved said proposed amendment at the Corporation’s Special Meeting of Stockholders in accordance with Section 242 of the General Corporation Law. The resolution setting forth the amendment pursuant to the terms approved by the Corporation’s Board of Directors, acting pursuant to the authority delegated by the Corporation’s stockholders, is as follows: </w:t>
      </w:r>
    </w:p>
    <w:p>
      <w:pPr>
        <w:pStyle w:val="TextBody"/>
        <w:bidi w:val="0"/>
        <w:spacing w:lineRule="auto" w:line="240" w:before="120" w:after="120"/>
        <w:jc w:val="left"/>
        <w:rPr/>
      </w:pPr>
      <w:r>
        <w:rPr>
          <w:rFonts w:ascii="Times New Roman;sans-serif" w:hAnsi="Times New Roman;sans-serif"/>
          <w:b/>
          <w:color w:val="000000"/>
          <w:sz w:val="20"/>
        </w:rPr>
        <w:t>RESOLVED</w:t>
      </w:r>
      <w:r>
        <w:rPr>
          <w:rFonts w:ascii="Times New Roman;sans-serif" w:hAnsi="Times New Roman;sans-serif"/>
          <w:b w:val="false"/>
          <w:color w:val="000000"/>
          <w:sz w:val="20"/>
        </w:rPr>
        <w:t xml:space="preserve">: that the following paragraph is inserted at the end of Article FOURTH of the Restated Certificate of Incorporation of the Corporation, as amended: </w:t>
      </w:r>
    </w:p>
    <w:p>
      <w:pPr>
        <w:pStyle w:val="TextBody"/>
        <w:bidi w:val="0"/>
        <w:spacing w:lineRule="auto" w:line="240" w:before="120" w:after="120"/>
        <w:jc w:val="left"/>
        <w:rPr/>
      </w:pPr>
      <w:r>
        <w:rPr>
          <w:rFonts w:ascii="Times New Roman;sans-serif" w:hAnsi="Times New Roman;sans-serif"/>
          <w:b w:val="false"/>
          <w:color w:val="000000"/>
          <w:sz w:val="20"/>
        </w:rPr>
        <w:t>Pursuant to the General Corporation Law of the State of Delaware, at 4:30 p.m. Eastern Time on April 4, 2024 (the “</w:t>
      </w:r>
      <w:r>
        <w:rPr>
          <w:rFonts w:ascii="Times New Roman;sans-serif" w:hAnsi="Times New Roman;sans-serif"/>
          <w:b/>
          <w:i/>
          <w:color w:val="000000"/>
          <w:sz w:val="20"/>
        </w:rPr>
        <w:t>Reverse Stock Split Effective Time</w:t>
      </w:r>
      <w:r>
        <w:rPr>
          <w:color w:val="000000"/>
        </w:rPr>
        <w:t>”</w:t>
      </w:r>
      <w:r>
        <w:rPr>
          <w:rFonts w:ascii="Times New Roman;sans-serif" w:hAnsi="Times New Roman;sans-serif"/>
          <w:b w:val="false"/>
          <w:color w:val="000000"/>
          <w:sz w:val="20"/>
        </w:rPr>
        <w:t>), each 30 shares of Common Stock issued and outstanding immediately prior to the Reverse Stock Split Effective Time shall be combined into one validly issued, fully paid and non-assessable share of Common Stock, without any further action by the Corporation or the holder thereof, subject to the treatment of fractional share interests as described below (the “</w:t>
      </w:r>
      <w:r>
        <w:rPr>
          <w:rFonts w:ascii="Times New Roman;sans-serif" w:hAnsi="Times New Roman;sans-serif"/>
          <w:b/>
          <w:i/>
          <w:color w:val="000000"/>
          <w:sz w:val="20"/>
        </w:rPr>
        <w:t>Reverse Stock Split</w:t>
      </w:r>
      <w:r>
        <w:rPr>
          <w:color w:val="000000"/>
        </w:rPr>
        <w:t>”</w:t>
      </w:r>
      <w:r>
        <w:rPr>
          <w:rFonts w:ascii="Times New Roman;sans-serif" w:hAnsi="Times New Roman;sans-serif"/>
          <w:b w:val="false"/>
          <w:color w:val="000000"/>
          <w:sz w:val="20"/>
        </w:rPr>
        <w:t>). No fractional shares shall be issued in connection with the Reverse Stock Split. In lieu of fractional shares of Common Stock, the Corporation’s transfer agent shall aggregate all fractional shares of Common Stock and sell them as soon as practicable after the Reverse Stock Split Effective Time at the then-prevailing prices on the open market, on behalf of those stockholders who would otherwise be entitled to receive a fractional share of Common Stock, and after the transfer agent’s completion of such sale, such stockholders shall receive a cash payment (without interest) from the transfer agent in an amount equal to their respective pro rata shares of the total net proceeds of that sale and, where shares are held in certificated form, upon the surrender of the stockholder’s Old Certificates (as defined below). Each certificate that immediately prior to the Reverse Stock Split Effective Time represented shares of Common Stock (each, an “</w:t>
      </w:r>
      <w:r>
        <w:rPr>
          <w:rFonts w:ascii="Times New Roman;sans-serif" w:hAnsi="Times New Roman;sans-serif"/>
          <w:b/>
          <w:i/>
          <w:color w:val="000000"/>
          <w:sz w:val="20"/>
        </w:rPr>
        <w:t>Old Certificate</w:t>
      </w:r>
      <w:r>
        <w:rPr>
          <w:color w:val="000000"/>
        </w:rPr>
        <w:t>”</w:t>
      </w:r>
      <w:r>
        <w:rPr>
          <w:rFonts w:ascii="Times New Roman;sans-serif" w:hAnsi="Times New Roman;sans-serif"/>
          <w:b w:val="false"/>
          <w:color w:val="000000"/>
          <w:sz w:val="20"/>
        </w:rPr>
        <w:t>) shall thereafter represent that number of shares into which the shares of Common Stock, represented by the Old Certificate shall have been combined, subject to the elimination of fractional share interests as described above. As soon as practicable following the Reverse Stock Split Effective Time, the Corporation will notify its stockholders holding shares of Common Stock in certificated form to transmit their Old Certificates to the transfer agent, and upon surrender of such Old Certificates or notification by the holder that such Old Certificates have been lost, stolen or destroyed and the execution of an agreement satisfactory to the Corporation to indemnify the Corporation for any loss incurred by it in connection with such Old Certificates, the Corporation will cause the transfer agent to issue new certificates representing the appropriate number of whole shares following the Reverse Stock Split for every one share of Common Stock, transmitted and held of record as of the Reverse Stock Split Effective Time.”</w:t>
      </w:r>
    </w:p>
    <w:p>
      <w:pPr>
        <w:pStyle w:val="TextBody"/>
        <w:bidi w:val="0"/>
        <w:spacing w:lineRule="auto" w:line="240"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This Certificate of Amendment has been duly adopted by the stockholders of the Corporation in accordance with the provisions of Section 242 of the General Corporation Law, and shall be effective as of 4:30 p.m. Eastern Time on April 4, 2024. Except as herein amended, all other provisions of the Restated Certificate of Incorporation, as amended, remain in full force and effect.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this Corporation has caused this Certificate of Amendment of the Restated Certificate of Incorporation, as amended, to be signed by its President and Chief Executive Officer this 28th day of March, 2024.</w:t>
      </w:r>
    </w:p>
    <w:tbl>
      <w:tblPr>
        <w:tblW w:w="470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80"/>
        <w:gridCol w:w="1080"/>
        <w:gridCol w:w="15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Carsten Brunn,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Cartesian Therapeutics,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Carsten Brunn, Ph.D.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Calibri;sans-serif" w:hAnsi="Calibri;sans-serif"/>
          <w:b/>
          <w:color w:val="000000"/>
          <w:sz w:val="22"/>
        </w:rPr>
      </w:pPr>
      <w:r>
        <w:rPr>
          <w:rFonts w:ascii="Calibri;sans-serif" w:hAnsi="Calibri;sans-serif"/>
          <w:b/>
          <w:color w:val="000000"/>
          <w:sz w:val="22"/>
        </w:rPr>
        <w:t>Exhibit 99.1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right"/>
        <w:rPr/>
      </w:pPr>
      <w:r>
        <w:rPr/>
        <w:drawing>
          <wp:inline distT="0" distB="0" distL="0" distR="0">
            <wp:extent cx="1524000" cy="4667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1524000" cy="4667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00" w:before="0" w:after="160"/>
        <w:jc w:val="center"/>
        <w:rPr>
          <w:rFonts w:ascii="Calibri;sans-serif" w:hAnsi="Calibri;sans-serif"/>
          <w:b/>
          <w:color w:val="000000"/>
          <w:sz w:val="22"/>
        </w:rPr>
      </w:pPr>
      <w:r>
        <w:rPr>
          <w:rFonts w:ascii="Calibri;sans-serif" w:hAnsi="Calibri;sans-serif"/>
          <w:b/>
          <w:color w:val="000000"/>
          <w:sz w:val="22"/>
        </w:rPr>
        <w:t>Cartesian Therapeutics Announces Approval of Conversion of Series A Convertible Preferred Stock and Plans to Effect Reverse Stock Split</w:t>
      </w:r>
    </w:p>
    <w:p>
      <w:pPr>
        <w:pStyle w:val="TextBody"/>
        <w:bidi w:val="0"/>
        <w:spacing w:before="0" w:after="0"/>
        <w:jc w:val="center"/>
        <w:rPr/>
      </w:pPr>
      <w:r>
        <w:rPr/>
      </w:r>
    </w:p>
    <w:p>
      <w:pPr>
        <w:pStyle w:val="TextBody"/>
        <w:bidi w:val="0"/>
        <w:spacing w:lineRule="auto" w:line="300" w:before="0" w:after="0"/>
        <w:jc w:val="center"/>
        <w:rPr>
          <w:rFonts w:ascii="Calibri;sans-serif" w:hAnsi="Calibri;sans-serif"/>
          <w:b w:val="false"/>
          <w:i/>
          <w:color w:val="000000"/>
          <w:sz w:val="22"/>
        </w:rPr>
      </w:pPr>
      <w:r>
        <w:rPr>
          <w:rFonts w:ascii="Calibri;sans-serif" w:hAnsi="Calibri;sans-serif"/>
          <w:b w:val="false"/>
          <w:i/>
          <w:color w:val="000000"/>
          <w:sz w:val="22"/>
        </w:rPr>
        <w:t>Proposals approved at Company’s special meeting of stockholders held March 27, 2024</w:t>
      </w:r>
    </w:p>
    <w:p>
      <w:pPr>
        <w:pStyle w:val="TextBody"/>
        <w:bidi w:val="0"/>
        <w:spacing w:before="0" w:after="0"/>
        <w:jc w:val="center"/>
        <w:rPr/>
      </w:pPr>
      <w:r>
        <w:rPr/>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GAITHERSBURG, MD, March 28, 2024 (GLOBE NEWSWIRE) – Cartesian Therapeutics, Inc. (NASDAQ: RNAC) (the “Company”), a clinical-stage biotechnology company pioneering mRNA cell therapy for autoimmune diseases, today announced results from a special meeting of stockholders held March 27, 2024.</w:t>
      </w:r>
    </w:p>
    <w:p>
      <w:pPr>
        <w:pStyle w:val="TextBody"/>
        <w:bidi w:val="0"/>
        <w:spacing w:before="0" w:after="0"/>
        <w:jc w:val="both"/>
        <w:rPr/>
      </w:pPr>
      <w:r>
        <w:rPr/>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 xml:space="preserve">During the meeting, Cartesian stockholders approved the issuance of shares of common stock upon conversion of Cartesian’s Series A Non-Voting Convertible Preferred Stock. The conversion of the majority of the shares of Series A Non-Voting Convertible Preferred Stock will occur automatically on April 8, 2024 at 5:00 p.m., Eastern time, and the remaining shares of Series A Non-Voting Convertible Preferred Stock remain subject to beneficial ownership limitations described in Cartesian’s filings with the Securities and Exchange Commission. In addition, stockholders voted to approve a reverse stock split of Cartesian’s issued and outstanding common stock. In conjunction with this approval, a 1-for-30 reverse stock split of Cartesian’s outstanding shares of common stock, par value $0.0001 per share, will be effective after the closing of trading hours on April 4, 2024. </w:t>
      </w:r>
    </w:p>
    <w:p>
      <w:pPr>
        <w:pStyle w:val="TextBody"/>
        <w:bidi w:val="0"/>
        <w:spacing w:before="0" w:after="0"/>
        <w:jc w:val="both"/>
        <w:rPr/>
      </w:pPr>
      <w:r>
        <w:rPr/>
      </w:r>
    </w:p>
    <w:p>
      <w:pPr>
        <w:pStyle w:val="TextBody"/>
        <w:bidi w:val="0"/>
        <w:spacing w:lineRule="auto" w:line="300" w:before="0" w:after="0"/>
        <w:jc w:val="both"/>
        <w:rPr>
          <w:rFonts w:ascii="Calibri;sans-serif" w:hAnsi="Calibri;sans-serif"/>
          <w:b/>
          <w:color w:val="000000"/>
          <w:sz w:val="22"/>
        </w:rPr>
      </w:pPr>
      <w:r>
        <w:rPr>
          <w:rFonts w:ascii="Calibri;sans-serif" w:hAnsi="Calibri;sans-serif"/>
          <w:b/>
          <w:color w:val="000000"/>
          <w:sz w:val="22"/>
        </w:rPr>
        <w:t>Information Regarding Reverse Stock Split</w:t>
      </w:r>
    </w:p>
    <w:p>
      <w:pPr>
        <w:pStyle w:val="TextBody"/>
        <w:bidi w:val="0"/>
        <w:spacing w:before="0" w:after="0"/>
        <w:jc w:val="both"/>
        <w:rPr/>
      </w:pPr>
      <w:r>
        <w:rPr/>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Cartesian’s common stock will begin trading on a reverse stock split-adjusted basis at the opening of market trading on April 5, 2024. Following the reverse stock split, the Company’s common stock will continue to trade on The Nasdaq Global Market under the symbol “RNAC” with the new CUSIP number 816212302.</w:t>
      </w:r>
    </w:p>
    <w:p>
      <w:pPr>
        <w:pStyle w:val="TextBody"/>
        <w:bidi w:val="0"/>
        <w:spacing w:before="0" w:after="0"/>
        <w:jc w:val="both"/>
        <w:rPr/>
      </w:pPr>
      <w:r>
        <w:rPr/>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At the effective time of the reverse split, every 30 issued and outstanding shares of the Company’s common stock will automatically be combined into one issued and outstanding share of the Company’s common stock without any change in the par value per share. Fractional shares will not be issued in connection with the reverse stock split. Stockholders who would otherwise be entitled to receive a fractional share will be entitled to receive a cash payment in lieu of such fractional share. The reverse stock split will affect all stockholders uniformly and will not alter any stockholder’s relative interest in the Company’s equity securities, except for any adjustments for fractional shares. In addition, proportionate adjustments will be made to the number of shares underlying, and the exercise or conversion prices of, the Company’s outstanding stock options and warrants, and to the number of shares of common stock issuable under the Company’s equity incentive plans, and to the conversion ratio of the Company’s Series A Non-Voting Convertible Preferred Stock, par value $0.0001 per share.</w:t>
      </w:r>
    </w:p>
    <w:p>
      <w:pPr>
        <w:pStyle w:val="TextBody"/>
        <w:bidi w:val="0"/>
        <w:spacing w:before="0" w:after="0"/>
        <w:jc w:val="both"/>
        <w:rPr/>
      </w:pPr>
      <w:r>
        <w:rPr/>
      </w:r>
    </w:p>
    <w:p>
      <w:pPr>
        <w:pStyle w:val="TextBody"/>
        <w:bidi w:val="0"/>
        <w:spacing w:lineRule="auto" w:line="300"/>
        <w:jc w:val="both"/>
        <w:rPr>
          <w:rFonts w:ascii="Calibri;sans-serif" w:hAnsi="Calibri;sans-serif"/>
          <w:b w:val="false"/>
          <w:color w:val="000000"/>
          <w:sz w:val="22"/>
        </w:rPr>
      </w:pPr>
      <w:r>
        <w:rPr>
          <w:rFonts w:ascii="Calibri;sans-serif" w:hAnsi="Calibri;sans-serif"/>
          <w:b w:val="false"/>
          <w:color w:val="000000"/>
          <w:sz w:val="22"/>
        </w:rPr>
        <w:t xml:space="preserve">The reverse stock split will reduce the number of issued and outstanding shares of the Company’s common stock from approximately 165.5 million shares to approximately 5.5 million shares before the automatic conversion of the Company’s Series A Non-Voting Convertible Preferred Stock into common stock, or approximately 17.8 million shares thereafter. The approximately 166.3 thousand shares of Series A Non-Voting Convertible Preferred Stock that remain subject to beneficial ownership limitations </w:t>
      </w:r>
    </w:p>
    <w:p>
      <w:pPr>
        <w:pStyle w:val="TextBody"/>
        <w:bidi w:val="0"/>
        <w:spacing w:before="0" w:after="0"/>
        <w:jc w:val="right"/>
        <w:rPr/>
      </w:pPr>
      <w:r>
        <w:rPr/>
        <w:drawing>
          <wp:inline distT="0" distB="0" distL="0" distR="0">
            <wp:extent cx="1524000" cy="4667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1524000" cy="46672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will be convertible into approximately 5.5 million shares of common stock for a total of approximately 23.3 million shares of common stock outstanding once converted.</w:t>
      </w:r>
    </w:p>
    <w:p>
      <w:pPr>
        <w:pStyle w:val="TextBody"/>
        <w:bidi w:val="0"/>
        <w:spacing w:before="0" w:after="0"/>
        <w:jc w:val="both"/>
        <w:rPr/>
      </w:pPr>
      <w:r>
        <w:rPr/>
      </w:r>
    </w:p>
    <w:p>
      <w:pPr>
        <w:pStyle w:val="TextBody"/>
        <w:bidi w:val="0"/>
        <w:spacing w:lineRule="auto" w:line="300" w:before="0" w:after="0"/>
        <w:jc w:val="both"/>
        <w:rPr>
          <w:rFonts w:ascii="Calibri;sans-serif" w:hAnsi="Calibri;sans-serif"/>
          <w:b/>
          <w:color w:val="000000"/>
          <w:sz w:val="22"/>
        </w:rPr>
      </w:pPr>
      <w:r>
        <w:rPr>
          <w:rFonts w:ascii="Calibri;sans-serif" w:hAnsi="Calibri;sans-serif"/>
          <w:b/>
          <w:color w:val="000000"/>
          <w:sz w:val="22"/>
        </w:rPr>
        <w:t>About Cartesian Therapeutics</w:t>
      </w:r>
    </w:p>
    <w:p>
      <w:pPr>
        <w:pStyle w:val="TextBody"/>
        <w:bidi w:val="0"/>
        <w:spacing w:before="0" w:after="0"/>
        <w:jc w:val="both"/>
        <w:rPr/>
      </w:pPr>
      <w:r>
        <w:rPr/>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Cartesian Therapeutics is a clinical-stage company pioneering mRNA cell therapies for the treatment of autoimmune diseases. The Company’s lead asset, Descartes-08, is a potential first-in-class mRNA CAR-T in Phase 2b clinical development for patients with generalized myasthenia gravis. Additional Phase 2 studies are planned in systemic lupus erythematosus under an allowed IND, as well as basket trials in additional autoimmune indications. The Company’s clinical-stage pipeline also includes Descartes-15, a next-generation, autologous anti-BCMA mRNA CAR-T.</w:t>
      </w:r>
    </w:p>
    <w:p>
      <w:pPr>
        <w:pStyle w:val="TextBody"/>
        <w:bidi w:val="0"/>
        <w:spacing w:before="0" w:after="0"/>
        <w:jc w:val="both"/>
        <w:rPr/>
      </w:pPr>
      <w:r>
        <w:rPr/>
      </w:r>
    </w:p>
    <w:p>
      <w:pPr>
        <w:pStyle w:val="TextBody"/>
        <w:bidi w:val="0"/>
        <w:spacing w:lineRule="auto" w:line="300" w:before="0" w:after="0"/>
        <w:jc w:val="both"/>
        <w:rPr>
          <w:rFonts w:ascii="Calibri;sans-serif" w:hAnsi="Calibri;sans-serif"/>
          <w:b/>
          <w:color w:val="000000"/>
          <w:sz w:val="22"/>
        </w:rPr>
      </w:pPr>
      <w:r>
        <w:rPr>
          <w:rFonts w:ascii="Calibri;sans-serif" w:hAnsi="Calibri;sans-serif"/>
          <w:b/>
          <w:color w:val="000000"/>
          <w:sz w:val="22"/>
        </w:rPr>
        <w:t>Forward Looking Statements</w:t>
      </w:r>
    </w:p>
    <w:p>
      <w:pPr>
        <w:pStyle w:val="TextBody"/>
        <w:bidi w:val="0"/>
        <w:spacing w:before="0" w:after="0"/>
        <w:jc w:val="both"/>
        <w:rPr/>
      </w:pPr>
      <w:r>
        <w:rPr/>
      </w:r>
    </w:p>
    <w:p>
      <w:pPr>
        <w:pStyle w:val="TextBody"/>
        <w:bidi w:val="0"/>
        <w:spacing w:lineRule="auto" w:line="300" w:before="0" w:after="160"/>
        <w:jc w:val="both"/>
        <w:rPr>
          <w:rFonts w:ascii="Calibri;sans-serif" w:hAnsi="Calibri;sans-serif"/>
          <w:b w:val="false"/>
          <w:color w:val="000000"/>
          <w:sz w:val="22"/>
        </w:rPr>
      </w:pPr>
      <w:r>
        <w:rPr>
          <w:rFonts w:ascii="Calibri;sans-serif" w:hAnsi="Calibri;sans-serif"/>
          <w:b w:val="false"/>
          <w:color w:val="000000"/>
          <w:sz w:val="22"/>
        </w:rPr>
        <w:t xml:space="preserve">Any statements in this press release about the future expectations, plans and prospects of the Company, including without limitation, statements regarding the Company’s planned reverse stock split and the timing thereof, the automatic conversion and any future conversions of the Company’s Series A Non-Voting Convertible Preferred Stock into common stock, the impact of the reverse stock split on the Company’s stockholders, including any adjustments that may result from the treatment of fractional shares, the expected number of shares of common stock to be issued and outstanding following the reverse stock split, the potential of Descartes-08 and Descartes-15 and the Company’s other product candidates to treat myasthenia gravis, systemic lupus erythematosus, or any other disease, the anticipated timing or the outcome of the FDA’s review of the Company’s regulatory filings,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RNA Armory® technology, potential delays in enrollment of patients, undesirable side effects of the Company’s product candidates, its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w:t>
      </w:r>
    </w:p>
    <w:p>
      <w:pPr>
        <w:pStyle w:val="TextBody"/>
        <w:bidi w:val="0"/>
        <w:spacing w:before="0" w:after="0"/>
        <w:jc w:val="right"/>
        <w:rPr/>
      </w:pPr>
      <w:r>
        <w:rPr/>
        <w:drawing>
          <wp:inline distT="0" distB="0" distL="0" distR="0">
            <wp:extent cx="1524000" cy="46672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1524000" cy="46672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160"/>
        <w:jc w:val="both"/>
        <w:rPr>
          <w:rFonts w:ascii="Calibri;sans-serif" w:hAnsi="Calibri;sans-serif"/>
          <w:b w:val="false"/>
          <w:color w:val="000000"/>
          <w:sz w:val="22"/>
        </w:rPr>
      </w:pPr>
      <w:r>
        <w:rPr>
          <w:rFonts w:ascii="Calibri;sans-serif" w:hAnsi="Calibri;sans-serif"/>
          <w:b w:val="false"/>
          <w:color w:val="000000"/>
          <w:sz w:val="22"/>
        </w:rPr>
        <w:t>any subsequent date. The Company specifically disclaims any intention to update any forward-looking statements included in this press release, except as required by law.</w:t>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Contact Information:</w:t>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Investor Relations:</w:t>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Melissa Forst</w:t>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Argot Partners</w:t>
      </w:r>
    </w:p>
    <w:p>
      <w:pPr>
        <w:pStyle w:val="TextBody"/>
        <w:bidi w:val="0"/>
        <w:spacing w:lineRule="auto" w:line="300" w:before="0" w:after="0"/>
        <w:jc w:val="both"/>
        <w:rPr>
          <w:rFonts w:ascii="Calibri;sans-serif" w:hAnsi="Calibri;sans-serif"/>
          <w:b w:val="false"/>
          <w:color w:val="0563C1"/>
          <w:sz w:val="22"/>
          <w:u w:val="single"/>
        </w:rPr>
      </w:pPr>
      <w:r>
        <w:rPr>
          <w:rFonts w:ascii="Calibri;sans-serif" w:hAnsi="Calibri;sans-serif"/>
          <w:b w:val="false"/>
          <w:color w:val="0563C1"/>
          <w:sz w:val="22"/>
          <w:u w:val="single"/>
        </w:rPr>
        <w:t>cartesian@argotpartners.com</w:t>
      </w:r>
    </w:p>
    <w:p>
      <w:pPr>
        <w:pStyle w:val="TextBody"/>
        <w:bidi w:val="0"/>
        <w:spacing w:before="0" w:after="0"/>
        <w:jc w:val="both"/>
        <w:rPr/>
      </w:pPr>
      <w:r>
        <w:rPr/>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Media:</w:t>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David Rosen</w:t>
      </w:r>
    </w:p>
    <w:p>
      <w:pPr>
        <w:pStyle w:val="TextBody"/>
        <w:bidi w:val="0"/>
        <w:spacing w:lineRule="auto" w:line="300" w:before="0" w:after="0"/>
        <w:jc w:val="both"/>
        <w:rPr>
          <w:rFonts w:ascii="Calibri;sans-serif" w:hAnsi="Calibri;sans-serif"/>
          <w:b w:val="false"/>
          <w:color w:val="000000"/>
          <w:sz w:val="22"/>
        </w:rPr>
      </w:pPr>
      <w:r>
        <w:rPr>
          <w:rFonts w:ascii="Calibri;sans-serif" w:hAnsi="Calibri;sans-serif"/>
          <w:b w:val="false"/>
          <w:color w:val="000000"/>
          <w:sz w:val="22"/>
        </w:rPr>
        <w:t>Argot Partners</w:t>
      </w:r>
    </w:p>
    <w:p>
      <w:pPr>
        <w:pStyle w:val="TextBody"/>
        <w:bidi w:val="0"/>
        <w:spacing w:lineRule="auto" w:line="300" w:before="0" w:after="0"/>
        <w:jc w:val="both"/>
        <w:rPr/>
      </w:pPr>
      <w:r>
        <w:rPr>
          <w:rFonts w:ascii="Calibri;sans-serif" w:hAnsi="Calibri;sans-serif"/>
          <w:b w:val="false"/>
          <w:color w:val="0563C1"/>
          <w:sz w:val="22"/>
          <w:u w:val="single"/>
        </w:rPr>
        <w:t>cartesian@argotpartners.com</w:t>
      </w:r>
      <w:r>
        <w:rPr>
          <w:color w:val="000000"/>
        </w:rPr>
        <w:t xml:space="preserve">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4519</Words>
  <Characters>25135</Characters>
  <CharactersWithSpaces>29627</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