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19"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Polaris Partners</w:t>
            </w: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Gunderson Dettmer Stough Villeneuve</w:t>
            </w:r>
          </w:p>
        </w:tc>
      </w:t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One Marina Park Drive, 10th Floor</w:t>
            </w: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5"/>
              </w:rPr>
              <w:t>Franklin &amp; Hachigian, LLP</w:t>
            </w:r>
          </w:p>
        </w:tc>
      </w:t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Boston, MA 02210</w:t>
            </w:r>
          </w:p>
        </w:tc>
        <w:tc>
          <w:tcPr>
            <w:tcW w:w="442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One Marina Park Drive, Suite 900</w:t>
            </w:r>
          </w:p>
        </w:tc>
      </w:tr>
      <w:tr>
        <w:trPr>
          <w:trHeight w:val="216"/>
        </w:trPr>
        <w:tc>
          <w:tcPr>
            <w:tcW w:w="4200" w:type="dxa"/>
            <w:vAlign w:val="bottom"/>
          </w:tcPr>
          <w:p>
            <w:pPr>
              <w:spacing w:after="0"/>
              <w:rPr>
                <w:sz w:val="18"/>
                <w:szCs w:val="18"/>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Boston, MA 02210</w:t>
            </w:r>
          </w:p>
        </w:tc>
      </w:tr>
      <w:tr>
        <w:trPr>
          <w:trHeight w:val="216"/>
        </w:trPr>
        <w:tc>
          <w:tcPr>
            <w:tcW w:w="4200" w:type="dxa"/>
            <w:vAlign w:val="bottom"/>
          </w:tcPr>
          <w:p>
            <w:pPr>
              <w:spacing w:after="0"/>
              <w:rPr>
                <w:sz w:val="18"/>
                <w:szCs w:val="18"/>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Attn: Jay K. Hachigian, Esq.</w:t>
            </w:r>
          </w:p>
        </w:tc>
      </w:tr>
      <w:tr>
        <w:trPr>
          <w:trHeight w:val="234"/>
        </w:trPr>
        <w:tc>
          <w:tcPr>
            <w:tcW w:w="4200" w:type="dxa"/>
            <w:vAlign w:val="bottom"/>
          </w:tcPr>
          <w:p>
            <w:pPr>
              <w:spacing w:after="0"/>
              <w:rPr>
                <w:sz w:val="20"/>
                <w:szCs w:val="20"/>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(617) 648-9100</w:t>
            </w:r>
          </w:p>
        </w:tc>
      </w:tr>
    </w:tbl>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20,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375" w:hanging="285"/>
        <w:spacing w:after="0"/>
        <w:tabs>
          <w:tab w:leader="none" w:pos="375"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Polaris Venture Partners V, L.P. (“PVP V”)</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-499110</wp:posOffset>
            </wp:positionV>
            <wp:extent cx="7254875" cy="640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405880"/>
                    </a:xfrm>
                    <a:prstGeom prst="rect">
                      <a:avLst/>
                    </a:prstGeom>
                    <a:noFill/>
                  </pic:spPr>
                </pic:pic>
              </a:graphicData>
            </a:graphic>
          </wp:anchor>
        </w:drawing>
      </w:r>
    </w:p>
    <w:p>
      <w:pPr>
        <w:spacing w:after="0" w:line="78" w:lineRule="exact"/>
        <w:rPr>
          <w:sz w:val="20"/>
          <w:szCs w:val="20"/>
          <w:color w:val="auto"/>
        </w:rPr>
      </w:pPr>
    </w:p>
    <w:p>
      <w:pPr>
        <w:ind w:left="375"/>
        <w:spacing w:after="0" w:line="207" w:lineRule="exact"/>
        <w:tabs>
          <w:tab w:leader="none" w:pos="117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375" w:hanging="285"/>
        <w:spacing w:after="0"/>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0" w:lineRule="exact"/>
        <w:rPr>
          <w:rFonts w:ascii="Arial" w:cs="Arial" w:eastAsia="Arial" w:hAnsi="Arial"/>
          <w:sz w:val="18"/>
          <w:szCs w:val="18"/>
          <w:color w:val="auto"/>
        </w:rPr>
      </w:pPr>
    </w:p>
    <w:p>
      <w:pPr>
        <w:ind w:left="375" w:hanging="285"/>
        <w:spacing w:after="0"/>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8260" w:hanging="285"/>
        <w:spacing w:after="0" w:line="332"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1435" w:hanging="286"/>
        <w:spacing w:after="0"/>
        <w:tabs>
          <w:tab w:leader="none" w:pos="1435"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30" w:lineRule="exact"/>
        <w:rPr>
          <w:rFonts w:ascii="Arial" w:cs="Arial" w:eastAsia="Arial" w:hAnsi="Arial"/>
          <w:sz w:val="18"/>
          <w:szCs w:val="18"/>
          <w:color w:val="auto"/>
        </w:rPr>
      </w:pPr>
    </w:p>
    <w:p>
      <w:pPr>
        <w:ind w:left="1435" w:right="60"/>
        <w:spacing w:after="0" w:line="286" w:lineRule="auto"/>
        <w:rPr>
          <w:rFonts w:ascii="Arial" w:cs="Arial" w:eastAsia="Arial" w:hAnsi="Arial"/>
          <w:sz w:val="18"/>
          <w:szCs w:val="18"/>
          <w:color w:val="auto"/>
        </w:rPr>
      </w:pPr>
      <w:r>
        <w:rPr>
          <w:rFonts w:ascii="Arial" w:cs="Arial" w:eastAsia="Arial" w:hAnsi="Arial"/>
          <w:sz w:val="16"/>
          <w:szCs w:val="16"/>
          <w:color w:val="auto"/>
        </w:rPr>
        <w:t>1,628,440 shares, of which (a) 1,550,478 shares are Common Stock and (b) 77,962 shares represent underlying Common Stock pursuant to a warrant exercisable within 60 days, except that (i) Polaris Venture Management Co. V, L.L.C. (“PVM V”), the general partner of PVP V, may be deemed to have sole power to vote these shares, and (ii) Jonathan A. Flint (“Flint”), a managing member of PVM V, may be deemed to have shared power to vote these shares, Terrance G. McGuire (“McGuire”), a managing member of PVM V,</w:t>
      </w:r>
    </w:p>
    <w:p>
      <w:pPr>
        <w:spacing w:after="0" w:line="2" w:lineRule="exact"/>
        <w:rPr>
          <w:sz w:val="20"/>
          <w:szCs w:val="20"/>
          <w:color w:val="auto"/>
        </w:rPr>
      </w:pPr>
    </w:p>
    <w:tbl>
      <w:tblPr>
        <w:tblLayout w:type="fixed"/>
        <w:tblInd w:w="35"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may be deemed to have shared power to vote these shares and Amir Nashat (“Nashat”), a member of PVM V and member of the Board</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of Directors of the Issuer, may be deemed to have shared power to vote these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1,628,440 shares, of which (a) 1,550,478 shares are Common Stock and (b) 77,962 shares represent underlying Common Stock</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pursuant to a warrant exercisable within 60 days, except that (i) PVM V, the general partner of PVP V, may be deemed to have sole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power to dispose of these shares, and (ii) Flint, a managing member of PVM V, may be deemed to have shared power to dispose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these shares, McGuire, a managing member of PVM V, may be deemed to have shared power to dispose of these shares and Nashat,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member of PVM V and member of the Board of Directors of the Issuer, maybe be deemed to have shared power to dispose of these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35" w:right="7960" w:hanging="376"/>
        <w:spacing w:after="0" w:line="378" w:lineRule="auto"/>
        <w:tabs>
          <w:tab w:leader="none" w:pos="1435"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375" w:right="6080" w:hanging="375"/>
        <w:spacing w:after="0" w:line="336"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1,628,440</w:t>
      </w:r>
    </w:p>
    <w:p>
      <w:pPr>
        <w:spacing w:after="0" w:line="1" w:lineRule="exact"/>
        <w:rPr>
          <w:rFonts w:ascii="Arial" w:cs="Arial" w:eastAsia="Arial" w:hAnsi="Arial"/>
          <w:sz w:val="18"/>
          <w:szCs w:val="18"/>
          <w:color w:val="auto"/>
        </w:rPr>
      </w:pP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7020" w:hanging="375"/>
        <w:spacing w:after="0" w:line="33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7.4%</w:t>
      </w:r>
    </w:p>
    <w:p>
      <w:pPr>
        <w:ind w:left="375" w:hanging="375"/>
        <w:spacing w:after="0"/>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75"/>
          </w:cols>
          <w:pgMar w:left="405" w:top="287" w:right="219" w:bottom="1440" w:gutter="0" w:footer="0" w:header="0"/>
        </w:sectPr>
      </w:pPr>
    </w:p>
    <w:bookmarkStart w:id="2" w:name="page3"/>
    <w:bookmarkEnd w:id="2"/>
    <w:p>
      <w:pPr>
        <w:ind w:left="375" w:hanging="285"/>
        <w:spacing w:after="0"/>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Polaris Venture Partners Entrepreneurs’ Fund V, L.P. (“PVPE V”)</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-499110</wp:posOffset>
            </wp:positionV>
            <wp:extent cx="7254875" cy="6131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78" w:lineRule="exact"/>
        <w:rPr>
          <w:sz w:val="20"/>
          <w:szCs w:val="20"/>
          <w:color w:val="auto"/>
        </w:rPr>
      </w:pPr>
    </w:p>
    <w:p>
      <w:pPr>
        <w:ind w:left="375"/>
        <w:spacing w:after="0" w:line="207" w:lineRule="exact"/>
        <w:tabs>
          <w:tab w:leader="none" w:pos="117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375" w:hanging="285"/>
        <w:spacing w:after="0"/>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0" w:lineRule="exact"/>
        <w:rPr>
          <w:rFonts w:ascii="Arial" w:cs="Arial" w:eastAsia="Arial" w:hAnsi="Arial"/>
          <w:sz w:val="18"/>
          <w:szCs w:val="18"/>
          <w:color w:val="auto"/>
        </w:rPr>
      </w:pPr>
    </w:p>
    <w:p>
      <w:pPr>
        <w:ind w:left="375" w:hanging="285"/>
        <w:spacing w:after="0"/>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8260" w:hanging="285"/>
        <w:spacing w:after="0" w:line="332"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1435" w:hanging="286"/>
        <w:spacing w:after="0"/>
        <w:tabs>
          <w:tab w:leader="none" w:pos="1435"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31" w:lineRule="exact"/>
        <w:rPr>
          <w:sz w:val="20"/>
          <w:szCs w:val="20"/>
          <w:color w:val="auto"/>
        </w:rPr>
      </w:pPr>
    </w:p>
    <w:tbl>
      <w:tblPr>
        <w:tblLayout w:type="fixed"/>
        <w:tblInd w:w="35"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31,734 shares, of which (a) 30,215 shares are Common Stock and (b) 1,519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warrant exercisable within 60 days, except that (i) PVM V, the general partner of PVPE V, may be deemed to have sole power to vote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these shares, and (ii) Flint, a managing member of PVM V, may be deemed to have shared power to vote these shares, McGuire, a</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managing member of PVM V, may be deemed to have shared power to vote these shares and Nashat, a member of PVM V and member</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of the Board of Directors of the Issuer, may be deemed to have shared power to vote these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31,734 shares, of which (a) 30,215 shares are Common Stock and (b) 1,519 shares represent underlying Common Stock pursuant to a</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6"/>
              </w:rPr>
              <w:t>warrant exercisable within 60 days, except that (i) PVM V, the general partner of PVPE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dispose 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7"/>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35" w:right="7960" w:hanging="376"/>
        <w:spacing w:after="0" w:line="378" w:lineRule="auto"/>
        <w:tabs>
          <w:tab w:leader="none" w:pos="1435"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375" w:right="6080" w:hanging="375"/>
        <w:spacing w:after="0" w:line="336" w:lineRule="auto"/>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31,734</w:t>
      </w:r>
    </w:p>
    <w:p>
      <w:pPr>
        <w:spacing w:after="0" w:line="1" w:lineRule="exact"/>
        <w:rPr>
          <w:rFonts w:ascii="Arial" w:cs="Arial" w:eastAsia="Arial" w:hAnsi="Arial"/>
          <w:sz w:val="18"/>
          <w:szCs w:val="18"/>
          <w:color w:val="auto"/>
        </w:rPr>
      </w:pPr>
    </w:p>
    <w:p>
      <w:pPr>
        <w:ind w:left="375" w:hanging="375"/>
        <w:spacing w:after="0"/>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7020" w:hanging="375"/>
        <w:spacing w:after="0" w:line="332" w:lineRule="auto"/>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ind w:left="375" w:hanging="375"/>
        <w:spacing w:after="0"/>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75"/>
          </w:cols>
          <w:pgMar w:left="405" w:top="287" w:right="219" w:bottom="1440" w:gutter="0" w:footer="0" w:header="0"/>
        </w:sectPr>
      </w:pPr>
    </w:p>
    <w:bookmarkStart w:id="3" w:name="page4"/>
    <w:bookmarkEnd w:id="3"/>
    <w:p>
      <w:pPr>
        <w:ind w:left="375" w:hanging="285"/>
        <w:spacing w:after="0"/>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Polaris Venture Partners Founders’ Fund V, L.P. (“PVPFF V”)</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-499110</wp:posOffset>
            </wp:positionV>
            <wp:extent cx="7254875" cy="6131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78" w:lineRule="exact"/>
        <w:rPr>
          <w:sz w:val="20"/>
          <w:szCs w:val="20"/>
          <w:color w:val="auto"/>
        </w:rPr>
      </w:pPr>
    </w:p>
    <w:p>
      <w:pPr>
        <w:ind w:left="375"/>
        <w:spacing w:after="0" w:line="207" w:lineRule="exact"/>
        <w:tabs>
          <w:tab w:leader="none" w:pos="117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375" w:hanging="285"/>
        <w:spacing w:after="0"/>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0" w:lineRule="exact"/>
        <w:rPr>
          <w:rFonts w:ascii="Arial" w:cs="Arial" w:eastAsia="Arial" w:hAnsi="Arial"/>
          <w:sz w:val="18"/>
          <w:szCs w:val="18"/>
          <w:color w:val="auto"/>
        </w:rPr>
      </w:pPr>
    </w:p>
    <w:p>
      <w:pPr>
        <w:ind w:left="375" w:hanging="285"/>
        <w:spacing w:after="0"/>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8260" w:hanging="285"/>
        <w:spacing w:after="0" w:line="332" w:lineRule="auto"/>
        <w:tabs>
          <w:tab w:leader="none" w:pos="3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1435" w:hanging="286"/>
        <w:spacing w:after="0"/>
        <w:tabs>
          <w:tab w:leader="none" w:pos="14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31" w:lineRule="exact"/>
        <w:rPr>
          <w:sz w:val="20"/>
          <w:szCs w:val="20"/>
          <w:color w:val="auto"/>
        </w:rPr>
      </w:pPr>
    </w:p>
    <w:tbl>
      <w:tblPr>
        <w:tblLayout w:type="fixed"/>
        <w:tblInd w:w="35"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11,152 shares, of which (a) 10,618 shares are Common Stock and (b) 534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warrant exercisable within 60 days, except that (i) PVM V, the general partner of PVPFF V, may be deemed to have sole power to vote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these shares, and (ii) Flint, a managing member of PVM V, may be deemed to have shared power to vote these shares, McGuire, a</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managing member of PVM V, may be deemed to have shared power to vote these shares, and Nashat, a member of PVM V and</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11,152 shares, of which (a) 10,618 shares are Common Stock and (b) 534 shares represent underlying Common Stock pursuant to a</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except that (i) PVM V, the general partner of PVPFF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dispose 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7"/>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35" w:right="7960" w:hanging="376"/>
        <w:spacing w:after="0" w:line="378" w:lineRule="auto"/>
        <w:tabs>
          <w:tab w:leader="none" w:pos="1435" w:val="left"/>
        </w:tabs>
        <w:numPr>
          <w:ilvl w:val="1"/>
          <w:numId w:val="12"/>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375" w:right="6080" w:hanging="375"/>
        <w:spacing w:after="0" w:line="336"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11,152</w:t>
      </w:r>
    </w:p>
    <w:p>
      <w:pPr>
        <w:spacing w:after="0" w:line="1" w:lineRule="exact"/>
        <w:rPr>
          <w:rFonts w:ascii="Arial" w:cs="Arial" w:eastAsia="Arial" w:hAnsi="Arial"/>
          <w:sz w:val="18"/>
          <w:szCs w:val="18"/>
          <w:color w:val="auto"/>
        </w:rPr>
      </w:pPr>
    </w:p>
    <w:p>
      <w:pPr>
        <w:ind w:left="375" w:hanging="375"/>
        <w:spacing w:after="0"/>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7020" w:hanging="375"/>
        <w:spacing w:after="0" w:line="332"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ind w:left="375" w:hanging="375"/>
        <w:spacing w:after="0"/>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75"/>
          </w:cols>
          <w:pgMar w:left="405" w:top="287" w:right="219" w:bottom="1440" w:gutter="0" w:footer="0" w:header="0"/>
        </w:sectPr>
      </w:pPr>
    </w:p>
    <w:bookmarkStart w:id="4" w:name="page5"/>
    <w:bookmarkEnd w:id="4"/>
    <w:p>
      <w:pPr>
        <w:ind w:left="375" w:hanging="285"/>
        <w:spacing w:after="0"/>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Polaris Venture Partners Special Founders’ Fund V, L.P. (“PVPSFF V”)</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-499110</wp:posOffset>
            </wp:positionV>
            <wp:extent cx="7254875" cy="6131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78" w:lineRule="exact"/>
        <w:rPr>
          <w:sz w:val="20"/>
          <w:szCs w:val="20"/>
          <w:color w:val="auto"/>
        </w:rPr>
      </w:pPr>
    </w:p>
    <w:p>
      <w:pPr>
        <w:ind w:left="375"/>
        <w:spacing w:after="0" w:line="207" w:lineRule="exact"/>
        <w:tabs>
          <w:tab w:leader="none" w:pos="117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375" w:hanging="285"/>
        <w:spacing w:after="0"/>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0" w:lineRule="exact"/>
        <w:rPr>
          <w:rFonts w:ascii="Arial" w:cs="Arial" w:eastAsia="Arial" w:hAnsi="Arial"/>
          <w:sz w:val="18"/>
          <w:szCs w:val="18"/>
          <w:color w:val="auto"/>
        </w:rPr>
      </w:pPr>
    </w:p>
    <w:p>
      <w:pPr>
        <w:ind w:left="375" w:hanging="285"/>
        <w:spacing w:after="0"/>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75" w:hanging="285"/>
        <w:spacing w:after="0"/>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8260" w:hanging="285"/>
        <w:spacing w:after="0" w:line="332"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1435" w:hanging="286"/>
        <w:spacing w:after="0"/>
        <w:tabs>
          <w:tab w:leader="none" w:pos="1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31" w:lineRule="exact"/>
        <w:rPr>
          <w:sz w:val="20"/>
          <w:szCs w:val="20"/>
          <w:color w:val="auto"/>
        </w:rPr>
      </w:pPr>
    </w:p>
    <w:tbl>
      <w:tblPr>
        <w:tblLayout w:type="fixed"/>
        <w:tblInd w:w="35"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19,518 shares, of which (a) 15,502 shares are Common Stock and (b) 4,016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4"/>
              </w:rPr>
              <w:t>warrant exercisable within 60 days, except that (i) PVM V, the general partner of PVPSFF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vote these shares, and (ii) Flint, a managing member of PVM V, may be deemed to have shared power to vote these shares, McGuire, a</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managing member of PVM V, may be deemed to have shared power to vote these shares, and Nashat, a member of PVM V and</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19,518 shares, of which (a) 15,502 shares are Common Stock and (b) 4,016 shares represent underlying Common Stock pursuant to a</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4"/>
              </w:rPr>
              <w:t>warrant exercisable within 60 days, except that (i) PVM V, the general partner of PVPSFF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0"/>
              </w:rPr>
              <w:t>dispose 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7"/>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35" w:right="7960" w:hanging="376"/>
        <w:spacing w:after="0" w:line="378" w:lineRule="auto"/>
        <w:tabs>
          <w:tab w:leader="none" w:pos="1435"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375" w:right="6080" w:hanging="375"/>
        <w:spacing w:after="0" w:line="336"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19,518</w:t>
      </w:r>
    </w:p>
    <w:p>
      <w:pPr>
        <w:spacing w:after="0" w:line="1" w:lineRule="exact"/>
        <w:rPr>
          <w:rFonts w:ascii="Arial" w:cs="Arial" w:eastAsia="Arial" w:hAnsi="Arial"/>
          <w:sz w:val="18"/>
          <w:szCs w:val="18"/>
          <w:color w:val="auto"/>
        </w:rPr>
      </w:pPr>
    </w:p>
    <w:p>
      <w:pPr>
        <w:ind w:left="375" w:hanging="375"/>
        <w:spacing w:after="0"/>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37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75" w:right="7020" w:hanging="375"/>
        <w:spacing w:after="0" w:line="332"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ind w:left="375" w:hanging="375"/>
        <w:spacing w:after="0"/>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375"/>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75"/>
          </w:cols>
          <w:pgMar w:left="405" w:top="287"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98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color w:val="auto"/>
              </w:rPr>
              <w:t>Names of Reporting Persons.</w:t>
            </w:r>
          </w:p>
        </w:tc>
      </w:tr>
      <w:tr>
        <w:trPr>
          <w:trHeight w:val="317"/>
        </w:trPr>
        <w:tc>
          <w:tcPr>
            <w:tcW w:w="4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Polaris Venture Management Co. V, L.L.C. (“PVM V”)</w:t>
            </w:r>
          </w:p>
        </w:tc>
      </w:tr>
      <w:tr>
        <w:trPr>
          <w:trHeight w:val="216"/>
        </w:trPr>
        <w:tc>
          <w:tcPr>
            <w:tcW w:w="460" w:type="dxa"/>
            <w:vAlign w:val="bottom"/>
          </w:tcPr>
          <w:p>
            <w:pPr>
              <w:jc w:val="right"/>
              <w:spacing w:after="0"/>
              <w:rPr>
                <w:sz w:val="20"/>
                <w:szCs w:val="20"/>
                <w:color w:val="auto"/>
              </w:rPr>
            </w:pPr>
            <w:r>
              <w:rPr>
                <w:rFonts w:ascii="Arial" w:cs="Arial" w:eastAsia="Arial" w:hAnsi="Arial"/>
                <w:sz w:val="17"/>
                <w:szCs w:val="17"/>
                <w:color w:val="auto"/>
              </w:rPr>
              <w:t>2.</w:t>
            </w:r>
          </w:p>
        </w:tc>
        <w:tc>
          <w:tcPr>
            <w:tcW w:w="10980" w:type="dxa"/>
            <w:vAlign w:val="bottom"/>
            <w:gridSpan w:val="2"/>
          </w:tcPr>
          <w:p>
            <w:pPr>
              <w:ind w:left="80"/>
              <w:spacing w:after="0"/>
              <w:rPr>
                <w:sz w:val="20"/>
                <w:szCs w:val="20"/>
                <w:color w:val="auto"/>
              </w:rPr>
            </w:pPr>
            <w:r>
              <w:rPr>
                <w:rFonts w:ascii="Arial" w:cs="Arial" w:eastAsia="Arial" w:hAnsi="Arial"/>
                <w:sz w:val="17"/>
                <w:szCs w:val="17"/>
                <w:color w:val="auto"/>
              </w:rPr>
              <w:t>Check the Appropriate Box if a Member of a Group (See Instructions)</w:t>
            </w:r>
          </w:p>
        </w:tc>
      </w:tr>
      <w:tr>
        <w:trPr>
          <w:trHeight w:val="337"/>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7"/>
                <w:szCs w:val="17"/>
                <w:color w:val="auto"/>
              </w:rPr>
              <w:t xml:space="preserve">(a) </w:t>
            </w:r>
            <w:r>
              <w:rPr>
                <w:rFonts w:ascii="MS PGothic" w:cs="MS PGothic" w:eastAsia="MS PGothic" w:hAnsi="MS PGothic"/>
                <w:sz w:val="17"/>
                <w:szCs w:val="17"/>
                <w:color w:val="auto"/>
              </w:rPr>
              <w:t>☐</w:t>
            </w:r>
          </w:p>
        </w:tc>
        <w:tc>
          <w:tcPr>
            <w:tcW w:w="10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7"/>
                <w:szCs w:val="17"/>
                <w:color w:val="auto"/>
              </w:rPr>
              <w:t xml:space="preserve">(b) </w:t>
            </w:r>
            <w:r>
              <w:rPr>
                <w:rFonts w:ascii="MS PGothic" w:cs="MS PGothic" w:eastAsia="MS PGothic" w:hAnsi="MS PGothic"/>
                <w:sz w:val="17"/>
                <w:szCs w:val="17"/>
                <w:color w:val="auto"/>
              </w:rPr>
              <w:t>☒</w:t>
            </w:r>
          </w:p>
        </w:tc>
      </w:tr>
      <w:tr>
        <w:trPr>
          <w:trHeight w:val="210"/>
        </w:trPr>
        <w:tc>
          <w:tcPr>
            <w:tcW w:w="460" w:type="dxa"/>
            <w:vAlign w:val="bottom"/>
          </w:tcPr>
          <w:p>
            <w:pPr>
              <w:jc w:val="right"/>
              <w:spacing w:after="0"/>
              <w:rPr>
                <w:sz w:val="20"/>
                <w:szCs w:val="20"/>
                <w:color w:val="auto"/>
              </w:rPr>
            </w:pPr>
            <w:r>
              <w:rPr>
                <w:rFonts w:ascii="Arial" w:cs="Arial" w:eastAsia="Arial" w:hAnsi="Arial"/>
                <w:sz w:val="17"/>
                <w:szCs w:val="17"/>
                <w:color w:val="auto"/>
              </w:rPr>
              <w:t>3.</w:t>
            </w:r>
          </w:p>
        </w:tc>
        <w:tc>
          <w:tcPr>
            <w:tcW w:w="10980" w:type="dxa"/>
            <w:vAlign w:val="bottom"/>
            <w:gridSpan w:val="2"/>
          </w:tcPr>
          <w:p>
            <w:pPr>
              <w:ind w:left="80"/>
              <w:spacing w:after="0"/>
              <w:rPr>
                <w:sz w:val="20"/>
                <w:szCs w:val="20"/>
                <w:color w:val="auto"/>
              </w:rPr>
            </w:pPr>
            <w:r>
              <w:rPr>
                <w:rFonts w:ascii="Arial" w:cs="Arial" w:eastAsia="Arial" w:hAnsi="Arial"/>
                <w:sz w:val="17"/>
                <w:szCs w:val="17"/>
                <w:color w:val="auto"/>
              </w:rPr>
              <w:t>SEC Use Only</w:t>
            </w:r>
          </w:p>
        </w:tc>
      </w:tr>
      <w:tr>
        <w:trPr>
          <w:trHeight w:val="121"/>
        </w:trPr>
        <w:tc>
          <w:tcPr>
            <w:tcW w:w="460" w:type="dxa"/>
            <w:vAlign w:val="bottom"/>
            <w:tcBorders>
              <w:bottom w:val="single" w:sz="8" w:color="auto"/>
            </w:tcBorders>
          </w:tcPr>
          <w:p>
            <w:pPr>
              <w:spacing w:after="0"/>
              <w:rPr>
                <w:sz w:val="10"/>
                <w:szCs w:val="10"/>
                <w:color w:val="auto"/>
              </w:rPr>
            </w:pPr>
          </w:p>
        </w:tc>
        <w:tc>
          <w:tcPr>
            <w:tcW w:w="10980" w:type="dxa"/>
            <w:vAlign w:val="bottom"/>
            <w:tcBorders>
              <w:bottom w:val="single" w:sz="8" w:color="auto"/>
            </w:tcBorders>
            <w:gridSpan w:val="2"/>
          </w:tcPr>
          <w:p>
            <w:pPr>
              <w:spacing w:after="0"/>
              <w:rPr>
                <w:sz w:val="10"/>
                <w:szCs w:val="10"/>
                <w:color w:val="auto"/>
              </w:rPr>
            </w:pPr>
          </w:p>
        </w:tc>
      </w:tr>
      <w:tr>
        <w:trPr>
          <w:trHeight w:val="210"/>
        </w:trPr>
        <w:tc>
          <w:tcPr>
            <w:tcW w:w="460" w:type="dxa"/>
            <w:vAlign w:val="bottom"/>
          </w:tcPr>
          <w:p>
            <w:pPr>
              <w:jc w:val="right"/>
              <w:spacing w:after="0"/>
              <w:rPr>
                <w:sz w:val="20"/>
                <w:szCs w:val="20"/>
                <w:color w:val="auto"/>
              </w:rPr>
            </w:pPr>
            <w:r>
              <w:rPr>
                <w:rFonts w:ascii="Arial" w:cs="Arial" w:eastAsia="Arial" w:hAnsi="Arial"/>
                <w:sz w:val="17"/>
                <w:szCs w:val="17"/>
                <w:color w:val="auto"/>
              </w:rPr>
              <w:t>4.</w:t>
            </w:r>
          </w:p>
        </w:tc>
        <w:tc>
          <w:tcPr>
            <w:tcW w:w="10980" w:type="dxa"/>
            <w:vAlign w:val="bottom"/>
            <w:gridSpan w:val="2"/>
          </w:tcPr>
          <w:p>
            <w:pPr>
              <w:ind w:left="80"/>
              <w:spacing w:after="0"/>
              <w:rPr>
                <w:sz w:val="20"/>
                <w:szCs w:val="20"/>
                <w:color w:val="auto"/>
              </w:rPr>
            </w:pPr>
            <w:r>
              <w:rPr>
                <w:rFonts w:ascii="Arial" w:cs="Arial" w:eastAsia="Arial" w:hAnsi="Arial"/>
                <w:sz w:val="17"/>
                <w:szCs w:val="17"/>
                <w:color w:val="auto"/>
              </w:rPr>
              <w:t>Source of Funds (See Instructions)</w:t>
            </w:r>
          </w:p>
        </w:tc>
      </w:tr>
      <w:tr>
        <w:trPr>
          <w:trHeight w:val="317"/>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AF</w:t>
            </w:r>
          </w:p>
        </w:tc>
        <w:tc>
          <w:tcPr>
            <w:tcW w:w="10180" w:type="dxa"/>
            <w:vAlign w:val="bottom"/>
            <w:tcBorders>
              <w:bottom w:val="single" w:sz="8" w:color="auto"/>
            </w:tcBorders>
          </w:tcPr>
          <w:p>
            <w:pPr>
              <w:spacing w:after="0"/>
              <w:rPr>
                <w:sz w:val="24"/>
                <w:szCs w:val="24"/>
                <w:color w:val="auto"/>
              </w:rPr>
            </w:pPr>
          </w:p>
        </w:tc>
      </w:tr>
      <w:tr>
        <w:trPr>
          <w:trHeight w:val="216"/>
        </w:trPr>
        <w:tc>
          <w:tcPr>
            <w:tcW w:w="460" w:type="dxa"/>
            <w:vAlign w:val="bottom"/>
          </w:tcPr>
          <w:p>
            <w:pPr>
              <w:jc w:val="right"/>
              <w:spacing w:after="0"/>
              <w:rPr>
                <w:sz w:val="20"/>
                <w:szCs w:val="20"/>
                <w:color w:val="auto"/>
              </w:rPr>
            </w:pPr>
            <w:r>
              <w:rPr>
                <w:rFonts w:ascii="Arial" w:cs="Arial" w:eastAsia="Arial" w:hAnsi="Arial"/>
                <w:sz w:val="17"/>
                <w:szCs w:val="17"/>
                <w:color w:val="auto"/>
              </w:rPr>
              <w:t>5.</w:t>
            </w:r>
          </w:p>
        </w:tc>
        <w:tc>
          <w:tcPr>
            <w:tcW w:w="10980" w:type="dxa"/>
            <w:vAlign w:val="bottom"/>
            <w:gridSpan w:val="2"/>
          </w:tcPr>
          <w:p>
            <w:pPr>
              <w:ind w:left="80"/>
              <w:spacing w:after="0"/>
              <w:rPr>
                <w:sz w:val="20"/>
                <w:szCs w:val="20"/>
                <w:color w:val="auto"/>
              </w:rPr>
            </w:pPr>
            <w:r>
              <w:rPr>
                <w:rFonts w:ascii="Arial" w:cs="Arial" w:eastAsia="Arial" w:hAnsi="Arial"/>
                <w:sz w:val="17"/>
                <w:szCs w:val="17"/>
                <w:color w:val="auto"/>
              </w:rPr>
              <w:t>Check if Disclosure of Legal Proceedings is Required Pursuant to Items 2(d) or 2(e)</w:t>
            </w:r>
          </w:p>
        </w:tc>
      </w:tr>
      <w:tr>
        <w:trPr>
          <w:trHeight w:val="337"/>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0180" w:type="dxa"/>
            <w:vAlign w:val="bottom"/>
            <w:tcBorders>
              <w:bottom w:val="single" w:sz="8" w:color="auto"/>
            </w:tcBorders>
          </w:tcPr>
          <w:p>
            <w:pPr>
              <w:spacing w:after="0"/>
              <w:rPr>
                <w:sz w:val="24"/>
                <w:szCs w:val="24"/>
                <w:color w:val="auto"/>
              </w:rPr>
            </w:pPr>
          </w:p>
        </w:tc>
      </w:tr>
      <w:tr>
        <w:trPr>
          <w:trHeight w:val="210"/>
        </w:trPr>
        <w:tc>
          <w:tcPr>
            <w:tcW w:w="460" w:type="dxa"/>
            <w:vAlign w:val="bottom"/>
          </w:tcPr>
          <w:p>
            <w:pPr>
              <w:jc w:val="right"/>
              <w:spacing w:after="0"/>
              <w:rPr>
                <w:sz w:val="20"/>
                <w:szCs w:val="20"/>
                <w:color w:val="auto"/>
              </w:rPr>
            </w:pPr>
            <w:r>
              <w:rPr>
                <w:rFonts w:ascii="Arial" w:cs="Arial" w:eastAsia="Arial" w:hAnsi="Arial"/>
                <w:sz w:val="17"/>
                <w:szCs w:val="17"/>
                <w:color w:val="auto"/>
              </w:rPr>
              <w:t>6.</w:t>
            </w:r>
          </w:p>
        </w:tc>
        <w:tc>
          <w:tcPr>
            <w:tcW w:w="10980" w:type="dxa"/>
            <w:vAlign w:val="bottom"/>
            <w:gridSpan w:val="2"/>
          </w:tcPr>
          <w:p>
            <w:pPr>
              <w:ind w:left="80"/>
              <w:spacing w:after="0"/>
              <w:rPr>
                <w:sz w:val="20"/>
                <w:szCs w:val="20"/>
                <w:color w:val="auto"/>
              </w:rPr>
            </w:pPr>
            <w:r>
              <w:rPr>
                <w:rFonts w:ascii="Arial" w:cs="Arial" w:eastAsia="Arial" w:hAnsi="Arial"/>
                <w:sz w:val="17"/>
                <w:szCs w:val="17"/>
                <w:color w:val="auto"/>
              </w:rPr>
              <w:t>Citizenship or Place of Organization</w:t>
            </w:r>
          </w:p>
        </w:tc>
      </w:tr>
      <w:tr>
        <w:trPr>
          <w:trHeight w:val="306"/>
        </w:trPr>
        <w:tc>
          <w:tcPr>
            <w:tcW w:w="4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auto"/>
                <w:w w:val="97"/>
              </w:rPr>
              <w:t>Delaware</w:t>
            </w:r>
          </w:p>
        </w:tc>
        <w:tc>
          <w:tcPr>
            <w:tcW w:w="10180" w:type="dxa"/>
            <w:vAlign w:val="bottom"/>
          </w:tcPr>
          <w:p>
            <w:pPr>
              <w:spacing w:after="0"/>
              <w:rPr>
                <w:sz w:val="24"/>
                <w:szCs w:val="24"/>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26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126605"/>
                    </a:xfrm>
                    <a:prstGeom prst="rect">
                      <a:avLst/>
                    </a:prstGeom>
                    <a:noFill/>
                  </pic:spPr>
                </pic:pic>
              </a:graphicData>
            </a:graphic>
          </wp:anchor>
        </w:drawing>
      </w:r>
    </w:p>
    <w:p>
      <w:pPr>
        <w:ind w:left="1660" w:hanging="292"/>
        <w:spacing w:after="0"/>
        <w:tabs>
          <w:tab w:leader="none" w:pos="1660" w:val="left"/>
        </w:tabs>
        <w:numPr>
          <w:ilvl w:val="0"/>
          <w:numId w:val="18"/>
        </w:numPr>
        <w:rPr>
          <w:rFonts w:ascii="Arial" w:cs="Arial" w:eastAsia="Arial" w:hAnsi="Arial"/>
          <w:sz w:val="18"/>
          <w:szCs w:val="18"/>
          <w:color w:val="auto"/>
        </w:rPr>
      </w:pPr>
      <w:r>
        <w:rPr>
          <w:rFonts w:ascii="Arial" w:cs="Arial" w:eastAsia="Arial" w:hAnsi="Arial"/>
          <w:sz w:val="17"/>
          <w:szCs w:val="17"/>
          <w:color w:val="auto"/>
        </w:rPr>
        <w:t>Sole Voting Power</w:t>
      </w:r>
    </w:p>
    <w:p>
      <w:pPr>
        <w:spacing w:after="0" w:line="144" w:lineRule="exact"/>
        <w:rPr>
          <w:rFonts w:ascii="Arial" w:cs="Arial" w:eastAsia="Arial" w:hAnsi="Arial"/>
          <w:sz w:val="18"/>
          <w:szCs w:val="18"/>
          <w:color w:val="auto"/>
        </w:rPr>
      </w:pPr>
    </w:p>
    <w:p>
      <w:pPr>
        <w:ind w:left="1660" w:right="80"/>
        <w:spacing w:after="0" w:line="288" w:lineRule="auto"/>
        <w:rPr>
          <w:rFonts w:ascii="Arial" w:cs="Arial" w:eastAsia="Arial" w:hAnsi="Arial"/>
          <w:sz w:val="18"/>
          <w:szCs w:val="18"/>
          <w:color w:val="auto"/>
        </w:rPr>
      </w:pPr>
      <w:r>
        <w:rPr>
          <w:rFonts w:ascii="Arial" w:cs="Arial" w:eastAsia="Arial" w:hAnsi="Arial"/>
          <w:sz w:val="15"/>
          <w:szCs w:val="15"/>
          <w:color w:val="auto"/>
        </w:rPr>
        <w:t>1,690,844 shares, of which (a) 1,550,478 shares are directly owned by PVP V, (b) 77,962 shares represent underlying Common Stock pursuant to a warrant exercisable within 60 days issued to PVP V, (c) 30,215 shares are directly owned by PVPE V, (d) 1,519 shares represent underlying Common Stock pursuant to a warrant exercisable within 60 days issued to PVPE V, (e) 10,618 shares are directly owned by</w:t>
      </w:r>
    </w:p>
    <w:tbl>
      <w:tblPr>
        <w:tblLayout w:type="fixed"/>
        <w:tblInd w:w="24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60" w:type="dxa"/>
            <w:vAlign w:val="bottom"/>
          </w:tcPr>
          <w:p>
            <w:pPr>
              <w:ind w:left="80"/>
              <w:spacing w:after="0" w:line="189" w:lineRule="exact"/>
              <w:rPr>
                <w:sz w:val="20"/>
                <w:szCs w:val="20"/>
                <w:color w:val="auto"/>
              </w:rPr>
            </w:pPr>
            <w:r>
              <w:rPr>
                <w:rFonts w:ascii="Arial" w:cs="Arial" w:eastAsia="Arial" w:hAnsi="Arial"/>
                <w:sz w:val="17"/>
                <w:szCs w:val="17"/>
                <w:color w:val="auto"/>
                <w:w w:val="95"/>
              </w:rPr>
              <w:t>PVPFF V, (g) 534 shares represent underlying Common Stock pursuant to a warrant exercisable within 60 days issued to PVPFF V, (h)</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2"/>
              </w:rPr>
              <w:t>15,502 shares are directly owned by PVPSFF V and (i) 4,016 shares represent underlying Common Stock pursuant to a warrant exercisable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1"/>
              </w:rPr>
              <w:t>within 60 days issued to PVPSFF V, except that Flint, a managing member of PVM V, the general partner of each of PVP V, PVPE V, PVPFF</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3"/>
              </w:rPr>
              <w:t>V and PVPSFF V, may be deemed to have shared power to vote PVP V’s, PVPE V’s, PVPFF V’s and PVPSFF V’s shares (collectively, the</w:t>
            </w:r>
          </w:p>
        </w:tc>
        <w:tc>
          <w:tcPr>
            <w:tcW w:w="0" w:type="dxa"/>
            <w:vAlign w:val="bottom"/>
          </w:tcPr>
          <w:p>
            <w:pPr>
              <w:spacing w:after="0"/>
              <w:rPr>
                <w:sz w:val="1"/>
                <w:szCs w:val="1"/>
                <w:color w:val="auto"/>
              </w:rPr>
            </w:pPr>
          </w:p>
        </w:tc>
      </w:tr>
      <w:tr>
        <w:trPr>
          <w:trHeight w:val="203"/>
        </w:trPr>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3"/>
              </w:rPr>
              <w:t>Number of</w:t>
            </w: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3"/>
              </w:rPr>
              <w:t>“Fund V Shares”) shares, McGuire, a managing member of PVM V, may be deemed to have shared power to vote the Fund V Shares, and</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860" w:type="dxa"/>
            <w:vAlign w:val="bottom"/>
            <w:vMerge w:val="restart"/>
          </w:tcPr>
          <w:p>
            <w:pPr>
              <w:ind w:left="80"/>
              <w:spacing w:after="0"/>
              <w:rPr>
                <w:sz w:val="20"/>
                <w:szCs w:val="20"/>
                <w:color w:val="auto"/>
              </w:rPr>
            </w:pPr>
            <w:r>
              <w:rPr>
                <w:rFonts w:ascii="Arial" w:cs="Arial" w:eastAsia="Arial" w:hAnsi="Arial"/>
                <w:sz w:val="17"/>
                <w:szCs w:val="17"/>
                <w:color w:val="auto"/>
                <w:w w:val="93"/>
              </w:rPr>
              <w:t>Nashat, a member of PVM V and member of the Board of Directors of the Issuer, may be deemed to have shared power to vote the Fund V</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85"/>
              </w:rPr>
              <w:t>Shares</w:t>
            </w:r>
          </w:p>
        </w:tc>
        <w:tc>
          <w:tcPr>
            <w:tcW w:w="420" w:type="dxa"/>
            <w:vAlign w:val="bottom"/>
          </w:tcPr>
          <w:p>
            <w:pPr>
              <w:spacing w:after="0"/>
              <w:rPr>
                <w:sz w:val="5"/>
                <w:szCs w:val="5"/>
                <w:color w:val="auto"/>
              </w:rPr>
            </w:pPr>
          </w:p>
        </w:tc>
        <w:tc>
          <w:tcPr>
            <w:tcW w:w="9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860" w:type="dxa"/>
            <w:vAlign w:val="bottom"/>
            <w:vMerge w:val="restart"/>
          </w:tcPr>
          <w:p>
            <w:pPr>
              <w:ind w:left="8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92"/>
        </w:trPr>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7"/>
              </w:rPr>
              <w:t>Beneficially</w:t>
            </w:r>
          </w:p>
        </w:tc>
        <w:tc>
          <w:tcPr>
            <w:tcW w:w="420" w:type="dxa"/>
            <w:vAlign w:val="bottom"/>
            <w:tcBorders>
              <w:bottom w:val="single" w:sz="8" w:color="auto"/>
            </w:tcBorders>
          </w:tcPr>
          <w:p>
            <w:pPr>
              <w:spacing w:after="0"/>
              <w:rPr>
                <w:sz w:val="8"/>
                <w:szCs w:val="8"/>
                <w:color w:val="auto"/>
              </w:rPr>
            </w:pPr>
          </w:p>
        </w:tc>
        <w:tc>
          <w:tcPr>
            <w:tcW w:w="9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860" w:type="dxa"/>
            <w:vAlign w:val="bottom"/>
            <w:vMerge w:val="restart"/>
          </w:tcPr>
          <w:p>
            <w:pPr>
              <w:ind w:left="80"/>
              <w:spacing w:after="0"/>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140"/>
        </w:trPr>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Owned by</w:t>
            </w:r>
          </w:p>
        </w:tc>
        <w:tc>
          <w:tcPr>
            <w:tcW w:w="420" w:type="dxa"/>
            <w:vAlign w:val="bottom"/>
            <w:vMerge w:val="continue"/>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9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7"/>
                <w:szCs w:val="17"/>
                <w:color w:val="auto"/>
                <w:w w:val="87"/>
              </w:rPr>
              <w:t>Each</w:t>
            </w: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rPr>
              <w:t>See response to row 7.</w:t>
            </w:r>
          </w:p>
        </w:tc>
        <w:tc>
          <w:tcPr>
            <w:tcW w:w="0" w:type="dxa"/>
            <w:vAlign w:val="bottom"/>
          </w:tcPr>
          <w:p>
            <w:pPr>
              <w:spacing w:after="0"/>
              <w:rPr>
                <w:sz w:val="1"/>
                <w:szCs w:val="1"/>
                <w:color w:val="auto"/>
              </w:rPr>
            </w:pPr>
          </w:p>
        </w:tc>
      </w:tr>
      <w:tr>
        <w:trPr>
          <w:trHeight w:val="45"/>
        </w:trPr>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2"/>
              </w:rPr>
              <w:t>Reporting</w:t>
            </w:r>
          </w:p>
        </w:tc>
        <w:tc>
          <w:tcPr>
            <w:tcW w:w="420" w:type="dxa"/>
            <w:vAlign w:val="bottom"/>
            <w:tcBorders>
              <w:bottom w:val="single" w:sz="8" w:color="auto"/>
            </w:tcBorders>
          </w:tcPr>
          <w:p>
            <w:pPr>
              <w:spacing w:after="0"/>
              <w:rPr>
                <w:sz w:val="3"/>
                <w:szCs w:val="3"/>
                <w:color w:val="auto"/>
              </w:rPr>
            </w:pPr>
          </w:p>
        </w:tc>
        <w:tc>
          <w:tcPr>
            <w:tcW w:w="9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920" w:type="dxa"/>
            <w:vAlign w:val="bottom"/>
            <w:vMerge w:val="continue"/>
          </w:tcPr>
          <w:p>
            <w:pPr>
              <w:spacing w:after="0"/>
              <w:rPr>
                <w:sz w:val="13"/>
                <w:szCs w:val="13"/>
                <w:color w:val="auto"/>
              </w:rPr>
            </w:pPr>
          </w:p>
        </w:tc>
        <w:tc>
          <w:tcPr>
            <w:tcW w:w="420" w:type="dxa"/>
            <w:vAlign w:val="bottom"/>
          </w:tcPr>
          <w:p>
            <w:pPr>
              <w:jc w:val="right"/>
              <w:spacing w:after="0" w:line="152" w:lineRule="exact"/>
              <w:rPr>
                <w:sz w:val="20"/>
                <w:szCs w:val="20"/>
                <w:color w:val="auto"/>
              </w:rPr>
            </w:pPr>
            <w:r>
              <w:rPr>
                <w:rFonts w:ascii="Arial" w:cs="Arial" w:eastAsia="Arial" w:hAnsi="Arial"/>
                <w:sz w:val="17"/>
                <w:szCs w:val="17"/>
                <w:color w:val="auto"/>
              </w:rPr>
              <w:t>9.</w:t>
            </w:r>
          </w:p>
        </w:tc>
        <w:tc>
          <w:tcPr>
            <w:tcW w:w="9860" w:type="dxa"/>
            <w:vAlign w:val="bottom"/>
          </w:tcPr>
          <w:p>
            <w:pPr>
              <w:ind w:left="80"/>
              <w:spacing w:after="0" w:line="152" w:lineRule="exact"/>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189"/>
        </w:trPr>
        <w:tc>
          <w:tcPr>
            <w:tcW w:w="920" w:type="dxa"/>
            <w:vAlign w:val="bottom"/>
          </w:tcPr>
          <w:p>
            <w:pPr>
              <w:jc w:val="center"/>
              <w:spacing w:after="0" w:line="189" w:lineRule="exact"/>
              <w:rPr>
                <w:sz w:val="20"/>
                <w:szCs w:val="20"/>
                <w:color w:val="auto"/>
              </w:rPr>
            </w:pPr>
            <w:r>
              <w:rPr>
                <w:rFonts w:ascii="Arial" w:cs="Arial" w:eastAsia="Arial" w:hAnsi="Arial"/>
                <w:sz w:val="17"/>
                <w:szCs w:val="17"/>
                <w:color w:val="auto"/>
                <w:w w:val="85"/>
              </w:rPr>
              <w:t>Person</w:t>
            </w:r>
          </w:p>
        </w:tc>
        <w:tc>
          <w:tcPr>
            <w:tcW w:w="420" w:type="dxa"/>
            <w:vAlign w:val="bottom"/>
          </w:tcPr>
          <w:p>
            <w:pPr>
              <w:spacing w:after="0"/>
              <w:rPr>
                <w:sz w:val="16"/>
                <w:szCs w:val="16"/>
                <w:color w:val="auto"/>
              </w:rPr>
            </w:pPr>
          </w:p>
        </w:tc>
        <w:tc>
          <w:tcPr>
            <w:tcW w:w="9860" w:type="dxa"/>
            <w:vAlign w:val="bottom"/>
            <w:vMerge w:val="restart"/>
          </w:tcPr>
          <w:p>
            <w:pPr>
              <w:ind w:left="80"/>
              <w:spacing w:after="0"/>
              <w:rPr>
                <w:sz w:val="20"/>
                <w:szCs w:val="20"/>
                <w:color w:val="auto"/>
              </w:rPr>
            </w:pPr>
            <w:r>
              <w:rPr>
                <w:rFonts w:ascii="Arial" w:cs="Arial" w:eastAsia="Arial" w:hAnsi="Arial"/>
                <w:sz w:val="17"/>
                <w:szCs w:val="17"/>
                <w:color w:val="auto"/>
                <w:w w:val="96"/>
              </w:rPr>
              <w:t>1,690,844 shares, of which (a) 1,550,478 shares are directly owned by PVP V, (b) 77,962 shares represent underlying Common Stock</w:t>
            </w:r>
          </w:p>
        </w:tc>
        <w:tc>
          <w:tcPr>
            <w:tcW w:w="0" w:type="dxa"/>
            <w:vAlign w:val="bottom"/>
          </w:tcPr>
          <w:p>
            <w:pPr>
              <w:spacing w:after="0"/>
              <w:rPr>
                <w:sz w:val="1"/>
                <w:szCs w:val="1"/>
                <w:color w:val="auto"/>
              </w:rPr>
            </w:pPr>
          </w:p>
        </w:tc>
      </w:tr>
      <w:tr>
        <w:trPr>
          <w:trHeight w:val="166"/>
        </w:trPr>
        <w:tc>
          <w:tcPr>
            <w:tcW w:w="920" w:type="dxa"/>
            <w:vAlign w:val="bottom"/>
          </w:tcPr>
          <w:p>
            <w:pPr>
              <w:jc w:val="center"/>
              <w:spacing w:after="0" w:line="167" w:lineRule="exact"/>
              <w:rPr>
                <w:sz w:val="20"/>
                <w:szCs w:val="20"/>
                <w:color w:val="auto"/>
              </w:rPr>
            </w:pPr>
            <w:r>
              <w:rPr>
                <w:rFonts w:ascii="Arial" w:cs="Arial" w:eastAsia="Arial" w:hAnsi="Arial"/>
                <w:sz w:val="17"/>
                <w:szCs w:val="17"/>
                <w:color w:val="auto"/>
                <w:w w:val="99"/>
              </w:rPr>
              <w:t>With</w:t>
            </w:r>
          </w:p>
        </w:tc>
        <w:tc>
          <w:tcPr>
            <w:tcW w:w="420" w:type="dxa"/>
            <w:vAlign w:val="bottom"/>
          </w:tcPr>
          <w:p>
            <w:pPr>
              <w:spacing w:after="0"/>
              <w:rPr>
                <w:sz w:val="14"/>
                <w:szCs w:val="14"/>
                <w:color w:val="auto"/>
              </w:rPr>
            </w:pPr>
          </w:p>
        </w:tc>
        <w:tc>
          <w:tcPr>
            <w:tcW w:w="9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0"/>
              </w:rPr>
              <w:t>pursuant to a warrant exercisable within 60 days issued to PVP V, (c) 30,215 shares are directly owned by PVPE V, (d) 1,519 shares represent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6"/>
              </w:rPr>
              <w:t>underlying Common Stock pursuant to a warrant exercisable within 60 days issued to PVPE V, (e) 10,618 shares are directly owned by</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5"/>
              </w:rPr>
              <w:t>PVPFF V, (g) 534 shares represent underlying Common Stock pursuant to a warrant exercisable within 60 days issued to PVPFF V, (h)</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2"/>
              </w:rPr>
              <w:t>15,502 shares are directly owned by PVPSFF V and (i) 4,016 shares represent underlying Common Stock pursuant to a warrant exercisable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1"/>
              </w:rPr>
              <w:t>within 60 days issued to PVPSFF V, except that Flint, a managing member of PVM V, the general partner of each of PVP V, PVPE V, PVPFF</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2"/>
              </w:rPr>
              <w:t>V and PVPSFF V, may be deemed to have shared power to dispose of the Fund V Shares, McGuire, a managing member of PVM V, may be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w w:val="90"/>
              </w:rPr>
              <w:t>deemed to have shared power to dispose of the Fund V Shares, and Nashat, a member of PVM V and member of the Board of Directors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60" w:type="dxa"/>
            <w:vAlign w:val="bottom"/>
          </w:tcPr>
          <w:p>
            <w:pPr>
              <w:ind w:left="80"/>
              <w:spacing w:after="0"/>
              <w:rPr>
                <w:sz w:val="20"/>
                <w:szCs w:val="20"/>
                <w:color w:val="auto"/>
              </w:rPr>
            </w:pPr>
            <w:r>
              <w:rPr>
                <w:rFonts w:ascii="Arial" w:cs="Arial" w:eastAsia="Arial" w:hAnsi="Arial"/>
                <w:sz w:val="17"/>
                <w:szCs w:val="17"/>
                <w:color w:val="auto"/>
              </w:rPr>
              <w:t>Issuer, may be deemed to have 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right="8000" w:hanging="382"/>
        <w:spacing w:after="0" w:line="372" w:lineRule="auto"/>
        <w:tabs>
          <w:tab w:leader="none" w:pos="1660" w:val="left"/>
        </w:tabs>
        <w:numPr>
          <w:ilvl w:val="1"/>
          <w:numId w:val="19"/>
        </w:numPr>
        <w:rPr>
          <w:rFonts w:ascii="Arial" w:cs="Arial" w:eastAsia="Arial" w:hAnsi="Arial"/>
          <w:sz w:val="16"/>
          <w:szCs w:val="16"/>
          <w:color w:val="auto"/>
        </w:rPr>
      </w:pPr>
      <w:r>
        <w:rPr>
          <w:rFonts w:ascii="Arial" w:cs="Arial" w:eastAsia="Arial" w:hAnsi="Arial"/>
          <w:sz w:val="15"/>
          <w:szCs w:val="15"/>
          <w:color w:val="auto"/>
        </w:rPr>
        <w:t>Shared Dispositive Power See response to row 9.</w:t>
      </w:r>
    </w:p>
    <w:p>
      <w:pPr>
        <w:spacing w:after="0" w:line="1" w:lineRule="exact"/>
        <w:rPr>
          <w:rFonts w:ascii="Arial" w:cs="Arial" w:eastAsia="Arial" w:hAnsi="Arial"/>
          <w:sz w:val="16"/>
          <w:szCs w:val="16"/>
          <w:color w:val="auto"/>
        </w:rPr>
      </w:pPr>
    </w:p>
    <w:p>
      <w:pPr>
        <w:ind w:left="540" w:right="6340" w:hanging="375"/>
        <w:spacing w:after="0" w:line="339"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1,690,844</w:t>
      </w:r>
    </w:p>
    <w:p>
      <w:pPr>
        <w:spacing w:after="0" w:line="1" w:lineRule="exact"/>
        <w:rPr>
          <w:rFonts w:ascii="Arial" w:cs="Arial" w:eastAsia="Arial" w:hAnsi="Arial"/>
          <w:sz w:val="17"/>
          <w:szCs w:val="17"/>
          <w:color w:val="auto"/>
        </w:rPr>
      </w:pPr>
    </w:p>
    <w:p>
      <w:pPr>
        <w:ind w:left="540" w:hanging="375"/>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Check if the Aggregate Amount in Row (11) Excludes Certain Shares (See Instructions)</w:t>
      </w:r>
    </w:p>
    <w:p>
      <w:pPr>
        <w:spacing w:after="0" w:line="109" w:lineRule="exact"/>
        <w:rPr>
          <w:rFonts w:ascii="Arial" w:cs="Arial" w:eastAsia="Arial" w:hAnsi="Arial"/>
          <w:sz w:val="17"/>
          <w:szCs w:val="17"/>
          <w:color w:val="auto"/>
        </w:rPr>
      </w:pPr>
    </w:p>
    <w:p>
      <w:pPr>
        <w:ind w:left="540"/>
        <w:spacing w:after="0" w:line="171" w:lineRule="exact"/>
        <w:rPr>
          <w:rFonts w:ascii="Arial" w:cs="Arial" w:eastAsia="Arial" w:hAnsi="Arial"/>
          <w:sz w:val="17"/>
          <w:szCs w:val="17"/>
          <w:color w:val="auto"/>
        </w:rPr>
      </w:pPr>
      <w:r>
        <w:rPr>
          <w:rFonts w:ascii="MS PGothic" w:cs="MS PGothic" w:eastAsia="MS PGothic" w:hAnsi="MS PGothic"/>
          <w:sz w:val="17"/>
          <w:szCs w:val="17"/>
          <w:color w:val="auto"/>
        </w:rPr>
        <w:t>☐</w:t>
      </w:r>
    </w:p>
    <w:p>
      <w:pPr>
        <w:spacing w:after="0" w:line="98" w:lineRule="exact"/>
        <w:rPr>
          <w:rFonts w:ascii="Arial" w:cs="Arial" w:eastAsia="Arial" w:hAnsi="Arial"/>
          <w:sz w:val="17"/>
          <w:szCs w:val="17"/>
          <w:color w:val="auto"/>
        </w:rPr>
      </w:pPr>
    </w:p>
    <w:p>
      <w:pPr>
        <w:ind w:left="540" w:right="7220" w:hanging="375"/>
        <w:spacing w:after="0" w:line="335"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Percent of Class Represented by Amount in Row (11) 7.7%</w:t>
      </w:r>
    </w:p>
    <w:p>
      <w:pPr>
        <w:spacing w:after="0" w:line="1" w:lineRule="exact"/>
        <w:rPr>
          <w:rFonts w:ascii="Arial" w:cs="Arial" w:eastAsia="Arial" w:hAnsi="Arial"/>
          <w:sz w:val="17"/>
          <w:szCs w:val="17"/>
          <w:color w:val="auto"/>
        </w:rPr>
      </w:pPr>
    </w:p>
    <w:p>
      <w:pPr>
        <w:ind w:left="540" w:hanging="375"/>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128"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OO</w:t>
      </w:r>
    </w:p>
    <w:p>
      <w:pPr>
        <w:sectPr>
          <w:pgSz w:w="11900" w:h="16838" w:orient="portrait"/>
          <w:cols w:equalWidth="0" w:num="1">
            <w:col w:w="11440"/>
          </w:cols>
          <w:pgMar w:left="240" w:top="268"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4"/>
        </w:trPr>
        <w:tc>
          <w:tcPr>
            <w:tcW w:w="4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9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Names of Reporting Persons.</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Jonathan A. Flint</w:t>
            </w:r>
          </w:p>
        </w:tc>
      </w:tr>
      <w:tr>
        <w:trPr>
          <w:trHeight w:val="230"/>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337"/>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r>
      <w:tr>
        <w:trPr>
          <w:trHeight w:val="121"/>
        </w:trPr>
        <w:tc>
          <w:tcPr>
            <w:tcW w:w="460" w:type="dxa"/>
            <w:vAlign w:val="bottom"/>
            <w:tcBorders>
              <w:bottom w:val="single" w:sz="8" w:color="auto"/>
              <w:right w:val="single" w:sz="8" w:color="auto"/>
            </w:tcBorders>
          </w:tcPr>
          <w:p>
            <w:pPr>
              <w:spacing w:after="0"/>
              <w:rPr>
                <w:sz w:val="10"/>
                <w:szCs w:val="10"/>
                <w:color w:val="auto"/>
              </w:rPr>
            </w:pPr>
          </w:p>
        </w:tc>
        <w:tc>
          <w:tcPr>
            <w:tcW w:w="10980" w:type="dxa"/>
            <w:vAlign w:val="bottom"/>
            <w:tcBorders>
              <w:bottom w:val="single" w:sz="8" w:color="auto"/>
            </w:tcBorders>
            <w:gridSpan w:val="2"/>
          </w:tcPr>
          <w:p>
            <w:pPr>
              <w:spacing w:after="0"/>
              <w:rPr>
                <w:sz w:val="10"/>
                <w:szCs w:val="10"/>
                <w:color w:val="auto"/>
              </w:rPr>
            </w:pP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Source of Funds (See Instructions)</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10260" w:type="dxa"/>
            <w:vAlign w:val="bottom"/>
            <w:tcBorders>
              <w:bottom w:val="single" w:sz="8" w:color="auto"/>
            </w:tcBorders>
          </w:tcPr>
          <w:p>
            <w:pPr>
              <w:spacing w:after="0"/>
              <w:rPr>
                <w:sz w:val="24"/>
                <w:szCs w:val="24"/>
                <w:color w:val="auto"/>
              </w:rPr>
            </w:pPr>
          </w:p>
        </w:tc>
      </w:tr>
      <w:tr>
        <w:trPr>
          <w:trHeight w:val="230"/>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r>
      <w:tr>
        <w:trPr>
          <w:trHeight w:val="337"/>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260" w:type="dxa"/>
            <w:vAlign w:val="bottom"/>
            <w:tcBorders>
              <w:bottom w:val="single" w:sz="8" w:color="auto"/>
            </w:tcBorders>
          </w:tcPr>
          <w:p>
            <w:pPr>
              <w:spacing w:after="0"/>
              <w:rPr>
                <w:sz w:val="24"/>
                <w:szCs w:val="24"/>
                <w:color w:val="auto"/>
              </w:rPr>
            </w:pP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USA</w:t>
            </w:r>
          </w:p>
        </w:tc>
        <w:tc>
          <w:tcPr>
            <w:tcW w:w="10260" w:type="dxa"/>
            <w:vAlign w:val="bottom"/>
            <w:tcBorders>
              <w:bottom w:val="single" w:sz="8" w:color="auto"/>
            </w:tcBorders>
          </w:tcPr>
          <w:p>
            <w:pPr>
              <w:spacing w:after="0"/>
              <w:rPr>
                <w:sz w:val="24"/>
                <w:szCs w:val="24"/>
                <w:color w:val="auto"/>
              </w:rPr>
            </w:pPr>
          </w:p>
        </w:tc>
      </w:tr>
    </w:tbl>
    <w:p>
      <w:pPr>
        <w:ind w:left="1600" w:hanging="286"/>
        <w:spacing w:after="0"/>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23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323455"/>
                    </a:xfrm>
                    <a:prstGeom prst="rect">
                      <a:avLst/>
                    </a:prstGeom>
                    <a:noFill/>
                  </pic:spPr>
                </pic:pic>
              </a:graphicData>
            </a:graphic>
          </wp:anchor>
        </w:drawing>
        <w:t>Sole Voting Power</w:t>
      </w:r>
    </w:p>
    <w:p>
      <w:pPr>
        <w:spacing w:after="0" w:line="116" w:lineRule="exact"/>
        <w:rPr>
          <w:rFonts w:ascii="Arial" w:cs="Arial" w:eastAsia="Arial" w:hAnsi="Arial"/>
          <w:sz w:val="18"/>
          <w:szCs w:val="18"/>
          <w:color w:val="auto"/>
        </w:rPr>
      </w:pPr>
    </w:p>
    <w:p>
      <w:pPr>
        <w:ind w:left="1600" w:right="160"/>
        <w:spacing w:after="0" w:line="284" w:lineRule="auto"/>
        <w:rPr>
          <w:rFonts w:ascii="Arial" w:cs="Arial" w:eastAsia="Arial" w:hAnsi="Arial"/>
          <w:sz w:val="18"/>
          <w:szCs w:val="18"/>
          <w:color w:val="auto"/>
        </w:rPr>
      </w:pPr>
      <w:r>
        <w:rPr>
          <w:rFonts w:ascii="Arial" w:cs="Arial" w:eastAsia="Arial" w:hAnsi="Arial"/>
          <w:sz w:val="16"/>
          <w:szCs w:val="16"/>
          <w:color w:val="auto"/>
        </w:rPr>
        <w:t>1,690,844 shares, of which (a) 1,550,478 shares are directly owned by PVP V, (b) 77,962 shares represent underlying Common Stock pursuant to a warrant exercisable within 60 days issued to PVP V, (c) 30,215 shares are directly owned by PVPE V, (d) 1,519 shares represent underlying Common Stock pursuant to a warrant exercisable within 60 days issued to PVPE V, (e) 10,618 shares are directly owned by PVPFF V, (g) 534 shares represent underlying Common Stock pursuant to a warrant exercisable within 60 days issued to PVPFF V, (h) 15,502 shares are directly owned by PVPSFF V and (i) 4,016 shares represent underlying Common Stock pursuant to a warrant exercisable within 60 days issued to PVPSFF V, except that PVM V, the general partner of PVP V, PVPE V, PVPFF V and PVPSFF V, may be deemed to have sole power to vote the Fund V Shares, McGuire, as a managing member of PVM V, may be</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deemed to have shared power to vote the Fund V Shares, and Nashat, a member of PVM V, may be deemed to have shared power to</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vote the Fund V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1,690,844 shares, of which (a) 1,550,478 shares are directly owned by PVP V, (b) 77,962 shares represent underlying Common Stock</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pursuant to a warrant exercisable within 60 days issued to PVP V, (c) 30,215 shares are directly owned by PVPE V, (d) 1,519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owned by PVPFF V, (g) 534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PVPFF V, (h) 15,502 shares are directly owned by PVPSFF V and (i) 4,016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issued to PVPSFF V, except that PVM V, as general partner of PVP V, PVPE V, PVPFF V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PVPSFF V, maybe deemed to have sole power to dispose of the Fund V Shares, McGuire, as a managing member of PVM V, may be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89"/>
              </w:rPr>
              <w:t>deemed to have shared power to dispose of the Fund V Shares, and Nashat, a member of PVM V, may be deemed to have shared power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00" w:right="7960" w:hanging="376"/>
        <w:spacing w:after="0" w:line="378" w:lineRule="auto"/>
        <w:tabs>
          <w:tab w:leader="none" w:pos="16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540" w:right="6080" w:hanging="375"/>
        <w:spacing w:after="0" w:line="33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1,690,844</w:t>
      </w:r>
    </w:p>
    <w:p>
      <w:pPr>
        <w:spacing w:after="0" w:line="1" w:lineRule="exact"/>
        <w:rPr>
          <w:rFonts w:ascii="Arial" w:cs="Arial" w:eastAsia="Arial" w:hAnsi="Arial"/>
          <w:sz w:val="18"/>
          <w:szCs w:val="18"/>
          <w:color w:val="auto"/>
        </w:rPr>
      </w:pPr>
    </w:p>
    <w:p>
      <w:pPr>
        <w:ind w:left="540" w:hanging="37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7020" w:hanging="375"/>
        <w:spacing w:after="0" w:line="332"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w:t>
      </w:r>
    </w:p>
    <w:p>
      <w:pPr>
        <w:ind w:left="540" w:hanging="37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440"/>
          </w:cols>
          <w:pgMar w:left="240" w:top="268"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4"/>
        </w:trPr>
        <w:tc>
          <w:tcPr>
            <w:tcW w:w="4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9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Names of Reporting Persons.</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Terrance G. McGuire</w:t>
            </w:r>
          </w:p>
        </w:tc>
      </w:tr>
      <w:tr>
        <w:trPr>
          <w:trHeight w:val="230"/>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337"/>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r>
      <w:tr>
        <w:trPr>
          <w:trHeight w:val="121"/>
        </w:trPr>
        <w:tc>
          <w:tcPr>
            <w:tcW w:w="460" w:type="dxa"/>
            <w:vAlign w:val="bottom"/>
            <w:tcBorders>
              <w:bottom w:val="single" w:sz="8" w:color="auto"/>
              <w:right w:val="single" w:sz="8" w:color="auto"/>
            </w:tcBorders>
          </w:tcPr>
          <w:p>
            <w:pPr>
              <w:spacing w:after="0"/>
              <w:rPr>
                <w:sz w:val="10"/>
                <w:szCs w:val="10"/>
                <w:color w:val="auto"/>
              </w:rPr>
            </w:pPr>
          </w:p>
        </w:tc>
        <w:tc>
          <w:tcPr>
            <w:tcW w:w="10980" w:type="dxa"/>
            <w:vAlign w:val="bottom"/>
            <w:tcBorders>
              <w:bottom w:val="single" w:sz="8" w:color="auto"/>
            </w:tcBorders>
            <w:gridSpan w:val="2"/>
          </w:tcPr>
          <w:p>
            <w:pPr>
              <w:spacing w:after="0"/>
              <w:rPr>
                <w:sz w:val="10"/>
                <w:szCs w:val="10"/>
                <w:color w:val="auto"/>
              </w:rPr>
            </w:pP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Source of Funds (See Instructions)</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10260" w:type="dxa"/>
            <w:vAlign w:val="bottom"/>
            <w:tcBorders>
              <w:bottom w:val="single" w:sz="8" w:color="auto"/>
            </w:tcBorders>
          </w:tcPr>
          <w:p>
            <w:pPr>
              <w:spacing w:after="0"/>
              <w:rPr>
                <w:sz w:val="24"/>
                <w:szCs w:val="24"/>
                <w:color w:val="auto"/>
              </w:rPr>
            </w:pPr>
          </w:p>
        </w:tc>
      </w:tr>
      <w:tr>
        <w:trPr>
          <w:trHeight w:val="230"/>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r>
      <w:tr>
        <w:trPr>
          <w:trHeight w:val="337"/>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260" w:type="dxa"/>
            <w:vAlign w:val="bottom"/>
            <w:tcBorders>
              <w:bottom w:val="single" w:sz="8" w:color="auto"/>
            </w:tcBorders>
          </w:tcPr>
          <w:p>
            <w:pPr>
              <w:spacing w:after="0"/>
              <w:rPr>
                <w:sz w:val="24"/>
                <w:szCs w:val="24"/>
                <w:color w:val="auto"/>
              </w:rPr>
            </w:pP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USA</w:t>
            </w:r>
          </w:p>
        </w:tc>
        <w:tc>
          <w:tcPr>
            <w:tcW w:w="10260" w:type="dxa"/>
            <w:vAlign w:val="bottom"/>
            <w:tcBorders>
              <w:bottom w:val="single" w:sz="8" w:color="auto"/>
            </w:tcBorders>
          </w:tcPr>
          <w:p>
            <w:pPr>
              <w:spacing w:after="0"/>
              <w:rPr>
                <w:sz w:val="24"/>
                <w:szCs w:val="24"/>
                <w:color w:val="auto"/>
              </w:rPr>
            </w:pPr>
          </w:p>
        </w:tc>
      </w:tr>
    </w:tbl>
    <w:p>
      <w:pPr>
        <w:ind w:left="1600" w:hanging="286"/>
        <w:spacing w:after="0"/>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23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323455"/>
                    </a:xfrm>
                    <a:prstGeom prst="rect">
                      <a:avLst/>
                    </a:prstGeom>
                    <a:noFill/>
                  </pic:spPr>
                </pic:pic>
              </a:graphicData>
            </a:graphic>
          </wp:anchor>
        </w:drawing>
        <w:t>Sole Voting Power</w:t>
      </w:r>
    </w:p>
    <w:p>
      <w:pPr>
        <w:spacing w:after="0" w:line="116" w:lineRule="exact"/>
        <w:rPr>
          <w:rFonts w:ascii="Arial" w:cs="Arial" w:eastAsia="Arial" w:hAnsi="Arial"/>
          <w:sz w:val="18"/>
          <w:szCs w:val="18"/>
          <w:color w:val="auto"/>
        </w:rPr>
      </w:pPr>
    </w:p>
    <w:p>
      <w:pPr>
        <w:ind w:left="1600" w:right="140"/>
        <w:spacing w:after="0" w:line="284" w:lineRule="auto"/>
        <w:rPr>
          <w:rFonts w:ascii="Arial" w:cs="Arial" w:eastAsia="Arial" w:hAnsi="Arial"/>
          <w:sz w:val="18"/>
          <w:szCs w:val="18"/>
          <w:color w:val="auto"/>
        </w:rPr>
      </w:pPr>
      <w:r>
        <w:rPr>
          <w:rFonts w:ascii="Arial" w:cs="Arial" w:eastAsia="Arial" w:hAnsi="Arial"/>
          <w:sz w:val="16"/>
          <w:szCs w:val="16"/>
          <w:color w:val="auto"/>
        </w:rPr>
        <w:t>1,690,844 shares, of which (a) 1,550,478 shares are directly owned by PVP V, (b) 77,962 shares represent underlying Common Stock pursuant to a warrant exercisable within 60 days issued to PVP V, (c) 30,215 shares are directly owned by PVPE V, (d) 1,519 shares represent underlying Common Stock pursuant to a warrant exercisable within 60 days issued to PVPE V, (e) 10,618 shares are directly owned by PVPFF V, (g) 534 shares represent underlying Common Stock pursuant to a warrant exercisable within 60 days issued to PVPFF V, (h) 15,502 shares are directly owned by PVPSFF V and (i) 4,016 shares represent underlying Common Stock pursuant to a warrant exercisable within 60 days issued to PVPSFF V, except that PVM V, the general partner of PVP V, PVPE V, PVPFF V and PVPSFF V, may be deemed to have sole power to vote the Fund V Shares, Flint, as a managing member of PVM V, may be deemed to</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89"/>
              </w:rPr>
              <w:t>have shared power to vote the Fund V Shares, and Nashat, a member of PVM V, may be deemed to have shared power to vote the Fund</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1,690,844 shares, of which (a) 1,550,478 shares are directly owned by PVP V, (b) 77,962 shares represent underlying Common Stock</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pursuant to a warrant exercisable within 60 days issued to PVP V, (c) 30,215 shares are directly owned by PVPE V, (d) 1,519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owned by PVPFF V, (g) 534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PVPFF V, (h) 15,502 shares are directly owned by PVPSFF V and (i) 4,016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issued to PVPSFF V, except that PVM V, as general partner of PVP V, PVPE V, PVPFF V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4"/>
              </w:rPr>
              <w:t>PVPSFF V, may be deemed to have sole power to dispose of the Fund V Shares, Flint, as a managing member of PVM V, may be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89"/>
              </w:rPr>
              <w:t>deemed to have shared power to dispose of the Fund V Shares, and Nashat, a member of PVM V, may be deemed to have shared power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00" w:right="7960" w:hanging="376"/>
        <w:spacing w:after="0" w:line="378" w:lineRule="auto"/>
        <w:tabs>
          <w:tab w:leader="none" w:pos="16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540" w:right="6080" w:hanging="375"/>
        <w:spacing w:after="0" w:line="33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1,690,844</w:t>
      </w:r>
    </w:p>
    <w:p>
      <w:pPr>
        <w:spacing w:after="0" w:line="1" w:lineRule="exact"/>
        <w:rPr>
          <w:rFonts w:ascii="Arial" w:cs="Arial" w:eastAsia="Arial" w:hAnsi="Arial"/>
          <w:sz w:val="18"/>
          <w:szCs w:val="18"/>
          <w:color w:val="auto"/>
        </w:rPr>
      </w:pPr>
    </w:p>
    <w:p>
      <w:pPr>
        <w:ind w:left="540" w:hanging="375"/>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7020" w:hanging="375"/>
        <w:spacing w:after="0" w:line="33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w:t>
      </w:r>
    </w:p>
    <w:p>
      <w:pPr>
        <w:ind w:left="540" w:hanging="375"/>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440"/>
          </w:cols>
          <w:pgMar w:left="240" w:top="268"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4"/>
        </w:trPr>
        <w:tc>
          <w:tcPr>
            <w:tcW w:w="4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9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Names of Reporting Persons.</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Amir Nashat</w:t>
            </w:r>
          </w:p>
        </w:tc>
      </w:tr>
      <w:tr>
        <w:trPr>
          <w:trHeight w:val="230"/>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r>
      <w:tr>
        <w:trPr>
          <w:trHeight w:val="337"/>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r>
      <w:tr>
        <w:trPr>
          <w:trHeight w:val="121"/>
        </w:trPr>
        <w:tc>
          <w:tcPr>
            <w:tcW w:w="460" w:type="dxa"/>
            <w:vAlign w:val="bottom"/>
            <w:tcBorders>
              <w:bottom w:val="single" w:sz="8" w:color="auto"/>
              <w:right w:val="single" w:sz="8" w:color="auto"/>
            </w:tcBorders>
          </w:tcPr>
          <w:p>
            <w:pPr>
              <w:spacing w:after="0"/>
              <w:rPr>
                <w:sz w:val="10"/>
                <w:szCs w:val="10"/>
                <w:color w:val="auto"/>
              </w:rPr>
            </w:pPr>
          </w:p>
        </w:tc>
        <w:tc>
          <w:tcPr>
            <w:tcW w:w="10980" w:type="dxa"/>
            <w:vAlign w:val="bottom"/>
            <w:tcBorders>
              <w:bottom w:val="single" w:sz="8" w:color="auto"/>
            </w:tcBorders>
            <w:gridSpan w:val="2"/>
          </w:tcPr>
          <w:p>
            <w:pPr>
              <w:spacing w:after="0"/>
              <w:rPr>
                <w:sz w:val="10"/>
                <w:szCs w:val="10"/>
                <w:color w:val="auto"/>
              </w:rPr>
            </w:pP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Source of Funds (See Instructions)</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10260" w:type="dxa"/>
            <w:vAlign w:val="bottom"/>
            <w:tcBorders>
              <w:bottom w:val="single" w:sz="8" w:color="auto"/>
            </w:tcBorders>
          </w:tcPr>
          <w:p>
            <w:pPr>
              <w:spacing w:after="0"/>
              <w:rPr>
                <w:sz w:val="24"/>
                <w:szCs w:val="24"/>
                <w:color w:val="auto"/>
              </w:rPr>
            </w:pPr>
          </w:p>
        </w:tc>
      </w:tr>
      <w:tr>
        <w:trPr>
          <w:trHeight w:val="230"/>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r>
      <w:tr>
        <w:trPr>
          <w:trHeight w:val="337"/>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260" w:type="dxa"/>
            <w:vAlign w:val="bottom"/>
            <w:tcBorders>
              <w:bottom w:val="single" w:sz="8" w:color="auto"/>
            </w:tcBorders>
          </w:tcPr>
          <w:p>
            <w:pPr>
              <w:spacing w:after="0"/>
              <w:rPr>
                <w:sz w:val="24"/>
                <w:szCs w:val="24"/>
                <w:color w:val="auto"/>
              </w:rPr>
            </w:pPr>
          </w:p>
        </w:tc>
      </w:tr>
      <w:tr>
        <w:trPr>
          <w:trHeight w:val="224"/>
        </w:trPr>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98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330"/>
        </w:trPr>
        <w:tc>
          <w:tcPr>
            <w:tcW w:w="4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USA</w:t>
            </w:r>
          </w:p>
        </w:tc>
        <w:tc>
          <w:tcPr>
            <w:tcW w:w="10260" w:type="dxa"/>
            <w:vAlign w:val="bottom"/>
            <w:tcBorders>
              <w:bottom w:val="single" w:sz="8" w:color="auto"/>
            </w:tcBorders>
          </w:tcPr>
          <w:p>
            <w:pPr>
              <w:spacing w:after="0"/>
              <w:rPr>
                <w:sz w:val="24"/>
                <w:szCs w:val="24"/>
                <w:color w:val="auto"/>
              </w:rPr>
            </w:pPr>
          </w:p>
        </w:tc>
      </w:tr>
    </w:tbl>
    <w:p>
      <w:pPr>
        <w:ind w:left="1600" w:hanging="286"/>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323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323455"/>
                    </a:xfrm>
                    <a:prstGeom prst="rect">
                      <a:avLst/>
                    </a:prstGeom>
                    <a:noFill/>
                  </pic:spPr>
                </pic:pic>
              </a:graphicData>
            </a:graphic>
          </wp:anchor>
        </w:drawing>
        <w:t>Sole Voting Power</w:t>
      </w:r>
    </w:p>
    <w:p>
      <w:pPr>
        <w:spacing w:after="0" w:line="116" w:lineRule="exact"/>
        <w:rPr>
          <w:rFonts w:ascii="Arial" w:cs="Arial" w:eastAsia="Arial" w:hAnsi="Arial"/>
          <w:sz w:val="18"/>
          <w:szCs w:val="18"/>
          <w:color w:val="auto"/>
        </w:rPr>
      </w:pPr>
    </w:p>
    <w:p>
      <w:pPr>
        <w:ind w:left="1600" w:right="140"/>
        <w:spacing w:after="0" w:line="284" w:lineRule="auto"/>
        <w:rPr>
          <w:rFonts w:ascii="Arial" w:cs="Arial" w:eastAsia="Arial" w:hAnsi="Arial"/>
          <w:sz w:val="18"/>
          <w:szCs w:val="18"/>
          <w:color w:val="auto"/>
        </w:rPr>
      </w:pPr>
      <w:r>
        <w:rPr>
          <w:rFonts w:ascii="Arial" w:cs="Arial" w:eastAsia="Arial" w:hAnsi="Arial"/>
          <w:sz w:val="16"/>
          <w:szCs w:val="16"/>
          <w:color w:val="auto"/>
        </w:rPr>
        <w:t>1,690,844 shares, of which (a) 1,550,478 shares are directly owned by PVP V, (b) 77,962 shares represent underlying Common Stock pursuant to a warrant exercisable within 60 days issued to PVP V, (c) 30,215 shares are directly owned by PVPE V, (d) 1,519 shares represent underlying Common Stock pursuant to a warrant exercisable within 60 days issued to PVPE V, (e) 10,618 shares are directly owned by PVPFF V, (g) 534 shares represent underlying Common Stock pursuant to a warrant exercisable within 60 days issued to PVPFF V, (h) 15,502 shares are directly owned by PVPSFF V and (i) 4,016 shares represent underlying Common Stock pursuant to a warrant exercisable within 60 days issued to PVPSFF V, except that PVM V, the general partner of PVP V, PVPE V, PVPFF V and PVPSFF V, may be deemed to have sole power to vote the Fund V Shares, Flint, as a managing member of PVM V, may be deemed to</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have shared power to vote the Fund V Shares, and McGuire, a managing member of PVM V, may be deemed to have shared power to</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Borders>
              <w:bottom w:val="single" w:sz="8" w:color="auto"/>
            </w:tcBorders>
          </w:tcPr>
          <w:p>
            <w:pPr>
              <w:spacing w:after="0"/>
              <w:rPr>
                <w:sz w:val="19"/>
                <w:szCs w:val="19"/>
                <w:color w:val="auto"/>
              </w:rPr>
            </w:pPr>
          </w:p>
        </w:tc>
        <w:tc>
          <w:tcPr>
            <w:tcW w:w="99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vote the Fund V Shares.</w:t>
            </w:r>
          </w:p>
        </w:tc>
        <w:tc>
          <w:tcPr>
            <w:tcW w:w="0" w:type="dxa"/>
            <w:vAlign w:val="bottom"/>
          </w:tcPr>
          <w:p>
            <w:pPr>
              <w:spacing w:after="0"/>
              <w:rPr>
                <w:sz w:val="1"/>
                <w:szCs w:val="1"/>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1,690,844 shares, of which (a) 1,550,478 shares are directly owned by PVP V, (b) 77,962 shares represent underlying Common Stock</w:t>
            </w:r>
          </w:p>
        </w:tc>
        <w:tc>
          <w:tcPr>
            <w:tcW w:w="0" w:type="dxa"/>
            <w:vAlign w:val="bottom"/>
          </w:tcPr>
          <w:p>
            <w:pPr>
              <w:spacing w:after="0"/>
              <w:rPr>
                <w:sz w:val="1"/>
                <w:szCs w:val="1"/>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pursuant to a warrant exercisable within 60 days issued to PVP V, (c) 30,215 shares are directly owned by PVPE V, (d) 1,519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3"/>
              </w:rPr>
              <w:t>owned by PVPFF V, (g) 534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2"/>
              </w:rPr>
              <w:t>PVPFF V, (h) 15,502 shares are directly owned by PVPSFF V and (i) 4,016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issued to PVPSFF V, except that PVM V, as general partner of PVP V, PVPE V, PVPFF V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4"/>
              </w:rPr>
              <w:t>PVPSFF V, may be deemed to have sole power to dispose of the Fund V Shares, Flint, as a managing member of PVM V, may be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deemed to have shared power to dispose of the Fund V Shares, and McGuire, a managing member of PVM V, may be deemed to have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00" w:right="7960" w:hanging="376"/>
        <w:spacing w:after="0" w:line="378" w:lineRule="auto"/>
        <w:tabs>
          <w:tab w:leader="none" w:pos="16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spacing w:after="0" w:line="1" w:lineRule="exact"/>
        <w:rPr>
          <w:rFonts w:ascii="Arial" w:cs="Arial" w:eastAsia="Arial" w:hAnsi="Arial"/>
          <w:sz w:val="16"/>
          <w:szCs w:val="16"/>
          <w:color w:val="auto"/>
        </w:rPr>
      </w:pPr>
    </w:p>
    <w:p>
      <w:pPr>
        <w:ind w:left="540" w:right="6080" w:hanging="375"/>
        <w:spacing w:after="0" w:line="33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1,690,844</w:t>
      </w:r>
    </w:p>
    <w:p>
      <w:pPr>
        <w:spacing w:after="0" w:line="1" w:lineRule="exact"/>
        <w:rPr>
          <w:rFonts w:ascii="Arial" w:cs="Arial" w:eastAsia="Arial" w:hAnsi="Arial"/>
          <w:sz w:val="18"/>
          <w:szCs w:val="18"/>
          <w:color w:val="auto"/>
        </w:rPr>
      </w:pPr>
    </w:p>
    <w:p>
      <w:pPr>
        <w:ind w:left="540" w:hanging="375"/>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97"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7020" w:hanging="375"/>
        <w:spacing w:after="0" w:line="332"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w:t>
      </w:r>
    </w:p>
    <w:p>
      <w:pPr>
        <w:ind w:left="540" w:hanging="375"/>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440"/>
          </w:cols>
          <w:pgMar w:left="240" w:top="268"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Amendment No. 1 (“Amendment No. 1”) amends and supplements the Schedule 13D originally filed with the Securities and Exchange Commission (the “SEC”) on July 7, 2016 (the “Schedule 13D”) by Polaris Venture Partners V, L.P. (“PVP V”), Polaris Venture Partners Entrepreneurs’ Fund V, L.P. (“PVPE V”), Polar Venture Partners Founders’ Fund V, L.P (“PVPFF V”), Polaris Venture Partners Special Founders’ Fund, L.P. (“PVPSFF V”), Polaris Venture Management Co. V, L.L.C. (“PVM V), Jonathan A. Flint (“Flint”), Terrance G. McGuire (“McGuire”) and Amir Nashat (“Nashat”) (collectively, the “Reporting Persons”). The Reporting Persons are making this single, joint filing because they may be deemed to constitute a “group” within the meaning of Section 13(d)(3) of the Securities Exchange Act of 1934, as amended. The agreement between the Reporting Persons to file as a group (the “Joint Filing Agreement”) is attached hereto as Exhibit A. This Amendment No. 1 is being filed to report the disposition of Common Stock by PVP V, PVPE V, PVPFF V and PVPSFF V on September 20, 2017, September 21, 2017, September 22, 2017, September 25, 2017 and September 26, 2017; all other information is as set forth in the Schedule 13D. Information given in response to each item shall be deemed incorporated by reference in all other items, as applicable. Capitalized terms used herein but not defined shall have the meanings ascribed thereto in the Schedule 13D.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to add the following statements:</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September 20, 2017, PVP V sold 41,116 shares of Common Stock on the open market, PVPE V sold 801 shares of Common Stock on the open market, PVPFF V sold 282 shares of Common Stock on the open market, and PVPSFF V sold 411 shares of Common Stock on the open market.</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September 21, 2017, PVP V sold 100,911 shares of Common Stock on the open market, PVPE V sold 1,967 shares of Common Stock on the open market, PVPFF V sold 690 shares of Common Stock on the open market, and PVPSFF V sold 1,009 shares of Common Stock on the open market.</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September 22, 2017, PVP V sold 40,562 shares of Common Stock on the open market, PVPE V sold 790 shares of Common Stock on the open market, PVPFF V sold 278 shares of Common Stock on the open market, and PVPSFF V sold 406 shares of Common Stock on the open market.</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September 25, 2017, PVP V sold 35,872 shares of Common Stock on the open market, PVPE V sold 699 shares of Common Stock on the open market, PVPFF V sold 245 shares of Common Stock on the open market, and PVPSFF V sold 359 shares of Common Stock on the open market.</w:t>
      </w:r>
    </w:p>
    <w:p>
      <w:pPr>
        <w:spacing w:after="0" w:line="1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September 26, 2017, PVP V sold 67,764 shares of Common Stock on the open market, PVPE V sold 1,321 shares of Common Stock on the open market, PVPFF V sold 464 shares of Common Stock on the open market, and PVPSFF V sold 677 shares of Common Stock on the open market.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Items 5(a) and (c) of the Schedule 13D are hereby amended and restated in their entirety as follows: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below is based on a total of 22,074,378 shares of Common Stock outstanding as reported on the Issuer’s Form 10-Q, Quarterly Report Pursuant to Section 13 or 15(d) of the Security Exchange Act of 1934 filed with the SEC on August 11, 2017.</w:t>
      </w:r>
    </w:p>
    <w:p>
      <w:pPr>
        <w:sectPr>
          <w:pgSz w:w="11900" w:h="16838" w:orient="portrait"/>
          <w:cols w:equalWidth="0" w:num="1">
            <w:col w:w="11400"/>
          </w:cols>
          <w:pgMar w:left="240" w:top="274" w:right="259" w:bottom="1440" w:gutter="0" w:footer="0" w:header="0"/>
        </w:sectPr>
      </w:pPr>
    </w:p>
    <w:bookmarkStart w:id="10" w:name="page11"/>
    <w:bookmarkEnd w:id="10"/>
    <w:p>
      <w:pPr>
        <w:ind w:firstLine="8"/>
        <w:spacing w:after="0" w:line="286"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PVP V beneficially owns 1,628,440 shares of Common Stock, or approximately 7.4% of the Common Stock outstanding, of which 1,550,478 shares are directly owned by PVP V and 77,962 shares represent underlying Common Stock pursuant to a warrant exercisable within 60 days issued to PVP V. PVPE V beneficially owns 31,734 shares of Common Stock, or approximately 0.1% of the Common Stock outstanding, of which 30,215 shares are directly owned by PVPE V and 1,519 shares represent underlying Common Stock pursuant to a warrant exercisable within 60 days issued to PVPE V. PVPFF V beneficially owns 11,152 shares of Common Stock, or approximately 0.1% of the Common Stock outstanding, of which 10,618 shares are directly owned by PVPFF V and 534 shares represent underlying Common Stock pursuant to a warrant exercisable within 60 days issued to PVPFF V. PVPSFF V beneficially owns 19,518 shares of Common Stock, or approximately 0.1% of the Common Stock outstanding, of which 15,502 shares are directly owned by PVPSFF V and 4,016 shares represent underlying Common Stock pursuant to a warrant exercisable within 60 days issued to PVPSFF V. PVM V, the general partner of PVP V, PVPE V, PVPFF V and PVPSFF V, may be deemed to indirectly beneficially own the securities owned by PVP V, PVPE V, PVPFF V and PVPSFF V. Each of Flint, McGuire and Nashat, in their respective capacities with respect to PVM V, may be deemed to indirectly beneficially own the securities owned by each of PVP V, PVPE V, PVPFF V and PVPSFF V. Each of PVM, Flint, McGuire and Nashat disclaim beneficial ownership of the securities owned by each of PVP V, PVPE V, PVPFF V and PVPSFF V and this report shall not be deemed an admission that any of them is the beneficial owner of such securities for any purpose, except to the extent of their respective pecuniary interests therein.</w:t>
      </w:r>
    </w:p>
    <w:p>
      <w:pPr>
        <w:spacing w:after="0" w:line="67" w:lineRule="exact"/>
        <w:rPr>
          <w:sz w:val="20"/>
          <w:szCs w:val="20"/>
          <w:color w:val="auto"/>
        </w:rPr>
      </w:pPr>
    </w:p>
    <w:p>
      <w:pPr>
        <w:ind w:right="6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described in this statement and this Item 5(c), none of the Reporting Persons has effected any transactions in the Common Stock in the 60 days prior to the date of this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A—Joint Filing Agreement</w:t>
      </w:r>
    </w:p>
    <w:p>
      <w:pPr>
        <w:sectPr>
          <w:pgSz w:w="11900" w:h="16838" w:orient="portrait"/>
          <w:cols w:equalWidth="0" w:num="1">
            <w:col w:w="11340"/>
          </w:cols>
          <w:pgMar w:left="240" w:top="274" w:right="319" w:bottom="1440" w:gutter="0" w:footer="0" w:header="0"/>
        </w:sectPr>
      </w:pPr>
    </w:p>
    <w:bookmarkStart w:id="11" w:name="page12"/>
    <w:bookmarkEnd w:id="11"/>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POLARIS VENTURE PARTNERS ENTREPRENEURS’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1060"/>
          </w:cols>
          <w:pgMar w:left="240" w:top="270" w:right="599" w:bottom="1440" w:gutter="0" w:footer="0" w:header="0"/>
        </w:sectPr>
      </w:pPr>
    </w:p>
    <w:bookmarkStart w:id="12" w:name="page13"/>
    <w:bookmarkEnd w:id="12"/>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JONATHAN A. FLINT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A. Flint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AMIR NASHAT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Amir Nashat</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Max Eisenberg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13D was executed pursuant to a Power of Attorney. Note that copies of the applicable Powers of Attorney are already on file with the appropriate agencies.]</w:t>
      </w:r>
    </w:p>
    <w:p>
      <w:pPr>
        <w:sectPr>
          <w:pgSz w:w="11900" w:h="16838" w:orient="portrait"/>
          <w:cols w:equalWidth="0" w:num="1">
            <w:col w:w="10740"/>
          </w:cols>
          <w:pgMar w:left="240" w:top="274" w:right="91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AGREEMENT REGARDING THE JOINT FILING OF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SCHEDULE 13D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being duly authorized thereunto, hereby execute this agreement as an exhibit to this Schedule 13D to evidence the agreement of the below-named parties, in accordance with the rules promulgated pursuant to the Securities Exchange Act of 1934, to file this Schedule jointly on behalf of each such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ENTREPRENEURS’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1300"/>
          </w:cols>
          <w:pgMar w:left="240" w:top="121" w:right="359" w:bottom="1440" w:gutter="0" w:footer="0" w:header="0"/>
        </w:sectPr>
      </w:pPr>
    </w:p>
    <w:bookmarkStart w:id="14" w:name="page15"/>
    <w:bookmarkEnd w:id="14"/>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JONATHAN A. FLINT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AMIR NASHAT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Amir Nashat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Max Eisenberg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Schedule 13D was executed pursuant to a Power of Attorney. Note that copies of the applicable Powers of Attorney are already on file with the appropriate agencies.]</w:t>
      </w: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3"/>
    </w:lvl>
    <w:lvl w:ilvl="1">
      <w:lvlJc w:val="left"/>
      <w:lvlText w:val="%2."/>
      <w:numFmt w:val="decimal"/>
      <w:start w:val="7"/>
    </w:lvl>
  </w:abstractNum>
  <w:abstractNum w:abstractNumId="3">
    <w:nsid w:val="519B500D"/>
    <w:multiLevelType w:val="hybridMultilevel"/>
    <w:lvl w:ilvl="0">
      <w:lvlJc w:val="left"/>
      <w:lvlText w:val="%1"/>
      <w:numFmt w:val="decimal"/>
      <w:start w:val="1"/>
    </w:lvl>
    <w:lvl w:ilvl="1">
      <w:lvlJc w:val="left"/>
      <w:lvlText w:val="%2."/>
      <w:numFmt w:val="decimal"/>
      <w:start w:val="10"/>
    </w:lvl>
  </w:abstractNum>
  <w:abstractNum w:abstractNumId="4">
    <w:nsid w:val="431BD7B7"/>
    <w:multiLevelType w:val="hybridMultilevel"/>
    <w:lvl w:ilvl="0">
      <w:lvlJc w:val="left"/>
      <w:lvlText w:val="%1."/>
      <w:numFmt w:val="decimal"/>
      <w:start w:val="1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lvl w:ilvl="1">
      <w:lvlJc w:val="left"/>
      <w:lvlText w:val="%2."/>
      <w:numFmt w:val="decimal"/>
      <w:start w:val="7"/>
    </w:lvl>
  </w:abstractNum>
  <w:abstractNum w:abstractNumId="7">
    <w:nsid w:val="257130A3"/>
    <w:multiLevelType w:val="hybridMultilevel"/>
    <w:lvl w:ilvl="0">
      <w:lvlJc w:val="left"/>
      <w:lvlText w:val="%1"/>
      <w:numFmt w:val="decimal"/>
      <w:start w:val="1"/>
    </w:lvl>
    <w:lvl w:ilvl="1">
      <w:lvlJc w:val="left"/>
      <w:lvlText w:val="%2."/>
      <w:numFmt w:val="decimal"/>
      <w:start w:val="10"/>
    </w:lvl>
  </w:abstractNum>
  <w:abstractNum w:abstractNumId="8">
    <w:nsid w:val="62BBD95A"/>
    <w:multiLevelType w:val="hybridMultilevel"/>
    <w:lvl w:ilvl="0">
      <w:lvlJc w:val="left"/>
      <w:lvlText w:val="%1."/>
      <w:numFmt w:val="decimal"/>
      <w:start w:val="11"/>
    </w:lvl>
    <w:lvl w:ilvl="1">
      <w:lvlJc w:val="left"/>
      <w:lvlText w:val="%2"/>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3"/>
    </w:lvl>
    <w:lvl w:ilvl="1">
      <w:lvlJc w:val="left"/>
      <w:lvlText w:val="%2."/>
      <w:numFmt w:val="decimal"/>
      <w:start w:val="7"/>
    </w:lvl>
  </w:abstractNum>
  <w:abstractNum w:abstractNumId="11">
    <w:nsid w:val="333AB105"/>
    <w:multiLevelType w:val="hybridMultilevel"/>
    <w:lvl w:ilvl="0">
      <w:lvlJc w:val="left"/>
      <w:lvlText w:val="%1"/>
      <w:numFmt w:val="decimal"/>
      <w:start w:val="1"/>
    </w:lvl>
    <w:lvl w:ilvl="1">
      <w:lvlJc w:val="left"/>
      <w:lvlText w:val="%2."/>
      <w:numFmt w:val="decimal"/>
      <w:start w:val="10"/>
    </w:lvl>
  </w:abstractNum>
  <w:abstractNum w:abstractNumId="12">
    <w:nsid w:val="721DA317"/>
    <w:multiLevelType w:val="hybridMultilevel"/>
    <w:lvl w:ilvl="0">
      <w:lvlJc w:val="left"/>
      <w:lvlText w:val="%1."/>
      <w:numFmt w:val="decimal"/>
      <w:start w:val="11"/>
    </w:lvl>
    <w:lvl w:ilvl="1">
      <w:lvlJc w:val="left"/>
      <w:lvlText w:val="%2"/>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3"/>
    </w:lvl>
    <w:lvl w:ilvl="1">
      <w:lvlJc w:val="left"/>
      <w:lvlText w:val="%2."/>
      <w:numFmt w:val="decimal"/>
      <w:start w:val="7"/>
    </w:lvl>
  </w:abstractNum>
  <w:abstractNum w:abstractNumId="15">
    <w:nsid w:val="6763845E"/>
    <w:multiLevelType w:val="hybridMultilevel"/>
    <w:lvl w:ilvl="0">
      <w:lvlJc w:val="left"/>
      <w:lvlText w:val="%1"/>
      <w:numFmt w:val="decimal"/>
      <w:start w:val="1"/>
    </w:lvl>
    <w:lvl w:ilvl="1">
      <w:lvlJc w:val="left"/>
      <w:lvlText w:val="%2."/>
      <w:numFmt w:val="decimal"/>
      <w:start w:val="10"/>
    </w:lvl>
  </w:abstractNum>
  <w:abstractNum w:abstractNumId="16">
    <w:nsid w:val="75A2A8D4"/>
    <w:multiLevelType w:val="hybridMultilevel"/>
    <w:lvl w:ilvl="0">
      <w:lvlJc w:val="left"/>
      <w:lvlText w:val="%1."/>
      <w:numFmt w:val="decimal"/>
      <w:start w:val="11"/>
    </w:lvl>
    <w:lvl w:ilvl="1">
      <w:lvlJc w:val="left"/>
      <w:lvlText w:val="%2"/>
      <w:numFmt w:val="decimal"/>
      <w:start w:val="1"/>
    </w:lvl>
  </w:abstractNum>
  <w:abstractNum w:abstractNumId="17">
    <w:nsid w:val="8EDBDAB"/>
    <w:multiLevelType w:val="hybridMultilevel"/>
    <w:lvl w:ilvl="0">
      <w:lvlJc w:val="left"/>
      <w:lvlText w:val="%1."/>
      <w:numFmt w:val="decimal"/>
      <w:start w:val="7"/>
    </w:lvl>
  </w:abstractNum>
  <w:abstractNum w:abstractNumId="18">
    <w:nsid w:val="79838CB2"/>
    <w:multiLevelType w:val="hybridMultilevel"/>
    <w:lvl w:ilvl="0">
      <w:lvlJc w:val="left"/>
      <w:lvlText w:val="%1"/>
      <w:numFmt w:val="decimal"/>
      <w:start w:val="1"/>
    </w:lvl>
    <w:lvl w:ilvl="1">
      <w:lvlJc w:val="left"/>
      <w:lvlText w:val="%2."/>
      <w:numFmt w:val="decimal"/>
      <w:start w:val="10"/>
    </w:lvl>
  </w:abstractNum>
  <w:abstractNum w:abstractNumId="19">
    <w:nsid w:val="4353D0CD"/>
    <w:multiLevelType w:val="hybridMultilevel"/>
    <w:lvl w:ilvl="0">
      <w:lvlJc w:val="left"/>
      <w:lvlText w:val="%1."/>
      <w:numFmt w:val="decimal"/>
      <w:start w:val="11"/>
    </w:lvl>
    <w:lvl w:ilvl="1">
      <w:lvlJc w:val="left"/>
      <w:lvlText w:val="%2"/>
      <w:numFmt w:val="decimal"/>
      <w:start w:val="1"/>
    </w:lvl>
  </w:abstractNum>
  <w:abstractNum w:abstractNumId="20">
    <w:nsid w:val="B03E0C6"/>
    <w:multiLevelType w:val="hybridMultilevel"/>
    <w:lvl w:ilvl="0">
      <w:lvlJc w:val="left"/>
      <w:lvlText w:val="%1."/>
      <w:numFmt w:val="decimal"/>
      <w:start w:val="7"/>
    </w:lvl>
  </w:abstractNum>
  <w:abstractNum w:abstractNumId="21">
    <w:nsid w:val="189A769B"/>
    <w:multiLevelType w:val="hybridMultilevel"/>
    <w:lvl w:ilvl="0">
      <w:lvlJc w:val="left"/>
      <w:lvlText w:val="%1"/>
      <w:numFmt w:val="decimal"/>
      <w:start w:val="1"/>
    </w:lvl>
    <w:lvl w:ilvl="1">
      <w:lvlJc w:val="left"/>
      <w:lvlText w:val="%2."/>
      <w:numFmt w:val="decimal"/>
      <w:start w:val="10"/>
    </w:lvl>
  </w:abstractNum>
  <w:abstractNum w:abstractNumId="22">
    <w:nsid w:val="54E49EB4"/>
    <w:multiLevelType w:val="hybridMultilevel"/>
    <w:lvl w:ilvl="0">
      <w:lvlJc w:val="left"/>
      <w:lvlText w:val="%1."/>
      <w:numFmt w:val="decimal"/>
      <w:start w:val="11"/>
    </w:lvl>
    <w:lvl w:ilvl="1">
      <w:lvlJc w:val="left"/>
      <w:lvlText w:val="%2"/>
      <w:numFmt w:val="decimal"/>
      <w:start w:val="1"/>
    </w:lvl>
  </w:abstractNum>
  <w:abstractNum w:abstractNumId="23">
    <w:nsid w:val="71F32454"/>
    <w:multiLevelType w:val="hybridMultilevel"/>
    <w:lvl w:ilvl="0">
      <w:lvlJc w:val="left"/>
      <w:lvlText w:val="%1."/>
      <w:numFmt w:val="decimal"/>
      <w:start w:val="7"/>
    </w:lvl>
  </w:abstractNum>
  <w:abstractNum w:abstractNumId="24">
    <w:nsid w:val="2CA88611"/>
    <w:multiLevelType w:val="hybridMultilevel"/>
    <w:lvl w:ilvl="0">
      <w:lvlJc w:val="left"/>
      <w:lvlText w:val="%1"/>
      <w:numFmt w:val="decimal"/>
      <w:start w:val="1"/>
    </w:lvl>
    <w:lvl w:ilvl="1">
      <w:lvlJc w:val="left"/>
      <w:lvlText w:val="%2."/>
      <w:numFmt w:val="decimal"/>
      <w:start w:val="10"/>
    </w:lvl>
  </w:abstractNum>
  <w:abstractNum w:abstractNumId="25">
    <w:nsid w:val="836C40E"/>
    <w:multiLevelType w:val="hybridMultilevel"/>
    <w:lvl w:ilvl="0">
      <w:lvlJc w:val="left"/>
      <w:lvlText w:val="%1."/>
      <w:numFmt w:val="decimal"/>
      <w:start w:val="11"/>
    </w:lvl>
    <w:lvl w:ilvl="1">
      <w:lvlJc w:val="left"/>
      <w:lvlText w:val="%2"/>
      <w:numFmt w:val="decimal"/>
      <w:start w:val="1"/>
    </w:lvl>
  </w:abstractNum>
  <w:abstractNum w:abstractNumId="26">
    <w:nsid w:val="2901D82"/>
    <w:multiLevelType w:val="hybridMultilevel"/>
    <w:lvl w:ilvl="0">
      <w:lvlJc w:val="left"/>
      <w:lvlText w:val="%1."/>
      <w:numFmt w:val="decimal"/>
      <w:start w:val="7"/>
    </w:lvl>
  </w:abstractNum>
  <w:abstractNum w:abstractNumId="27">
    <w:nsid w:val="3A95F874"/>
    <w:multiLevelType w:val="hybridMultilevel"/>
    <w:lvl w:ilvl="0">
      <w:lvlJc w:val="left"/>
      <w:lvlText w:val="%1"/>
      <w:numFmt w:val="decimal"/>
      <w:start w:val="1"/>
    </w:lvl>
    <w:lvl w:ilvl="1">
      <w:lvlJc w:val="left"/>
      <w:lvlText w:val="%2."/>
      <w:numFmt w:val="decimal"/>
      <w:start w:val="10"/>
    </w:lvl>
  </w:abstractNum>
  <w:abstractNum w:abstractNumId="28">
    <w:nsid w:val="8138641"/>
    <w:multiLevelType w:val="hybridMultilevel"/>
    <w:lvl w:ilvl="0">
      <w:lvlJc w:val="left"/>
      <w:lvlText w:val="%1."/>
      <w:numFmt w:val="decimal"/>
      <w:start w:val="11"/>
    </w:lvl>
    <w:lvl w:ilvl="1">
      <w:lvlJc w:val="left"/>
      <w:lvlText w:val="%2"/>
      <w:numFmt w:val="decimal"/>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2019-12-20T23:41:54Z</dcterms:created>
  <dcterms:modified xsi:type="dcterms:W3CDTF">2019-12-20T23:41:54Z</dcterms:modified>
</cp:coreProperties>
</file>