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SPRINGER TIMOTHY 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8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vMerge w:val="restart"/>
          </w:tcPr>
          <w:p>
            <w:pPr>
              <w:spacing w:after="0"/>
              <w:rPr>
                <w:sz w:val="7"/>
                <w:szCs w:val="7"/>
                <w:color w:val="auto"/>
              </w:rPr>
            </w:pPr>
          </w:p>
        </w:tc>
        <w:tc>
          <w:tcPr>
            <w:tcW w:w="1520" w:type="dxa"/>
            <w:vAlign w:val="bottom"/>
            <w:gridSpan w:val="3"/>
            <w:vMerge w:val="restart"/>
          </w:tcPr>
          <w:p>
            <w:pPr>
              <w:ind w:left="28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3"/>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15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6"/>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6"/>
            <w:vMerge w:val="continue"/>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1580" w:type="dxa"/>
            <w:vAlign w:val="bottom"/>
            <w:gridSpan w:val="3"/>
          </w:tcPr>
          <w:p>
            <w:pPr>
              <w:ind w:left="4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6"/>
              </w:rPr>
              <w:t>36 WOODMAN RD</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12/12/2019</w:t>
            </w: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0" w:type="dxa"/>
            <w:vAlign w:val="bottom"/>
            <w:tcBorders>
              <w:bottom w:val="single" w:sz="8" w:color="2C2C2C"/>
            </w:tcBorders>
            <w:gridSpan w:val="5"/>
          </w:tcPr>
          <w:p>
            <w:pPr>
              <w:spacing w:after="0"/>
              <w:rPr>
                <w:sz w:val="12"/>
                <w:szCs w:val="12"/>
                <w:color w:val="auto"/>
              </w:rPr>
            </w:pPr>
          </w:p>
        </w:tc>
        <w:tc>
          <w:tcPr>
            <w:tcW w:w="700" w:type="dxa"/>
            <w:vAlign w:val="bottom"/>
            <w:tcBorders>
              <w:bottom w:val="single" w:sz="8" w:color="2C2C2C"/>
            </w:tcBorders>
            <w:gridSpan w:val="2"/>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gridSpan w:val="2"/>
          </w:tcPr>
          <w:p>
            <w:pPr>
              <w:spacing w:after="0"/>
              <w:rPr>
                <w:sz w:val="12"/>
                <w:szCs w:val="12"/>
                <w:color w:val="auto"/>
              </w:rPr>
            </w:pPr>
          </w:p>
        </w:tc>
        <w:tc>
          <w:tcPr>
            <w:tcW w:w="308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7"/>
            <w:vMerge w:val="continue"/>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spacing w:after="0" w:line="155" w:lineRule="exact"/>
              <w:rPr>
                <w:sz w:val="20"/>
                <w:szCs w:val="20"/>
                <w:color w:val="auto"/>
              </w:rPr>
            </w:pPr>
            <w:r>
              <w:rPr>
                <w:rFonts w:ascii="Arial" w:cs="Arial" w:eastAsia="Arial" w:hAnsi="Arial"/>
                <w:sz w:val="14"/>
                <w:szCs w:val="14"/>
                <w:color w:val="auto"/>
              </w:rPr>
              <w:t>Line)</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CHESTNUT</w:t>
            </w:r>
          </w:p>
        </w:tc>
        <w:tc>
          <w:tcPr>
            <w:tcW w:w="1300" w:type="dxa"/>
            <w:vAlign w:val="bottom"/>
            <w:gridSpan w:val="3"/>
            <w:vMerge w:val="restart"/>
          </w:tcPr>
          <w:p>
            <w:pPr>
              <w:ind w:left="40"/>
              <w:spacing w:after="0"/>
              <w:rPr>
                <w:sz w:val="20"/>
                <w:szCs w:val="20"/>
                <w:color w:val="auto"/>
              </w:rPr>
            </w:pPr>
            <w:r>
              <w:rPr>
                <w:rFonts w:ascii="Arial" w:cs="Arial" w:eastAsia="Arial" w:hAnsi="Arial"/>
                <w:sz w:val="18"/>
                <w:szCs w:val="18"/>
                <w:color w:val="0000FF"/>
              </w:rPr>
              <w:t>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02467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HILL</w:t>
            </w:r>
          </w:p>
        </w:tc>
        <w:tc>
          <w:tcPr>
            <w:tcW w:w="6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100" w:type="dxa"/>
            <w:vAlign w:val="bottom"/>
            <w:gridSpan w:val="6"/>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1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ind w:left="300"/>
              <w:spacing w:after="0" w:line="136" w:lineRule="exact"/>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11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9"/>
          </w:tcPr>
          <w:p>
            <w:pPr>
              <w:jc w:val="center"/>
              <w:ind w:left="19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12/12/2019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8"/>
                <w:vertAlign w:val="subscript"/>
              </w:rPr>
              <w:t>J</w:t>
            </w:r>
            <w:r>
              <w:rPr>
                <w:rFonts w:ascii="Arial" w:cs="Arial" w:eastAsia="Arial" w:hAnsi="Arial"/>
                <w:sz w:val="11"/>
                <w:szCs w:val="11"/>
                <w:color w:val="008000"/>
                <w:w w:val="88"/>
              </w:rPr>
              <w:t>(1)</w:t>
            </w:r>
          </w:p>
        </w:tc>
        <w:tc>
          <w:tcPr>
            <w:tcW w:w="8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w w:val="87"/>
              </w:rPr>
              <w:t>1,237,028</w:t>
            </w:r>
          </w:p>
        </w:tc>
        <w:tc>
          <w:tcPr>
            <w:tcW w:w="4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80" w:type="dxa"/>
            <w:vAlign w:val="bottom"/>
            <w:tcBorders>
              <w:bottom w:val="single" w:sz="8" w:color="2C2C2C"/>
            </w:tcBorders>
            <w:gridSpan w:val="3"/>
          </w:tcPr>
          <w:p>
            <w:pPr>
              <w:jc w:val="center"/>
              <w:ind w:left="44"/>
              <w:spacing w:after="0"/>
              <w:rPr>
                <w:sz w:val="20"/>
                <w:szCs w:val="20"/>
                <w:color w:val="auto"/>
              </w:rPr>
            </w:pPr>
            <w:r>
              <w:rPr>
                <w:rFonts w:ascii="Arial" w:cs="Arial" w:eastAsia="Arial" w:hAnsi="Arial"/>
                <w:sz w:val="18"/>
                <w:szCs w:val="18"/>
                <w:color w:val="0000FF"/>
                <w:w w:val="87"/>
              </w:rPr>
              <w:t>7,293,625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3"/>
            <w:vMerge w:val="restart"/>
          </w:tcPr>
          <w:p>
            <w:pPr>
              <w:jc w:val="center"/>
              <w:ind w:left="44"/>
              <w:spacing w:after="0"/>
              <w:rPr>
                <w:sz w:val="20"/>
                <w:szCs w:val="20"/>
                <w:color w:val="auto"/>
              </w:rPr>
            </w:pPr>
            <w:r>
              <w:rPr>
                <w:rFonts w:ascii="Arial" w:cs="Arial" w:eastAsia="Arial" w:hAnsi="Arial"/>
                <w:sz w:val="18"/>
                <w:szCs w:val="18"/>
                <w:color w:val="0000FF"/>
                <w:w w:val="87"/>
              </w:rPr>
              <w:t>1,545,576</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w w:val="87"/>
              </w:rPr>
              <w:t>Footnotes</w:t>
            </w:r>
            <w:r>
              <w:rPr>
                <w:rFonts w:ascii="Arial" w:cs="Arial" w:eastAsia="Arial" w:hAnsi="Arial"/>
                <w:sz w:val="22"/>
                <w:szCs w:val="22"/>
                <w:color w:val="008000"/>
                <w:w w:val="87"/>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jc w:val="center"/>
              <w:ind w:left="24"/>
              <w:spacing w:after="0"/>
              <w:rPr>
                <w:sz w:val="20"/>
                <w:szCs w:val="20"/>
                <w:color w:val="auto"/>
              </w:rPr>
            </w:pPr>
            <w:r>
              <w:rPr>
                <w:rFonts w:ascii="Arial" w:cs="Arial" w:eastAsia="Arial" w:hAnsi="Arial"/>
                <w:sz w:val="18"/>
                <w:szCs w:val="18"/>
                <w:color w:val="0000FF"/>
                <w:w w:val="87"/>
              </w:rPr>
              <w:t>86,418</w:t>
            </w:r>
          </w:p>
        </w:tc>
        <w:tc>
          <w:tcPr>
            <w:tcW w:w="30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144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14"/>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12, 2019, the Springer Charitable Trust (the "Trust"), a charitable remainder trust to which the reporting person is a beneficiary, made a distribution to the reporting person of 1,237,028 shares of the issuer's common stock in partial satisfaction of the Trust's obligation to pay the reporting person the remainder of the assets of the Trust and in connection with the anticipated termination of the Trust.</w:t>
      </w: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Timothy A. Springer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12/16/2019</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2019-12-17T06:52:11Z</dcterms:created>
  <dcterms:modified xsi:type="dcterms:W3CDTF">2019-12-17T06:52:11Z</dcterms:modified>
</cp:coreProperties>
</file>