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June 24, 2016</w:t>
      </w:r>
    </w:p>
    <w:p>
      <w:pPr>
        <w:spacing w:after="0" w:line="80" w:lineRule="exact"/>
        <w:rPr>
          <w:sz w:val="24"/>
          <w:szCs w:val="24"/>
          <w:color w:val="auto"/>
        </w:rPr>
      </w:pPr>
    </w:p>
    <w:p>
      <w:pPr>
        <w:ind w:left="100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121920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S-8</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6" w:lineRule="exact"/>
        <w:rPr>
          <w:sz w:val="24"/>
          <w:szCs w:val="24"/>
          <w:color w:val="auto"/>
        </w:rPr>
      </w:pPr>
    </w:p>
    <w:tbl>
      <w:tblPr>
        <w:tblLayout w:type="fixed"/>
        <w:tblInd w:w="1980" w:type="dxa"/>
        <w:tblCellMar>
          <w:top w:w="0" w:type="dxa"/>
          <w:left w:w="0" w:type="dxa"/>
          <w:bottom w:w="0" w:type="dxa"/>
          <w:right w:w="0" w:type="dxa"/>
        </w:tblCellMar>
      </w:tblPr>
      <w:tr>
        <w:trPr>
          <w:trHeight w:val="324"/>
        </w:trPr>
        <w:tc>
          <w:tcPr>
            <w:tcW w:w="1740" w:type="dxa"/>
            <w:vAlign w:val="bottom"/>
          </w:tcPr>
          <w:p>
            <w:pPr>
              <w:spacing w:after="0"/>
              <w:rPr>
                <w:sz w:val="24"/>
                <w:szCs w:val="24"/>
                <w:color w:val="auto"/>
              </w:rPr>
            </w:pPr>
          </w:p>
        </w:tc>
        <w:tc>
          <w:tcPr>
            <w:tcW w:w="5780" w:type="dxa"/>
            <w:vAlign w:val="bottom"/>
            <w:gridSpan w:val="3"/>
          </w:tcPr>
          <w:p>
            <w:pPr>
              <w:jc w:val="center"/>
              <w:ind w:right="1737"/>
              <w:spacing w:after="0"/>
              <w:rPr>
                <w:sz w:val="20"/>
                <w:szCs w:val="20"/>
                <w:color w:val="auto"/>
              </w:rPr>
            </w:pPr>
            <w:r>
              <w:rPr>
                <w:rFonts w:ascii="Arial" w:cs="Arial" w:eastAsia="Arial" w:hAnsi="Arial"/>
                <w:sz w:val="27"/>
                <w:szCs w:val="27"/>
                <w:b w:val="1"/>
                <w:bCs w:val="1"/>
                <w:color w:val="auto"/>
                <w:w w:val="99"/>
              </w:rPr>
              <w:t>SELECTA BIOSCIENCES, INC.</w:t>
            </w:r>
          </w:p>
        </w:tc>
      </w:tr>
      <w:tr>
        <w:trPr>
          <w:trHeight w:val="160"/>
        </w:trPr>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20" w:type="dxa"/>
            <w:vAlign w:val="bottom"/>
            <w:gridSpan w:val="2"/>
          </w:tcPr>
          <w:p>
            <w:pPr>
              <w:jc w:val="center"/>
              <w:ind w:right="2277"/>
              <w:spacing w:after="0"/>
              <w:rPr>
                <w:sz w:val="20"/>
                <w:szCs w:val="20"/>
                <w:color w:val="auto"/>
              </w:rPr>
            </w:pPr>
            <w:r>
              <w:rPr>
                <w:rFonts w:ascii="Arial" w:cs="Arial" w:eastAsia="Arial" w:hAnsi="Arial"/>
                <w:sz w:val="13"/>
                <w:szCs w:val="13"/>
                <w:color w:val="auto"/>
                <w:w w:val="87"/>
              </w:rPr>
              <w:t>(Exact name of registrant as specified in its charter)</w:t>
            </w:r>
          </w:p>
        </w:tc>
      </w:tr>
      <w:tr>
        <w:trPr>
          <w:trHeight w:val="204"/>
        </w:trPr>
        <w:tc>
          <w:tcPr>
            <w:tcW w:w="174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Delaware</w:t>
            </w:r>
          </w:p>
        </w:tc>
        <w:tc>
          <w:tcPr>
            <w:tcW w:w="578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26-1622110</w:t>
            </w:r>
          </w:p>
        </w:tc>
      </w:tr>
      <w:tr>
        <w:trPr>
          <w:trHeight w:val="135"/>
        </w:trPr>
        <w:tc>
          <w:tcPr>
            <w:tcW w:w="17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(State or other jurisdiction</w:t>
            </w:r>
          </w:p>
        </w:tc>
        <w:tc>
          <w:tcPr>
            <w:tcW w:w="5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340" w:type="dxa"/>
            <w:vAlign w:val="bottom"/>
          </w:tcPr>
          <w:p>
            <w:pPr>
              <w:jc w:val="center"/>
              <w:ind w:left="537"/>
              <w:spacing w:after="0" w:line="135" w:lineRule="exact"/>
              <w:rPr>
                <w:sz w:val="20"/>
                <w:szCs w:val="20"/>
                <w:color w:val="auto"/>
              </w:rPr>
            </w:pPr>
            <w:r>
              <w:rPr>
                <w:rFonts w:ascii="Arial" w:cs="Arial" w:eastAsia="Arial" w:hAnsi="Arial"/>
                <w:sz w:val="13"/>
                <w:szCs w:val="13"/>
                <w:color w:val="auto"/>
                <w:w w:val="91"/>
              </w:rPr>
              <w:t>(IRS Employer Identification No.)</w:t>
            </w:r>
          </w:p>
        </w:tc>
      </w:tr>
      <w:tr>
        <w:trPr>
          <w:trHeight w:val="160"/>
        </w:trPr>
        <w:tc>
          <w:tcPr>
            <w:tcW w:w="1740" w:type="dxa"/>
            <w:vAlign w:val="bottom"/>
          </w:tcPr>
          <w:p>
            <w:pPr>
              <w:jc w:val="center"/>
              <w:ind w:right="17"/>
              <w:spacing w:after="0"/>
              <w:rPr>
                <w:sz w:val="20"/>
                <w:szCs w:val="20"/>
                <w:color w:val="auto"/>
              </w:rPr>
            </w:pPr>
            <w:r>
              <w:rPr>
                <w:rFonts w:ascii="Arial" w:cs="Arial" w:eastAsia="Arial" w:hAnsi="Arial"/>
                <w:sz w:val="13"/>
                <w:szCs w:val="13"/>
                <w:color w:val="auto"/>
                <w:w w:val="90"/>
              </w:rPr>
              <w:t>of incorporation or organization)</w:t>
            </w:r>
          </w:p>
        </w:tc>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200"/>
        </w:trPr>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20" w:type="dxa"/>
            <w:vAlign w:val="bottom"/>
            <w:gridSpan w:val="2"/>
          </w:tcPr>
          <w:p>
            <w:pPr>
              <w:jc w:val="center"/>
              <w:ind w:right="2297"/>
              <w:spacing w:after="0"/>
              <w:rPr>
                <w:sz w:val="20"/>
                <w:szCs w:val="20"/>
                <w:color w:val="auto"/>
              </w:rPr>
            </w:pPr>
            <w:r>
              <w:rPr>
                <w:rFonts w:ascii="Arial" w:cs="Arial" w:eastAsia="Arial" w:hAnsi="Arial"/>
                <w:sz w:val="13"/>
                <w:szCs w:val="13"/>
                <w:b w:val="1"/>
                <w:bCs w:val="1"/>
                <w:color w:val="auto"/>
                <w:w w:val="88"/>
              </w:rPr>
              <w:t>480 Arsenal Street, Building One</w:t>
            </w:r>
          </w:p>
        </w:tc>
      </w:tr>
      <w:tr>
        <w:trPr>
          <w:trHeight w:val="139"/>
        </w:trPr>
        <w:tc>
          <w:tcPr>
            <w:tcW w:w="1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20" w:type="dxa"/>
            <w:vAlign w:val="bottom"/>
            <w:gridSpan w:val="2"/>
          </w:tcPr>
          <w:p>
            <w:pPr>
              <w:jc w:val="center"/>
              <w:ind w:right="2297"/>
              <w:spacing w:after="0" w:line="139" w:lineRule="exact"/>
              <w:rPr>
                <w:sz w:val="20"/>
                <w:szCs w:val="20"/>
                <w:color w:val="auto"/>
              </w:rPr>
            </w:pPr>
            <w:r>
              <w:rPr>
                <w:rFonts w:ascii="Arial" w:cs="Arial" w:eastAsia="Arial" w:hAnsi="Arial"/>
                <w:sz w:val="13"/>
                <w:szCs w:val="13"/>
                <w:b w:val="1"/>
                <w:bCs w:val="1"/>
                <w:color w:val="auto"/>
                <w:w w:val="86"/>
              </w:rPr>
              <w:t>Watertown, Massachusetts 02472</w:t>
            </w:r>
          </w:p>
        </w:tc>
      </w:tr>
      <w:tr>
        <w:trPr>
          <w:trHeight w:val="160"/>
        </w:trPr>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20" w:type="dxa"/>
            <w:vAlign w:val="bottom"/>
            <w:gridSpan w:val="2"/>
          </w:tcPr>
          <w:p>
            <w:pPr>
              <w:jc w:val="center"/>
              <w:ind w:right="2277"/>
              <w:spacing w:after="0"/>
              <w:rPr>
                <w:sz w:val="20"/>
                <w:szCs w:val="20"/>
                <w:color w:val="auto"/>
              </w:rPr>
            </w:pPr>
            <w:r>
              <w:rPr>
                <w:rFonts w:ascii="Arial" w:cs="Arial" w:eastAsia="Arial" w:hAnsi="Arial"/>
                <w:sz w:val="13"/>
                <w:szCs w:val="13"/>
                <w:color w:val="auto"/>
                <w:w w:val="89"/>
              </w:rPr>
              <w:t>(Address of principal executive offices) (Zip code)</w:t>
            </w:r>
          </w:p>
        </w:tc>
      </w:tr>
      <w:tr>
        <w:trPr>
          <w:trHeight w:val="192"/>
        </w:trPr>
        <w:tc>
          <w:tcPr>
            <w:tcW w:w="1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2340" w:type="dxa"/>
            <w:vAlign w:val="bottom"/>
          </w:tcPr>
          <w:p>
            <w:pPr>
              <w:spacing w:after="0"/>
              <w:rPr>
                <w:sz w:val="16"/>
                <w:szCs w:val="16"/>
                <w:color w:val="auto"/>
              </w:rPr>
            </w:pPr>
          </w:p>
        </w:tc>
      </w:tr>
      <w:tr>
        <w:trPr>
          <w:trHeight w:val="313"/>
        </w:trPr>
        <w:tc>
          <w:tcPr>
            <w:tcW w:w="1740" w:type="dxa"/>
            <w:vAlign w:val="bottom"/>
          </w:tcPr>
          <w:p>
            <w:pPr>
              <w:spacing w:after="0"/>
              <w:rPr>
                <w:sz w:val="24"/>
                <w:szCs w:val="24"/>
                <w:color w:val="auto"/>
              </w:rPr>
            </w:pPr>
          </w:p>
        </w:tc>
        <w:tc>
          <w:tcPr>
            <w:tcW w:w="5780" w:type="dxa"/>
            <w:vAlign w:val="bottom"/>
            <w:gridSpan w:val="3"/>
          </w:tcPr>
          <w:p>
            <w:pPr>
              <w:jc w:val="center"/>
              <w:ind w:right="1717"/>
              <w:spacing w:after="0"/>
              <w:rPr>
                <w:sz w:val="20"/>
                <w:szCs w:val="20"/>
                <w:color w:val="auto"/>
              </w:rPr>
            </w:pPr>
            <w:r>
              <w:rPr>
                <w:rFonts w:ascii="Arial" w:cs="Arial" w:eastAsia="Arial" w:hAnsi="Arial"/>
                <w:sz w:val="13"/>
                <w:szCs w:val="13"/>
                <w:b w:val="1"/>
                <w:bCs w:val="1"/>
                <w:color w:val="auto"/>
                <w:w w:val="85"/>
              </w:rPr>
              <w:t>Selecta Biosciences, Inc. 2008 Stock Incentive Plan, as amended</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97"/>
              <w:spacing w:after="0" w:line="135" w:lineRule="exact"/>
              <w:rPr>
                <w:sz w:val="20"/>
                <w:szCs w:val="20"/>
                <w:color w:val="auto"/>
              </w:rPr>
            </w:pPr>
            <w:r>
              <w:rPr>
                <w:rFonts w:ascii="Arial" w:cs="Arial" w:eastAsia="Arial" w:hAnsi="Arial"/>
                <w:sz w:val="13"/>
                <w:szCs w:val="13"/>
                <w:b w:val="1"/>
                <w:bCs w:val="1"/>
                <w:color w:val="auto"/>
                <w:w w:val="86"/>
              </w:rPr>
              <w:t>Selecta Biosciences, Inc. 2016 Incentive Award Plan</w:t>
            </w:r>
          </w:p>
        </w:tc>
      </w:tr>
      <w:tr>
        <w:trPr>
          <w:trHeight w:val="139"/>
        </w:trPr>
        <w:tc>
          <w:tcPr>
            <w:tcW w:w="1740" w:type="dxa"/>
            <w:vAlign w:val="bottom"/>
          </w:tcPr>
          <w:p>
            <w:pPr>
              <w:spacing w:after="0"/>
              <w:rPr>
                <w:sz w:val="12"/>
                <w:szCs w:val="12"/>
                <w:color w:val="auto"/>
              </w:rPr>
            </w:pPr>
          </w:p>
        </w:tc>
        <w:tc>
          <w:tcPr>
            <w:tcW w:w="5780" w:type="dxa"/>
            <w:vAlign w:val="bottom"/>
            <w:gridSpan w:val="3"/>
          </w:tcPr>
          <w:p>
            <w:pPr>
              <w:jc w:val="center"/>
              <w:ind w:right="1737"/>
              <w:spacing w:after="0" w:line="139" w:lineRule="exact"/>
              <w:rPr>
                <w:sz w:val="20"/>
                <w:szCs w:val="20"/>
                <w:color w:val="auto"/>
              </w:rPr>
            </w:pPr>
            <w:r>
              <w:rPr>
                <w:rFonts w:ascii="Arial" w:cs="Arial" w:eastAsia="Arial" w:hAnsi="Arial"/>
                <w:sz w:val="13"/>
                <w:szCs w:val="13"/>
                <w:b w:val="1"/>
                <w:bCs w:val="1"/>
                <w:color w:val="auto"/>
                <w:w w:val="84"/>
              </w:rPr>
              <w:t>Selecta Biosciences, Inc. 2016 Employee Stock Purchase Plan</w:t>
            </w:r>
          </w:p>
        </w:tc>
      </w:tr>
      <w:tr>
        <w:trPr>
          <w:trHeight w:val="160"/>
        </w:trPr>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20" w:type="dxa"/>
            <w:vAlign w:val="bottom"/>
            <w:gridSpan w:val="2"/>
          </w:tcPr>
          <w:p>
            <w:pPr>
              <w:jc w:val="center"/>
              <w:ind w:right="2297"/>
              <w:spacing w:after="0"/>
              <w:rPr>
                <w:sz w:val="20"/>
                <w:szCs w:val="20"/>
                <w:color w:val="auto"/>
              </w:rPr>
            </w:pPr>
            <w:r>
              <w:rPr>
                <w:rFonts w:ascii="Arial" w:cs="Arial" w:eastAsia="Arial" w:hAnsi="Arial"/>
                <w:sz w:val="13"/>
                <w:szCs w:val="13"/>
                <w:color w:val="auto"/>
                <w:w w:val="91"/>
              </w:rPr>
              <w:t>(Full title of the plans)</w:t>
            </w:r>
          </w:p>
        </w:tc>
      </w:tr>
      <w:tr>
        <w:trPr>
          <w:trHeight w:val="192"/>
        </w:trPr>
        <w:tc>
          <w:tcPr>
            <w:tcW w:w="1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2340" w:type="dxa"/>
            <w:vAlign w:val="bottom"/>
          </w:tcPr>
          <w:p>
            <w:pPr>
              <w:spacing w:after="0"/>
              <w:rPr>
                <w:sz w:val="16"/>
                <w:szCs w:val="16"/>
                <w:color w:val="auto"/>
              </w:rPr>
            </w:pPr>
          </w:p>
        </w:tc>
      </w:tr>
      <w:tr>
        <w:trPr>
          <w:trHeight w:val="313"/>
        </w:trPr>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2"/>
          </w:tcPr>
          <w:p>
            <w:pPr>
              <w:jc w:val="center"/>
              <w:ind w:right="2277"/>
              <w:spacing w:after="0"/>
              <w:rPr>
                <w:sz w:val="20"/>
                <w:szCs w:val="20"/>
                <w:color w:val="auto"/>
              </w:rPr>
            </w:pPr>
            <w:r>
              <w:rPr>
                <w:rFonts w:ascii="Arial" w:cs="Arial" w:eastAsia="Arial" w:hAnsi="Arial"/>
                <w:sz w:val="13"/>
                <w:szCs w:val="13"/>
                <w:b w:val="1"/>
                <w:bCs w:val="1"/>
                <w:color w:val="auto"/>
                <w:w w:val="89"/>
              </w:rPr>
              <w:t>Werner Cautreels, Ph.D.</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77"/>
              <w:spacing w:after="0" w:line="135" w:lineRule="exact"/>
              <w:rPr>
                <w:sz w:val="20"/>
                <w:szCs w:val="20"/>
                <w:color w:val="auto"/>
              </w:rPr>
            </w:pPr>
            <w:r>
              <w:rPr>
                <w:rFonts w:ascii="Arial" w:cs="Arial" w:eastAsia="Arial" w:hAnsi="Arial"/>
                <w:sz w:val="13"/>
                <w:szCs w:val="13"/>
                <w:b w:val="1"/>
                <w:bCs w:val="1"/>
                <w:color w:val="auto"/>
                <w:w w:val="87"/>
              </w:rPr>
              <w:t>President and Chief Executive Officer</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77"/>
              <w:spacing w:after="0" w:line="135" w:lineRule="exact"/>
              <w:rPr>
                <w:sz w:val="20"/>
                <w:szCs w:val="20"/>
                <w:color w:val="auto"/>
              </w:rPr>
            </w:pPr>
            <w:r>
              <w:rPr>
                <w:rFonts w:ascii="Arial" w:cs="Arial" w:eastAsia="Arial" w:hAnsi="Arial"/>
                <w:sz w:val="13"/>
                <w:szCs w:val="13"/>
                <w:b w:val="1"/>
                <w:bCs w:val="1"/>
                <w:color w:val="auto"/>
                <w:w w:val="82"/>
              </w:rPr>
              <w:t>Selecta Biosciences, Inc.</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97"/>
              <w:spacing w:after="0" w:line="135" w:lineRule="exact"/>
              <w:rPr>
                <w:sz w:val="20"/>
                <w:szCs w:val="20"/>
                <w:color w:val="auto"/>
              </w:rPr>
            </w:pPr>
            <w:r>
              <w:rPr>
                <w:rFonts w:ascii="Arial" w:cs="Arial" w:eastAsia="Arial" w:hAnsi="Arial"/>
                <w:sz w:val="13"/>
                <w:szCs w:val="13"/>
                <w:b w:val="1"/>
                <w:bCs w:val="1"/>
                <w:color w:val="auto"/>
                <w:w w:val="88"/>
              </w:rPr>
              <w:t>480 Arsenal Street, Building One</w:t>
            </w:r>
          </w:p>
        </w:tc>
      </w:tr>
      <w:tr>
        <w:trPr>
          <w:trHeight w:val="139"/>
        </w:trPr>
        <w:tc>
          <w:tcPr>
            <w:tcW w:w="1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20" w:type="dxa"/>
            <w:vAlign w:val="bottom"/>
            <w:gridSpan w:val="2"/>
          </w:tcPr>
          <w:p>
            <w:pPr>
              <w:jc w:val="center"/>
              <w:ind w:right="2297"/>
              <w:spacing w:after="0" w:line="139" w:lineRule="exact"/>
              <w:rPr>
                <w:sz w:val="20"/>
                <w:szCs w:val="20"/>
                <w:color w:val="auto"/>
              </w:rPr>
            </w:pPr>
            <w:r>
              <w:rPr>
                <w:rFonts w:ascii="Arial" w:cs="Arial" w:eastAsia="Arial" w:hAnsi="Arial"/>
                <w:sz w:val="13"/>
                <w:szCs w:val="13"/>
                <w:b w:val="1"/>
                <w:bCs w:val="1"/>
                <w:color w:val="auto"/>
                <w:w w:val="86"/>
              </w:rPr>
              <w:t>Watertown, Massachusetts 02472</w:t>
            </w:r>
          </w:p>
        </w:tc>
      </w:tr>
      <w:tr>
        <w:trPr>
          <w:trHeight w:val="160"/>
        </w:trPr>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20" w:type="dxa"/>
            <w:vAlign w:val="bottom"/>
            <w:gridSpan w:val="2"/>
          </w:tcPr>
          <w:p>
            <w:pPr>
              <w:jc w:val="center"/>
              <w:ind w:right="2297"/>
              <w:spacing w:after="0"/>
              <w:rPr>
                <w:sz w:val="20"/>
                <w:szCs w:val="20"/>
                <w:color w:val="auto"/>
              </w:rPr>
            </w:pPr>
            <w:r>
              <w:rPr>
                <w:rFonts w:ascii="Arial" w:cs="Arial" w:eastAsia="Arial" w:hAnsi="Arial"/>
                <w:sz w:val="13"/>
                <w:szCs w:val="13"/>
                <w:color w:val="auto"/>
                <w:w w:val="86"/>
              </w:rPr>
              <w:t>(Name and address of agent for service)</w:t>
            </w:r>
          </w:p>
        </w:tc>
      </w:tr>
      <w:tr>
        <w:trPr>
          <w:trHeight w:val="204"/>
        </w:trPr>
        <w:tc>
          <w:tcPr>
            <w:tcW w:w="1740" w:type="dxa"/>
            <w:vAlign w:val="bottom"/>
          </w:tcPr>
          <w:p>
            <w:pPr>
              <w:spacing w:after="0"/>
              <w:rPr>
                <w:sz w:val="17"/>
                <w:szCs w:val="17"/>
                <w:color w:val="auto"/>
              </w:rPr>
            </w:pPr>
          </w:p>
        </w:tc>
        <w:tc>
          <w:tcPr>
            <w:tcW w:w="3440" w:type="dxa"/>
            <w:vAlign w:val="bottom"/>
            <w:gridSpan w:val="2"/>
          </w:tcPr>
          <w:p>
            <w:pPr>
              <w:jc w:val="center"/>
              <w:ind w:left="567"/>
              <w:spacing w:after="0"/>
              <w:rPr>
                <w:sz w:val="20"/>
                <w:szCs w:val="20"/>
                <w:color w:val="auto"/>
              </w:rPr>
            </w:pPr>
            <w:r>
              <w:rPr>
                <w:rFonts w:ascii="Arial" w:cs="Arial" w:eastAsia="Arial" w:hAnsi="Arial"/>
                <w:sz w:val="13"/>
                <w:szCs w:val="13"/>
                <w:b w:val="1"/>
                <w:bCs w:val="1"/>
                <w:color w:val="auto"/>
                <w:w w:val="89"/>
              </w:rPr>
              <w:t>(617) 923-1400</w:t>
            </w:r>
          </w:p>
        </w:tc>
        <w:tc>
          <w:tcPr>
            <w:tcW w:w="2340" w:type="dxa"/>
            <w:vAlign w:val="bottom"/>
          </w:tcPr>
          <w:p>
            <w:pPr>
              <w:spacing w:after="0"/>
              <w:rPr>
                <w:sz w:val="17"/>
                <w:szCs w:val="17"/>
                <w:color w:val="auto"/>
              </w:rPr>
            </w:pPr>
          </w:p>
        </w:tc>
      </w:tr>
      <w:tr>
        <w:trPr>
          <w:trHeight w:val="160"/>
        </w:trPr>
        <w:tc>
          <w:tcPr>
            <w:tcW w:w="1740" w:type="dxa"/>
            <w:vAlign w:val="bottom"/>
          </w:tcPr>
          <w:p>
            <w:pPr>
              <w:spacing w:after="0"/>
              <w:rPr>
                <w:sz w:val="13"/>
                <w:szCs w:val="13"/>
                <w:color w:val="auto"/>
              </w:rPr>
            </w:pPr>
          </w:p>
        </w:tc>
        <w:tc>
          <w:tcPr>
            <w:tcW w:w="5780" w:type="dxa"/>
            <w:vAlign w:val="bottom"/>
            <w:gridSpan w:val="3"/>
          </w:tcPr>
          <w:p>
            <w:pPr>
              <w:jc w:val="center"/>
              <w:ind w:right="1737"/>
              <w:spacing w:after="0"/>
              <w:rPr>
                <w:sz w:val="20"/>
                <w:szCs w:val="20"/>
                <w:color w:val="auto"/>
              </w:rPr>
            </w:pPr>
            <w:r>
              <w:rPr>
                <w:rFonts w:ascii="Arial" w:cs="Arial" w:eastAsia="Arial" w:hAnsi="Arial"/>
                <w:sz w:val="13"/>
                <w:szCs w:val="13"/>
                <w:color w:val="auto"/>
                <w:w w:val="87"/>
              </w:rPr>
              <w:t>(Telephone number, including area code, of agent for service)</w:t>
            </w:r>
          </w:p>
        </w:tc>
      </w:tr>
      <w:tr>
        <w:trPr>
          <w:trHeight w:val="200"/>
        </w:trPr>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20" w:type="dxa"/>
            <w:vAlign w:val="bottom"/>
            <w:gridSpan w:val="2"/>
          </w:tcPr>
          <w:p>
            <w:pPr>
              <w:jc w:val="center"/>
              <w:ind w:right="2297"/>
              <w:spacing w:after="0"/>
              <w:rPr>
                <w:sz w:val="20"/>
                <w:szCs w:val="20"/>
                <w:color w:val="auto"/>
              </w:rPr>
            </w:pPr>
            <w:r>
              <w:rPr>
                <w:rFonts w:ascii="Arial" w:cs="Arial" w:eastAsia="Arial" w:hAnsi="Arial"/>
                <w:sz w:val="13"/>
                <w:szCs w:val="13"/>
                <w:b w:val="1"/>
                <w:bCs w:val="1"/>
                <w:color w:val="auto"/>
                <w:w w:val="87"/>
              </w:rPr>
              <w:t>Copy to:</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77"/>
              <w:spacing w:after="0" w:line="135" w:lineRule="exact"/>
              <w:rPr>
                <w:sz w:val="20"/>
                <w:szCs w:val="20"/>
                <w:color w:val="auto"/>
              </w:rPr>
            </w:pPr>
            <w:r>
              <w:rPr>
                <w:rFonts w:ascii="Arial" w:cs="Arial" w:eastAsia="Arial" w:hAnsi="Arial"/>
                <w:sz w:val="13"/>
                <w:szCs w:val="13"/>
                <w:b w:val="1"/>
                <w:bCs w:val="1"/>
                <w:color w:val="auto"/>
                <w:w w:val="88"/>
              </w:rPr>
              <w:t>Peter N. Handrinos</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77"/>
              <w:spacing w:after="0" w:line="135" w:lineRule="exact"/>
              <w:rPr>
                <w:sz w:val="20"/>
                <w:szCs w:val="20"/>
                <w:color w:val="auto"/>
              </w:rPr>
            </w:pPr>
            <w:r>
              <w:rPr>
                <w:rFonts w:ascii="Arial" w:cs="Arial" w:eastAsia="Arial" w:hAnsi="Arial"/>
                <w:sz w:val="13"/>
                <w:szCs w:val="13"/>
                <w:b w:val="1"/>
                <w:bCs w:val="1"/>
                <w:color w:val="auto"/>
                <w:w w:val="93"/>
              </w:rPr>
              <w:t>Latham &amp; Watkins LLP</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297"/>
              <w:spacing w:after="0" w:line="135" w:lineRule="exact"/>
              <w:rPr>
                <w:sz w:val="20"/>
                <w:szCs w:val="20"/>
                <w:color w:val="auto"/>
              </w:rPr>
            </w:pPr>
            <w:r>
              <w:rPr>
                <w:rFonts w:ascii="Arial" w:cs="Arial" w:eastAsia="Arial" w:hAnsi="Arial"/>
                <w:sz w:val="13"/>
                <w:szCs w:val="13"/>
                <w:b w:val="1"/>
                <w:bCs w:val="1"/>
                <w:color w:val="auto"/>
                <w:w w:val="87"/>
              </w:rPr>
              <w:t>John Hancock Tower</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177"/>
              <w:spacing w:after="0" w:line="135" w:lineRule="exact"/>
              <w:rPr>
                <w:sz w:val="20"/>
                <w:szCs w:val="20"/>
                <w:color w:val="auto"/>
              </w:rPr>
            </w:pPr>
            <w:r>
              <w:rPr>
                <w:rFonts w:ascii="Arial" w:cs="Arial" w:eastAsia="Arial" w:hAnsi="Arial"/>
                <w:sz w:val="13"/>
                <w:szCs w:val="13"/>
                <w:b w:val="1"/>
                <w:bCs w:val="1"/>
                <w:color w:val="auto"/>
                <w:w w:val="87"/>
              </w:rPr>
              <w:t>200 Clarendon Street</w:t>
            </w:r>
          </w:p>
        </w:tc>
      </w:tr>
      <w:tr>
        <w:trPr>
          <w:trHeight w:val="135"/>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20" w:type="dxa"/>
            <w:vAlign w:val="bottom"/>
            <w:gridSpan w:val="2"/>
          </w:tcPr>
          <w:p>
            <w:pPr>
              <w:jc w:val="center"/>
              <w:ind w:right="2197"/>
              <w:spacing w:after="0" w:line="135" w:lineRule="exact"/>
              <w:rPr>
                <w:sz w:val="20"/>
                <w:szCs w:val="20"/>
                <w:color w:val="auto"/>
              </w:rPr>
            </w:pPr>
            <w:r>
              <w:rPr>
                <w:rFonts w:ascii="Arial" w:cs="Arial" w:eastAsia="Arial" w:hAnsi="Arial"/>
                <w:sz w:val="13"/>
                <w:szCs w:val="13"/>
                <w:b w:val="1"/>
                <w:bCs w:val="1"/>
                <w:color w:val="auto"/>
                <w:w w:val="89"/>
              </w:rPr>
              <w:t>Boston, MA 02116</w:t>
            </w:r>
          </w:p>
        </w:tc>
      </w:tr>
      <w:tr>
        <w:trPr>
          <w:trHeight w:val="164"/>
        </w:trPr>
        <w:tc>
          <w:tcPr>
            <w:tcW w:w="1740" w:type="dxa"/>
            <w:vAlign w:val="bottom"/>
          </w:tcPr>
          <w:p>
            <w:pPr>
              <w:spacing w:after="0"/>
              <w:rPr>
                <w:sz w:val="14"/>
                <w:szCs w:val="14"/>
                <w:color w:val="auto"/>
              </w:rPr>
            </w:pPr>
          </w:p>
        </w:tc>
        <w:tc>
          <w:tcPr>
            <w:tcW w:w="3440" w:type="dxa"/>
            <w:vAlign w:val="bottom"/>
            <w:gridSpan w:val="2"/>
          </w:tcPr>
          <w:p>
            <w:pPr>
              <w:jc w:val="center"/>
              <w:ind w:left="567"/>
              <w:spacing w:after="0"/>
              <w:rPr>
                <w:sz w:val="20"/>
                <w:szCs w:val="20"/>
                <w:color w:val="auto"/>
              </w:rPr>
            </w:pPr>
            <w:r>
              <w:rPr>
                <w:rFonts w:ascii="Arial" w:cs="Arial" w:eastAsia="Arial" w:hAnsi="Arial"/>
                <w:sz w:val="13"/>
                <w:szCs w:val="13"/>
                <w:b w:val="1"/>
                <w:bCs w:val="1"/>
                <w:color w:val="auto"/>
                <w:w w:val="89"/>
              </w:rPr>
              <w:t>(617) 948-6060</w:t>
            </w:r>
          </w:p>
        </w:tc>
        <w:tc>
          <w:tcPr>
            <w:tcW w:w="23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121920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3" w:lineRule="exact"/>
        <w:rPr>
          <w:sz w:val="24"/>
          <w:szCs w:val="24"/>
          <w:color w:val="auto"/>
        </w:rPr>
      </w:pPr>
    </w:p>
    <w:p>
      <w:pPr>
        <w:ind w:right="100" w:firstLine="259"/>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80" w:type="dxa"/>
            <w:vAlign w:val="bottom"/>
          </w:tcPr>
          <w:p>
            <w:pPr>
              <w:ind w:left="620"/>
              <w:spacing w:after="0"/>
              <w:rPr>
                <w:sz w:val="20"/>
                <w:szCs w:val="20"/>
                <w:color w:val="auto"/>
              </w:rPr>
            </w:pPr>
            <w:r>
              <w:rPr>
                <w:rFonts w:ascii="Arial" w:cs="Arial" w:eastAsia="Arial" w:hAnsi="Arial"/>
                <w:sz w:val="13"/>
                <w:szCs w:val="13"/>
                <w:color w:val="auto"/>
              </w:rPr>
              <w:t>Large accelerated filer o</w:t>
            </w:r>
          </w:p>
        </w:tc>
        <w:tc>
          <w:tcPr>
            <w:tcW w:w="1680" w:type="dxa"/>
            <w:vAlign w:val="bottom"/>
          </w:tcPr>
          <w:p>
            <w:pPr>
              <w:ind w:left="280"/>
              <w:spacing w:after="0"/>
              <w:rPr>
                <w:sz w:val="20"/>
                <w:szCs w:val="20"/>
                <w:color w:val="auto"/>
              </w:rPr>
            </w:pPr>
            <w:r>
              <w:rPr>
                <w:rFonts w:ascii="Arial" w:cs="Arial" w:eastAsia="Arial" w:hAnsi="Arial"/>
                <w:sz w:val="13"/>
                <w:szCs w:val="13"/>
                <w:color w:val="auto"/>
              </w:rPr>
              <w:t>Accelerated filer o</w:t>
            </w:r>
          </w:p>
        </w:tc>
        <w:tc>
          <w:tcPr>
            <w:tcW w:w="2740" w:type="dxa"/>
            <w:vAlign w:val="bottom"/>
            <w:gridSpan w:val="2"/>
          </w:tcPr>
          <w:p>
            <w:pPr>
              <w:jc w:val="right"/>
              <w:ind w:right="17"/>
              <w:spacing w:after="0"/>
              <w:rPr>
                <w:sz w:val="20"/>
                <w:szCs w:val="20"/>
                <w:color w:val="auto"/>
              </w:rPr>
            </w:pPr>
            <w:r>
              <w:rPr>
                <w:rFonts w:ascii="Arial" w:cs="Arial" w:eastAsia="Arial" w:hAnsi="Arial"/>
                <w:sz w:val="13"/>
                <w:szCs w:val="13"/>
                <w:color w:val="auto"/>
              </w:rPr>
              <w:t>Non-accelerated filer x</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gridSpan w:val="3"/>
          </w:tcPr>
          <w:p>
            <w:pPr>
              <w:jc w:val="center"/>
              <w:spacing w:after="0"/>
              <w:rPr>
                <w:sz w:val="20"/>
                <w:szCs w:val="20"/>
                <w:color w:val="auto"/>
              </w:rPr>
            </w:pPr>
            <w:r>
              <w:rPr>
                <w:rFonts w:ascii="Arial" w:cs="Arial" w:eastAsia="Arial" w:hAnsi="Arial"/>
                <w:sz w:val="13"/>
                <w:szCs w:val="13"/>
                <w:color w:val="auto"/>
                <w:w w:val="89"/>
              </w:rPr>
              <w:t>Smaller reporting company o</w:t>
            </w:r>
          </w:p>
        </w:tc>
      </w:tr>
      <w:tr>
        <w:trPr>
          <w:trHeight w:val="160"/>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980" w:type="dxa"/>
            <w:vAlign w:val="bottom"/>
            <w:gridSpan w:val="4"/>
          </w:tcPr>
          <w:p>
            <w:pPr>
              <w:jc w:val="right"/>
              <w:ind w:right="679"/>
              <w:spacing w:after="0"/>
              <w:rPr>
                <w:sz w:val="20"/>
                <w:szCs w:val="20"/>
                <w:color w:val="auto"/>
              </w:rPr>
            </w:pPr>
            <w:r>
              <w:rPr>
                <w:rFonts w:ascii="Arial" w:cs="Arial" w:eastAsia="Arial" w:hAnsi="Arial"/>
                <w:sz w:val="13"/>
                <w:szCs w:val="13"/>
                <w:color w:val="auto"/>
              </w:rPr>
              <w:t>(Do not check if a smaller reporting company)</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tcBorders>
              <w:bottom w:val="single" w:sz="8" w:color="808080"/>
            </w:tcBorders>
            <w:gridSpan w:val="2"/>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4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CALCULATION OF REGISTRATION FEE</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4"/>
        </w:trPr>
        <w:tc>
          <w:tcPr>
            <w:tcW w:w="20" w:type="dxa"/>
            <w:vAlign w:val="bottom"/>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jc w:val="center"/>
              <w:ind w:right="659"/>
              <w:spacing w:after="0" w:line="66" w:lineRule="exact"/>
              <w:rPr>
                <w:sz w:val="20"/>
                <w:szCs w:val="20"/>
                <w:color w:val="auto"/>
              </w:rPr>
            </w:pPr>
            <w:r>
              <w:rPr>
                <w:rFonts w:ascii="Arial" w:cs="Arial" w:eastAsia="Arial" w:hAnsi="Arial"/>
                <w:sz w:val="7"/>
                <w:szCs w:val="7"/>
                <w:b w:val="1"/>
                <w:bCs w:val="1"/>
                <w:color w:val="auto"/>
              </w:rPr>
              <w:t>Proposed</w:t>
            </w:r>
          </w:p>
        </w:tc>
        <w:tc>
          <w:tcPr>
            <w:tcW w:w="300" w:type="dxa"/>
            <w:vAlign w:val="bottom"/>
          </w:tcPr>
          <w:p>
            <w:pPr>
              <w:spacing w:after="0"/>
              <w:rPr>
                <w:sz w:val="5"/>
                <w:szCs w:val="5"/>
                <w:color w:val="auto"/>
              </w:rPr>
            </w:pPr>
          </w:p>
        </w:tc>
        <w:tc>
          <w:tcPr>
            <w:tcW w:w="1260" w:type="dxa"/>
            <w:vAlign w:val="bottom"/>
          </w:tcPr>
          <w:p>
            <w:pPr>
              <w:jc w:val="center"/>
              <w:ind w:right="327"/>
              <w:spacing w:after="0" w:line="66" w:lineRule="exact"/>
              <w:rPr>
                <w:sz w:val="20"/>
                <w:szCs w:val="20"/>
                <w:color w:val="auto"/>
              </w:rPr>
            </w:pPr>
            <w:r>
              <w:rPr>
                <w:rFonts w:ascii="Arial" w:cs="Arial" w:eastAsia="Arial" w:hAnsi="Arial"/>
                <w:sz w:val="7"/>
                <w:szCs w:val="7"/>
                <w:b w:val="1"/>
                <w:bCs w:val="1"/>
                <w:color w:val="auto"/>
              </w:rPr>
              <w:t>Proposed</w:t>
            </w: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80" w:type="dxa"/>
            <w:vAlign w:val="bottom"/>
          </w:tcPr>
          <w:p>
            <w:pPr>
              <w:jc w:val="center"/>
              <w:ind w:left="83"/>
              <w:spacing w:after="0" w:line="95" w:lineRule="exact"/>
              <w:rPr>
                <w:sz w:val="20"/>
                <w:szCs w:val="20"/>
                <w:color w:val="auto"/>
              </w:rPr>
            </w:pPr>
            <w:r>
              <w:rPr>
                <w:rFonts w:ascii="Arial" w:cs="Arial" w:eastAsia="Arial" w:hAnsi="Arial"/>
                <w:sz w:val="9"/>
                <w:szCs w:val="9"/>
                <w:b w:val="1"/>
                <w:bCs w:val="1"/>
                <w:color w:val="auto"/>
                <w:w w:val="93"/>
              </w:rPr>
              <w:t>Amount</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659"/>
              <w:spacing w:after="0" w:line="95" w:lineRule="exact"/>
              <w:rPr>
                <w:sz w:val="20"/>
                <w:szCs w:val="20"/>
                <w:color w:val="auto"/>
              </w:rPr>
            </w:pPr>
            <w:r>
              <w:rPr>
                <w:rFonts w:ascii="Arial" w:cs="Arial" w:eastAsia="Arial" w:hAnsi="Arial"/>
                <w:sz w:val="9"/>
                <w:szCs w:val="9"/>
                <w:b w:val="1"/>
                <w:bCs w:val="1"/>
                <w:color w:val="auto"/>
                <w:w w:val="96"/>
              </w:rPr>
              <w:t>Maximum</w:t>
            </w:r>
          </w:p>
        </w:tc>
        <w:tc>
          <w:tcPr>
            <w:tcW w:w="300" w:type="dxa"/>
            <w:vAlign w:val="bottom"/>
          </w:tcPr>
          <w:p>
            <w:pPr>
              <w:spacing w:after="0"/>
              <w:rPr>
                <w:sz w:val="8"/>
                <w:szCs w:val="8"/>
                <w:color w:val="auto"/>
              </w:rPr>
            </w:pPr>
          </w:p>
        </w:tc>
        <w:tc>
          <w:tcPr>
            <w:tcW w:w="1260" w:type="dxa"/>
            <w:vAlign w:val="bottom"/>
          </w:tcPr>
          <w:p>
            <w:pPr>
              <w:jc w:val="center"/>
              <w:ind w:right="327"/>
              <w:spacing w:after="0" w:line="95" w:lineRule="exact"/>
              <w:rPr>
                <w:sz w:val="20"/>
                <w:szCs w:val="20"/>
                <w:color w:val="auto"/>
              </w:rPr>
            </w:pPr>
            <w:r>
              <w:rPr>
                <w:rFonts w:ascii="Arial" w:cs="Arial" w:eastAsia="Arial" w:hAnsi="Arial"/>
                <w:sz w:val="9"/>
                <w:szCs w:val="9"/>
                <w:b w:val="1"/>
                <w:bCs w:val="1"/>
                <w:color w:val="auto"/>
                <w:w w:val="96"/>
              </w:rPr>
              <w:t>Maximum</w:t>
            </w: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2580" w:type="dxa"/>
            <w:vAlign w:val="bottom"/>
          </w:tcPr>
          <w:p>
            <w:pPr>
              <w:jc w:val="center"/>
              <w:ind w:left="1346"/>
              <w:spacing w:after="0" w:line="95" w:lineRule="exact"/>
              <w:rPr>
                <w:sz w:val="20"/>
                <w:szCs w:val="20"/>
                <w:color w:val="auto"/>
              </w:rPr>
            </w:pPr>
            <w:r>
              <w:rPr>
                <w:rFonts w:ascii="Arial" w:cs="Arial" w:eastAsia="Arial" w:hAnsi="Arial"/>
                <w:sz w:val="9"/>
                <w:szCs w:val="9"/>
                <w:b w:val="1"/>
                <w:bCs w:val="1"/>
                <w:color w:val="auto"/>
                <w:w w:val="87"/>
              </w:rPr>
              <w:t>Title of Securities</w:t>
            </w:r>
          </w:p>
        </w:tc>
        <w:tc>
          <w:tcPr>
            <w:tcW w:w="1680" w:type="dxa"/>
            <w:vAlign w:val="bottom"/>
          </w:tcPr>
          <w:p>
            <w:pPr>
              <w:spacing w:after="0"/>
              <w:rPr>
                <w:sz w:val="8"/>
                <w:szCs w:val="8"/>
                <w:color w:val="auto"/>
              </w:rPr>
            </w:pPr>
          </w:p>
        </w:tc>
        <w:tc>
          <w:tcPr>
            <w:tcW w:w="1980" w:type="dxa"/>
            <w:vAlign w:val="bottom"/>
          </w:tcPr>
          <w:p>
            <w:pPr>
              <w:jc w:val="center"/>
              <w:ind w:left="63"/>
              <w:spacing w:after="0" w:line="95" w:lineRule="exact"/>
              <w:rPr>
                <w:sz w:val="20"/>
                <w:szCs w:val="20"/>
                <w:color w:val="auto"/>
              </w:rPr>
            </w:pPr>
            <w:r>
              <w:rPr>
                <w:rFonts w:ascii="Arial" w:cs="Arial" w:eastAsia="Arial" w:hAnsi="Arial"/>
                <w:sz w:val="9"/>
                <w:szCs w:val="9"/>
                <w:b w:val="1"/>
                <w:bCs w:val="1"/>
                <w:color w:val="auto"/>
                <w:w w:val="83"/>
              </w:rPr>
              <w:t>to be</w:t>
            </w:r>
          </w:p>
        </w:tc>
        <w:tc>
          <w:tcPr>
            <w:tcW w:w="760" w:type="dxa"/>
            <w:vAlign w:val="bottom"/>
          </w:tcPr>
          <w:p>
            <w:pPr>
              <w:spacing w:after="0"/>
              <w:rPr>
                <w:sz w:val="8"/>
                <w:szCs w:val="8"/>
                <w:color w:val="auto"/>
              </w:rPr>
            </w:pPr>
          </w:p>
        </w:tc>
        <w:tc>
          <w:tcPr>
            <w:tcW w:w="1240" w:type="dxa"/>
            <w:vAlign w:val="bottom"/>
            <w:gridSpan w:val="2"/>
          </w:tcPr>
          <w:p>
            <w:pPr>
              <w:jc w:val="center"/>
              <w:ind w:right="519"/>
              <w:spacing w:after="0" w:line="95" w:lineRule="exact"/>
              <w:rPr>
                <w:sz w:val="20"/>
                <w:szCs w:val="20"/>
                <w:color w:val="auto"/>
              </w:rPr>
            </w:pPr>
            <w:r>
              <w:rPr>
                <w:rFonts w:ascii="Arial" w:cs="Arial" w:eastAsia="Arial" w:hAnsi="Arial"/>
                <w:sz w:val="9"/>
                <w:szCs w:val="9"/>
                <w:b w:val="1"/>
                <w:bCs w:val="1"/>
                <w:color w:val="auto"/>
                <w:w w:val="94"/>
              </w:rPr>
              <w:t>Offering Price</w:t>
            </w:r>
          </w:p>
        </w:tc>
        <w:tc>
          <w:tcPr>
            <w:tcW w:w="300" w:type="dxa"/>
            <w:vAlign w:val="bottom"/>
          </w:tcPr>
          <w:p>
            <w:pPr>
              <w:spacing w:after="0"/>
              <w:rPr>
                <w:sz w:val="8"/>
                <w:szCs w:val="8"/>
                <w:color w:val="auto"/>
              </w:rPr>
            </w:pPr>
          </w:p>
        </w:tc>
        <w:tc>
          <w:tcPr>
            <w:tcW w:w="1260" w:type="dxa"/>
            <w:vAlign w:val="bottom"/>
          </w:tcPr>
          <w:p>
            <w:pPr>
              <w:jc w:val="center"/>
              <w:ind w:right="327"/>
              <w:spacing w:after="0" w:line="95" w:lineRule="exact"/>
              <w:rPr>
                <w:sz w:val="20"/>
                <w:szCs w:val="20"/>
                <w:color w:val="auto"/>
              </w:rPr>
            </w:pPr>
            <w:r>
              <w:rPr>
                <w:rFonts w:ascii="Arial" w:cs="Arial" w:eastAsia="Arial" w:hAnsi="Arial"/>
                <w:sz w:val="9"/>
                <w:szCs w:val="9"/>
                <w:b w:val="1"/>
                <w:bCs w:val="1"/>
                <w:color w:val="auto"/>
                <w:w w:val="89"/>
              </w:rPr>
              <w:t>Aggregate</w:t>
            </w:r>
          </w:p>
        </w:tc>
        <w:tc>
          <w:tcPr>
            <w:tcW w:w="360" w:type="dxa"/>
            <w:vAlign w:val="bottom"/>
          </w:tcPr>
          <w:p>
            <w:pPr>
              <w:spacing w:after="0"/>
              <w:rPr>
                <w:sz w:val="8"/>
                <w:szCs w:val="8"/>
                <w:color w:val="auto"/>
              </w:rPr>
            </w:pPr>
          </w:p>
        </w:tc>
        <w:tc>
          <w:tcPr>
            <w:tcW w:w="1240" w:type="dxa"/>
            <w:vAlign w:val="bottom"/>
          </w:tcPr>
          <w:p>
            <w:pPr>
              <w:jc w:val="right"/>
              <w:ind w:right="524"/>
              <w:spacing w:after="0" w:line="95" w:lineRule="exact"/>
              <w:rPr>
                <w:sz w:val="20"/>
                <w:szCs w:val="20"/>
                <w:color w:val="auto"/>
              </w:rPr>
            </w:pPr>
            <w:r>
              <w:rPr>
                <w:rFonts w:ascii="Arial" w:cs="Arial" w:eastAsia="Arial" w:hAnsi="Arial"/>
                <w:sz w:val="9"/>
                <w:szCs w:val="9"/>
                <w:b w:val="1"/>
                <w:bCs w:val="1"/>
                <w:color w:val="auto"/>
              </w:rPr>
              <w:t>Amount of</w:t>
            </w:r>
          </w:p>
        </w:tc>
      </w:tr>
      <w:tr>
        <w:trPr>
          <w:trHeight w:val="104"/>
        </w:trPr>
        <w:tc>
          <w:tcPr>
            <w:tcW w:w="20" w:type="dxa"/>
            <w:vAlign w:val="bottom"/>
          </w:tcPr>
          <w:p>
            <w:pPr>
              <w:spacing w:after="0"/>
              <w:rPr>
                <w:sz w:val="9"/>
                <w:szCs w:val="9"/>
                <w:color w:val="auto"/>
              </w:rPr>
            </w:pPr>
          </w:p>
        </w:tc>
        <w:tc>
          <w:tcPr>
            <w:tcW w:w="2580" w:type="dxa"/>
            <w:vAlign w:val="bottom"/>
            <w:tcBorders>
              <w:bottom w:val="single" w:sz="8" w:color="auto"/>
            </w:tcBorders>
          </w:tcPr>
          <w:p>
            <w:pPr>
              <w:jc w:val="center"/>
              <w:ind w:left="1346"/>
              <w:spacing w:after="0"/>
              <w:rPr>
                <w:sz w:val="20"/>
                <w:szCs w:val="20"/>
                <w:color w:val="auto"/>
              </w:rPr>
            </w:pPr>
            <w:r>
              <w:rPr>
                <w:rFonts w:ascii="Arial" w:cs="Arial" w:eastAsia="Arial" w:hAnsi="Arial"/>
                <w:sz w:val="9"/>
                <w:szCs w:val="9"/>
                <w:b w:val="1"/>
                <w:bCs w:val="1"/>
                <w:color w:val="auto"/>
                <w:w w:val="87"/>
              </w:rPr>
              <w:t>to be Registered</w:t>
            </w:r>
          </w:p>
        </w:tc>
        <w:tc>
          <w:tcPr>
            <w:tcW w:w="16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jc w:val="center"/>
              <w:ind w:left="83"/>
              <w:spacing w:after="0"/>
              <w:rPr>
                <w:sz w:val="20"/>
                <w:szCs w:val="20"/>
                <w:color w:val="auto"/>
              </w:rPr>
            </w:pPr>
            <w:r>
              <w:rPr>
                <w:rFonts w:ascii="Arial" w:cs="Arial" w:eastAsia="Arial" w:hAnsi="Arial"/>
                <w:sz w:val="9"/>
                <w:szCs w:val="9"/>
                <w:b w:val="1"/>
                <w:bCs w:val="1"/>
                <w:color w:val="auto"/>
                <w:w w:val="90"/>
              </w:rPr>
              <w:t>Registered(1)</w:t>
            </w: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center"/>
              <w:ind w:right="679"/>
              <w:spacing w:after="0"/>
              <w:rPr>
                <w:sz w:val="20"/>
                <w:szCs w:val="20"/>
                <w:color w:val="auto"/>
              </w:rPr>
            </w:pPr>
            <w:r>
              <w:rPr>
                <w:rFonts w:ascii="Arial" w:cs="Arial" w:eastAsia="Arial" w:hAnsi="Arial"/>
                <w:sz w:val="9"/>
                <w:szCs w:val="9"/>
                <w:b w:val="1"/>
                <w:bCs w:val="1"/>
                <w:color w:val="auto"/>
                <w:w w:val="90"/>
              </w:rPr>
              <w:t>Per Share</w:t>
            </w:r>
          </w:p>
        </w:tc>
        <w:tc>
          <w:tcPr>
            <w:tcW w:w="3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center"/>
              <w:ind w:right="327"/>
              <w:spacing w:after="0"/>
              <w:rPr>
                <w:sz w:val="20"/>
                <w:szCs w:val="20"/>
                <w:color w:val="auto"/>
              </w:rPr>
            </w:pPr>
            <w:r>
              <w:rPr>
                <w:rFonts w:ascii="Arial" w:cs="Arial" w:eastAsia="Arial" w:hAnsi="Arial"/>
                <w:sz w:val="9"/>
                <w:szCs w:val="9"/>
                <w:b w:val="1"/>
                <w:bCs w:val="1"/>
                <w:color w:val="auto"/>
                <w:w w:val="94"/>
              </w:rPr>
              <w:t>Offering Price</w:t>
            </w:r>
          </w:p>
        </w:tc>
        <w:tc>
          <w:tcPr>
            <w:tcW w:w="3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right"/>
              <w:ind w:right="404"/>
              <w:spacing w:after="0"/>
              <w:rPr>
                <w:sz w:val="20"/>
                <w:szCs w:val="20"/>
                <w:color w:val="auto"/>
              </w:rPr>
            </w:pPr>
            <w:r>
              <w:rPr>
                <w:rFonts w:ascii="Arial" w:cs="Arial" w:eastAsia="Arial" w:hAnsi="Arial"/>
                <w:sz w:val="9"/>
                <w:szCs w:val="9"/>
                <w:b w:val="1"/>
                <w:bCs w:val="1"/>
                <w:color w:val="auto"/>
              </w:rPr>
              <w:t>Registration Fee</w:t>
            </w:r>
          </w:p>
        </w:tc>
      </w:tr>
      <w:tr>
        <w:trPr>
          <w:trHeight w:val="129"/>
        </w:trPr>
        <w:tc>
          <w:tcPr>
            <w:tcW w:w="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98"/>
              </w:rPr>
              <w:t>Common Stock, par value $0.0001 per share</w:t>
            </w:r>
          </w:p>
        </w:tc>
        <w:tc>
          <w:tcPr>
            <w:tcW w:w="16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jc w:val="center"/>
              <w:ind w:left="83"/>
              <w:spacing w:after="0" w:line="129" w:lineRule="exact"/>
              <w:rPr>
                <w:sz w:val="20"/>
                <w:szCs w:val="20"/>
                <w:color w:val="auto"/>
              </w:rPr>
            </w:pPr>
            <w:r>
              <w:rPr>
                <w:rFonts w:ascii="Arial" w:cs="Arial" w:eastAsia="Arial" w:hAnsi="Arial"/>
                <w:sz w:val="13"/>
                <w:szCs w:val="13"/>
                <w:color w:val="auto"/>
                <w:w w:val="85"/>
              </w:rPr>
              <w:t>1,722,742 shares(2)</w:t>
            </w:r>
          </w:p>
        </w:tc>
        <w:tc>
          <w:tcPr>
            <w:tcW w:w="76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gridSpan w:val="2"/>
          </w:tcPr>
          <w:p>
            <w:pPr>
              <w:jc w:val="right"/>
              <w:ind w:right="19"/>
              <w:spacing w:after="0" w:line="129" w:lineRule="exact"/>
              <w:rPr>
                <w:sz w:val="20"/>
                <w:szCs w:val="20"/>
                <w:color w:val="auto"/>
              </w:rPr>
            </w:pPr>
            <w:r>
              <w:rPr>
                <w:rFonts w:ascii="Arial" w:cs="Arial" w:eastAsia="Arial" w:hAnsi="Arial"/>
                <w:sz w:val="13"/>
                <w:szCs w:val="13"/>
                <w:color w:val="auto"/>
              </w:rPr>
              <w:t>4.92(3)</w:t>
            </w:r>
          </w:p>
        </w:tc>
        <w:tc>
          <w:tcPr>
            <w:tcW w:w="30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87"/>
              <w:spacing w:after="0" w:line="129" w:lineRule="exact"/>
              <w:rPr>
                <w:sz w:val="20"/>
                <w:szCs w:val="20"/>
                <w:color w:val="auto"/>
              </w:rPr>
            </w:pPr>
            <w:r>
              <w:rPr>
                <w:rFonts w:ascii="Arial" w:cs="Arial" w:eastAsia="Arial" w:hAnsi="Arial"/>
                <w:sz w:val="13"/>
                <w:szCs w:val="13"/>
                <w:color w:val="auto"/>
              </w:rPr>
              <w:t>8,475,891</w:t>
            </w:r>
          </w:p>
        </w:tc>
        <w:tc>
          <w:tcPr>
            <w:tcW w:w="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44"/>
              <w:spacing w:after="0" w:line="129" w:lineRule="exact"/>
              <w:rPr>
                <w:sz w:val="20"/>
                <w:szCs w:val="20"/>
                <w:color w:val="auto"/>
              </w:rPr>
            </w:pPr>
            <w:r>
              <w:rPr>
                <w:rFonts w:ascii="Arial" w:cs="Arial" w:eastAsia="Arial" w:hAnsi="Arial"/>
                <w:sz w:val="13"/>
                <w:szCs w:val="13"/>
                <w:color w:val="auto"/>
              </w:rPr>
              <w:t>854</w:t>
            </w:r>
          </w:p>
        </w:tc>
      </w:tr>
      <w:tr>
        <w:trPr>
          <w:trHeight w:val="129"/>
        </w:trPr>
        <w:tc>
          <w:tcPr>
            <w:tcW w:w="26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3"/>
                <w:szCs w:val="13"/>
                <w:color w:val="auto"/>
                <w:w w:val="99"/>
              </w:rPr>
              <w:t>Common Stock, par value $0.0001 per share</w:t>
            </w:r>
          </w:p>
        </w:tc>
        <w:tc>
          <w:tcPr>
            <w:tcW w:w="16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jc w:val="center"/>
              <w:ind w:left="63"/>
              <w:spacing w:after="0" w:line="129" w:lineRule="exact"/>
              <w:rPr>
                <w:sz w:val="20"/>
                <w:szCs w:val="20"/>
                <w:color w:val="auto"/>
              </w:rPr>
            </w:pPr>
            <w:r>
              <w:rPr>
                <w:rFonts w:ascii="Arial" w:cs="Arial" w:eastAsia="Arial" w:hAnsi="Arial"/>
                <w:sz w:val="13"/>
                <w:szCs w:val="13"/>
                <w:color w:val="auto"/>
                <w:w w:val="85"/>
              </w:rPr>
              <w:t>773,076 shares(4)</w:t>
            </w:r>
          </w:p>
        </w:tc>
        <w:tc>
          <w:tcPr>
            <w:tcW w:w="76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gridSpan w:val="2"/>
          </w:tcPr>
          <w:p>
            <w:pPr>
              <w:jc w:val="right"/>
              <w:ind w:right="19"/>
              <w:spacing w:after="0" w:line="129" w:lineRule="exact"/>
              <w:rPr>
                <w:sz w:val="20"/>
                <w:szCs w:val="20"/>
                <w:color w:val="auto"/>
              </w:rPr>
            </w:pPr>
            <w:r>
              <w:rPr>
                <w:rFonts w:ascii="Arial" w:cs="Arial" w:eastAsia="Arial" w:hAnsi="Arial"/>
                <w:sz w:val="13"/>
                <w:szCs w:val="13"/>
                <w:color w:val="auto"/>
              </w:rPr>
              <w:t>14.00(5)</w:t>
            </w:r>
          </w:p>
        </w:tc>
        <w:tc>
          <w:tcPr>
            <w:tcW w:w="30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87"/>
              <w:spacing w:after="0" w:line="129" w:lineRule="exact"/>
              <w:rPr>
                <w:sz w:val="20"/>
                <w:szCs w:val="20"/>
                <w:color w:val="auto"/>
              </w:rPr>
            </w:pPr>
            <w:r>
              <w:rPr>
                <w:rFonts w:ascii="Arial" w:cs="Arial" w:eastAsia="Arial" w:hAnsi="Arial"/>
                <w:sz w:val="13"/>
                <w:szCs w:val="13"/>
                <w:color w:val="auto"/>
              </w:rPr>
              <w:t>10,823,064</w:t>
            </w:r>
          </w:p>
        </w:tc>
        <w:tc>
          <w:tcPr>
            <w:tcW w:w="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44"/>
              <w:spacing w:after="0" w:line="129" w:lineRule="exact"/>
              <w:rPr>
                <w:sz w:val="20"/>
                <w:szCs w:val="20"/>
                <w:color w:val="auto"/>
              </w:rPr>
            </w:pPr>
            <w:r>
              <w:rPr>
                <w:rFonts w:ascii="Arial" w:cs="Arial" w:eastAsia="Arial" w:hAnsi="Arial"/>
                <w:sz w:val="13"/>
                <w:szCs w:val="13"/>
                <w:color w:val="auto"/>
              </w:rPr>
              <w:t>1,090</w:t>
            </w:r>
          </w:p>
        </w:tc>
      </w:tr>
      <w:tr>
        <w:trPr>
          <w:trHeight w:val="129"/>
        </w:trPr>
        <w:tc>
          <w:tcPr>
            <w:tcW w:w="26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3"/>
                <w:szCs w:val="13"/>
                <w:color w:val="auto"/>
                <w:w w:val="99"/>
              </w:rPr>
              <w:t>Common Stock, par value $0.0001 per share</w:t>
            </w:r>
          </w:p>
        </w:tc>
        <w:tc>
          <w:tcPr>
            <w:tcW w:w="16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jc w:val="center"/>
              <w:ind w:left="83"/>
              <w:spacing w:after="0" w:line="129" w:lineRule="exact"/>
              <w:rPr>
                <w:sz w:val="20"/>
                <w:szCs w:val="20"/>
                <w:color w:val="auto"/>
              </w:rPr>
            </w:pPr>
            <w:r>
              <w:rPr>
                <w:rFonts w:ascii="Arial" w:cs="Arial" w:eastAsia="Arial" w:hAnsi="Arial"/>
                <w:sz w:val="13"/>
                <w:szCs w:val="13"/>
                <w:color w:val="auto"/>
                <w:w w:val="85"/>
              </w:rPr>
              <w:t>4,210,256 shares(6)</w:t>
            </w:r>
          </w:p>
        </w:tc>
        <w:tc>
          <w:tcPr>
            <w:tcW w:w="76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gridSpan w:val="2"/>
          </w:tcPr>
          <w:p>
            <w:pPr>
              <w:jc w:val="right"/>
              <w:ind w:right="19"/>
              <w:spacing w:after="0" w:line="129" w:lineRule="exact"/>
              <w:rPr>
                <w:sz w:val="20"/>
                <w:szCs w:val="20"/>
                <w:color w:val="auto"/>
              </w:rPr>
            </w:pPr>
            <w:r>
              <w:rPr>
                <w:rFonts w:ascii="Arial" w:cs="Arial" w:eastAsia="Arial" w:hAnsi="Arial"/>
                <w:sz w:val="13"/>
                <w:szCs w:val="13"/>
                <w:color w:val="auto"/>
              </w:rPr>
              <w:t>14.00(7)</w:t>
            </w:r>
          </w:p>
        </w:tc>
        <w:tc>
          <w:tcPr>
            <w:tcW w:w="30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87"/>
              <w:spacing w:after="0" w:line="129" w:lineRule="exact"/>
              <w:rPr>
                <w:sz w:val="20"/>
                <w:szCs w:val="20"/>
                <w:color w:val="auto"/>
              </w:rPr>
            </w:pPr>
            <w:r>
              <w:rPr>
                <w:rFonts w:ascii="Arial" w:cs="Arial" w:eastAsia="Arial" w:hAnsi="Arial"/>
                <w:sz w:val="13"/>
                <w:szCs w:val="13"/>
                <w:color w:val="auto"/>
              </w:rPr>
              <w:t>58,943,584</w:t>
            </w:r>
          </w:p>
        </w:tc>
        <w:tc>
          <w:tcPr>
            <w:tcW w:w="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44"/>
              <w:spacing w:after="0" w:line="129" w:lineRule="exact"/>
              <w:rPr>
                <w:sz w:val="20"/>
                <w:szCs w:val="20"/>
                <w:color w:val="auto"/>
              </w:rPr>
            </w:pPr>
            <w:r>
              <w:rPr>
                <w:rFonts w:ascii="Arial" w:cs="Arial" w:eastAsia="Arial" w:hAnsi="Arial"/>
                <w:sz w:val="13"/>
                <w:szCs w:val="13"/>
                <w:color w:val="auto"/>
              </w:rPr>
              <w:t>5,936</w:t>
            </w: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580" w:right="20" w:hanging="572"/>
        <w:spacing w:after="0" w:line="287" w:lineRule="auto"/>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Pursuant to Rule 416(a) and Rule 416(b) under the Securities Act of 1933, as amended (the “Securities Act”), this Registration Statement shall also cover additional shares of the Registrant’s Common Stock, par value $0.0001 per share (“Common Stock”), which become issuable under the Selecta Biosciences, Inc. 2008 Stock Incentive Plan, as amended (the “2008 Plan”), the Selecta Biosciences, Inc. 2016 Incentive Award Plan (the “2016 Plan”) and the Selecta Biosciences, Inc. 2016 Employee Stock Purchase Plan (the “ESPP”) by reason of any stock split, stock dividend, recapitalization or other similar transaction.</w:t>
      </w:r>
    </w:p>
    <w:p>
      <w:pPr>
        <w:spacing w:after="0" w:line="45" w:lineRule="exact"/>
        <w:rPr>
          <w:rFonts w:ascii="Arial" w:cs="Arial" w:eastAsia="Arial" w:hAnsi="Arial"/>
          <w:sz w:val="11"/>
          <w:szCs w:val="11"/>
          <w:color w:val="auto"/>
        </w:rPr>
      </w:pPr>
    </w:p>
    <w:p>
      <w:pPr>
        <w:ind w:left="580" w:right="500" w:hanging="572"/>
        <w:spacing w:after="0" w:line="237" w:lineRule="auto"/>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1,722,742 shares of Common Stock subject to outstanding stock options under the 2008 Plan as of June 23, 2016. To the extent stock options outstanding under the 2008 Plan are forfeited, lapse unexercised or are settled in cash, the shares of Common Stock subject to the stock options will be available for future issuance under the 2016 Plan.</w:t>
      </w:r>
    </w:p>
    <w:p>
      <w:pPr>
        <w:spacing w:after="0" w:line="69" w:lineRule="exact"/>
        <w:rPr>
          <w:rFonts w:ascii="Arial" w:cs="Arial" w:eastAsia="Arial" w:hAnsi="Arial"/>
          <w:sz w:val="13"/>
          <w:szCs w:val="13"/>
          <w:color w:val="auto"/>
        </w:rPr>
      </w:pPr>
    </w:p>
    <w:p>
      <w:pPr>
        <w:ind w:left="580" w:right="200" w:hanging="572"/>
        <w:spacing w:after="0" w:line="237" w:lineRule="auto"/>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in accordance with Rule 457(h) of the Securities Act solely for the purpose of calculating the registration fee on the basis of the weighted average exercise price of $4.92 per share for outstanding stock options granted under the 2008 Plan.</w:t>
      </w:r>
    </w:p>
    <w:p>
      <w:pPr>
        <w:spacing w:after="0" w:line="69" w:lineRule="exact"/>
        <w:rPr>
          <w:rFonts w:ascii="Arial" w:cs="Arial" w:eastAsia="Arial" w:hAnsi="Arial"/>
          <w:sz w:val="13"/>
          <w:szCs w:val="13"/>
          <w:color w:val="auto"/>
        </w:rPr>
      </w:pPr>
    </w:p>
    <w:p>
      <w:pPr>
        <w:ind w:left="580" w:right="100" w:hanging="572"/>
        <w:spacing w:after="0" w:line="237" w:lineRule="auto"/>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773,076 shares of Common Stock available for future issuance under the ESPP, which number consists of (a) 173,076 shares of Common Stock initially available for issuance under the ESPP and (b) an additional 600,000 shares of Common Stock that may become issuable under the ESPP pursuant to its terms.</w:t>
      </w:r>
    </w:p>
    <w:p>
      <w:pPr>
        <w:spacing w:after="0" w:line="69" w:lineRule="exact"/>
        <w:rPr>
          <w:rFonts w:ascii="Arial" w:cs="Arial" w:eastAsia="Arial" w:hAnsi="Arial"/>
          <w:sz w:val="13"/>
          <w:szCs w:val="13"/>
          <w:color w:val="auto"/>
        </w:rPr>
      </w:pPr>
    </w:p>
    <w:p>
      <w:pPr>
        <w:ind w:left="580" w:right="80" w:hanging="572"/>
        <w:spacing w:after="0" w:line="320" w:lineRule="auto"/>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With respect to shares available for future issuance, estimated in accordance with Rule 457(c) and 457(h) of the Securities Act for purposes of calculating the registration fee, the Proposed Maximum Offering Price Per Share is $14.00, which is the initial public offering price set forth on the cover page of the Registrant’s prospectus dated June 21, 2016, relating to its initial public offering of Common Stock.</w:t>
      </w:r>
    </w:p>
    <w:p>
      <w:pPr>
        <w:spacing w:after="0" w:line="27" w:lineRule="exact"/>
        <w:rPr>
          <w:rFonts w:ascii="Arial" w:cs="Arial" w:eastAsia="Arial" w:hAnsi="Arial"/>
          <w:sz w:val="11"/>
          <w:szCs w:val="11"/>
          <w:color w:val="auto"/>
        </w:rPr>
      </w:pPr>
    </w:p>
    <w:p>
      <w:pPr>
        <w:ind w:left="580" w:right="240" w:hanging="572"/>
        <w:spacing w:after="0" w:line="237" w:lineRule="auto"/>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4,210,256 shares of Common Stock available for future issuance under the 2016 Plan, which number consists of (a) 1,210,256 shares of Common Stock initially available for issuance under the 2016 Plan and (b) an additional 3,000,000 shares of Common Stock that may become issuable under the 2016 Plan pursuant to its terms.</w:t>
      </w:r>
    </w:p>
    <w:p>
      <w:pPr>
        <w:spacing w:after="0" w:line="69" w:lineRule="exact"/>
        <w:rPr>
          <w:rFonts w:ascii="Arial" w:cs="Arial" w:eastAsia="Arial" w:hAnsi="Arial"/>
          <w:sz w:val="13"/>
          <w:szCs w:val="13"/>
          <w:color w:val="auto"/>
        </w:rPr>
      </w:pPr>
    </w:p>
    <w:p>
      <w:pPr>
        <w:ind w:left="580" w:right="80" w:hanging="572"/>
        <w:spacing w:after="0" w:line="320" w:lineRule="auto"/>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With respect to shares available for future issuance, estimated in accordance with Rule 457(c) and 457(h) of the Securities Act for purposes of calculating the registration fee, the Proposed Maximum Offering Price Per Share is $14.00, which is the initial public offering price set forth on the cover page of the Registrant’s prospectus dated June 21, 2016, relating to its initial public offering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4"/>
          <w:szCs w:val="24"/>
          <w:color w:val="auto"/>
        </w:rPr>
      </w:pPr>
    </w:p>
    <w:p>
      <w:pPr>
        <w:ind w:right="400" w:firstLine="450"/>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Registration Statement (by incorporation by reference or otherwise) in accordance with the rules and regulations of the Securities and Exchange Commission (the “Commission”).</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ectPr>
          <w:pgSz w:w="11900" w:h="16870" w:orient="portrait"/>
          <w:cols w:equalWidth="0" w:num="1">
            <w:col w:w="11420"/>
          </w:cols>
          <w:pgMar w:left="240" w:top="378" w:right="239" w:bottom="0" w:gutter="0" w:footer="0" w:header="0"/>
        </w:sectPr>
      </w:pPr>
    </w:p>
    <w:bookmarkStart w:id="1" w:name="page2"/>
    <w:bookmarkEnd w:id="1"/>
    <w:p>
      <w:pPr>
        <w:spacing w:after="0" w:line="2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following documents, which have been filed with the Commission by Selecta Biosciences, Inc. (the “Registrant”), pursuant to the Securities Act and the Securities Exchange Act of 1934, as amended (the “Exchange Act”), as applicable, are hereby incorporated by reference in, and shall be deemed to be a part of, this Registration Statement:</w:t>
      </w:r>
    </w:p>
    <w:p>
      <w:pPr>
        <w:spacing w:after="0" w:line="181" w:lineRule="exact"/>
        <w:rPr>
          <w:sz w:val="20"/>
          <w:szCs w:val="20"/>
          <w:color w:val="auto"/>
        </w:rPr>
      </w:pPr>
    </w:p>
    <w:p>
      <w:pPr>
        <w:ind w:firstLine="449"/>
        <w:spacing w:after="0" w:line="264" w:lineRule="auto"/>
        <w:tabs>
          <w:tab w:leader="none" w:pos="13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filed with the Commission pursuant to Rule 424(b) promulgated under the Securities Act on June 23, 2016, in connection with the registration statement on Form S-1, as amended (Reg. No. 333-211555), in which there is set forth the audited financial statements for the Registrant’s fiscal year ended December 31, 2015; and</w:t>
      </w:r>
    </w:p>
    <w:p>
      <w:pPr>
        <w:spacing w:after="0" w:line="181" w:lineRule="exact"/>
        <w:rPr>
          <w:rFonts w:ascii="Arial" w:cs="Arial" w:eastAsia="Arial" w:hAnsi="Arial"/>
          <w:sz w:val="18"/>
          <w:szCs w:val="18"/>
          <w:color w:val="auto"/>
        </w:rPr>
      </w:pPr>
    </w:p>
    <w:p>
      <w:pPr>
        <w:ind w:left="1380" w:hanging="931"/>
        <w:spacing w:after="0"/>
        <w:tabs>
          <w:tab w:leader="none" w:pos="1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contained in the prospectus included in the Registrant’s registration statement on</w:t>
      </w:r>
    </w:p>
    <w:p>
      <w:pPr>
        <w:spacing w:after="0" w:line="35" w:lineRule="exact"/>
        <w:rPr>
          <w:sz w:val="20"/>
          <w:szCs w:val="20"/>
          <w:color w:val="auto"/>
        </w:rPr>
      </w:pPr>
    </w:p>
    <w:p>
      <w:pPr>
        <w:ind w:right="680"/>
        <w:spacing w:after="0" w:line="323" w:lineRule="auto"/>
        <w:rPr>
          <w:sz w:val="20"/>
          <w:szCs w:val="20"/>
          <w:color w:val="auto"/>
        </w:rPr>
      </w:pPr>
      <w:r>
        <w:rPr>
          <w:rFonts w:ascii="Arial" w:cs="Arial" w:eastAsia="Arial" w:hAnsi="Arial"/>
          <w:sz w:val="16"/>
          <w:szCs w:val="16"/>
          <w:color w:val="auto"/>
        </w:rPr>
        <w:t>Form S-1, as amended (Reg. No. 333-211555), which description is incorporated by reference into the Form 8-A (File No. 001-37798) filed with the Commission on June 8, 2016, pursuant to the Exchange Act, and any amendment or report filed for the purpose of updating such description.</w:t>
      </w:r>
    </w:p>
    <w:p>
      <w:pPr>
        <w:spacing w:after="0" w:line="139"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subsequent to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w:t>
      </w:r>
    </w:p>
    <w:p>
      <w:pPr>
        <w:spacing w:after="0" w:line="18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statement so modified or superseded shall not be deemed, except as so modified or superseded, to constitute a part of this Registration Statement, except as to specific section of such statements as set forth therein.</w:t>
      </w:r>
    </w:p>
    <w:p>
      <w:pPr>
        <w:spacing w:after="0" w:line="17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Under no circumstances shall any information furnished under Item 2.02 or 7.01 of Form 8-K be deemed incorporated herein by reference unless such Form 8-K expressly provides to the contrary.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9"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The Registrant’s certificate of incorporation provides that it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certificate of incorporation provides that the Registrant will indemnify any Indemnitee who was or is a party to an action or suit by or in the right of the Registrant to procure a judgment in the Registrant’s favor by reason of the fact that the Indemnitee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w:t>
      </w:r>
    </w:p>
    <w:p>
      <w:pPr>
        <w:sectPr>
          <w:pgSz w:w="11900" w:h="16863" w:orient="portrait"/>
          <w:cols w:equalWidth="0" w:num="1">
            <w:col w:w="11400"/>
          </w:cols>
          <w:pgMar w:left="240" w:top="337" w:right="259" w:bottom="0" w:gutter="0" w:footer="0" w:header="0"/>
        </w:sectPr>
      </w:pPr>
    </w:p>
    <w:bookmarkStart w:id="2" w:name="page3"/>
    <w:bookmarkEnd w:id="2"/>
    <w:p>
      <w:pPr>
        <w:ind w:right="60"/>
        <w:spacing w:after="0" w:line="272" w:lineRule="auto"/>
        <w:rPr>
          <w:sz w:val="20"/>
          <w:szCs w:val="20"/>
          <w:color w:val="auto"/>
        </w:rPr>
      </w:pPr>
      <w:r>
        <w:rPr>
          <w:rFonts w:ascii="Arial" w:cs="Arial" w:eastAsia="Arial" w:hAnsi="Arial"/>
          <w:sz w:val="17"/>
          <w:szCs w:val="17"/>
          <w:color w:val="auto"/>
        </w:rPr>
        <w:t>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spacing w:after="0" w:line="17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Registrant has entered into indemnification agreements with each of the Registrant’s directors and officers. These indemnification agreements may require us, among other things, to indemnify the Registrant’s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directors and officers for some expenses, including attorneys’ fees, judgments, fines and settlement amounts incurred by a director or officer in any action or proceeding arising out of his or her service as one of the Registrant’s directors or officers, or any other company or enterprise to which the person provides services at the Registrant’s request.</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Registrant maintains a general liability insurance policy that covers certain liabilities of directors and officers of the Registrant’s corporation arising out of claims based on acts or omissions in their capacities as directors or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w w:val="91"/>
              </w:rPr>
              <w:t>Item 8.</w:t>
            </w: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0" w:type="dxa"/>
            <w:vAlign w:val="bottom"/>
          </w:tcPr>
          <w:p>
            <w:pPr>
              <w:ind w:left="3080"/>
              <w:spacing w:after="0"/>
              <w:rPr>
                <w:sz w:val="20"/>
                <w:szCs w:val="20"/>
                <w:color w:val="auto"/>
              </w:rPr>
            </w:pPr>
            <w:r>
              <w:rPr>
                <w:rFonts w:ascii="Arial" w:cs="Arial" w:eastAsia="Arial" w:hAnsi="Arial"/>
                <w:sz w:val="14"/>
                <w:szCs w:val="14"/>
                <w:b w:val="1"/>
                <w:bCs w:val="1"/>
                <w:color w:val="auto"/>
              </w:rPr>
              <w:t>Description of Exhibit</w:t>
            </w:r>
          </w:p>
        </w:tc>
        <w:tc>
          <w:tcPr>
            <w:tcW w:w="18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3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7"/>
              </w:rPr>
              <w:t>Certificate of Incorporation of the Registrant, as amended (currently in effect) (incorporated by reference to Exhibit 3.1 to</w:t>
            </w:r>
          </w:p>
        </w:tc>
        <w:tc>
          <w:tcPr>
            <w:tcW w:w="18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6"/>
              </w:rPr>
              <w:t>Amendment No. 1 to the Registrant’s Registration Statement on Form S-1 (Reg. No. 333-211555) filed on June 8, 2016).</w:t>
            </w:r>
          </w:p>
        </w:tc>
        <w:tc>
          <w:tcPr>
            <w:tcW w:w="1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1"/>
              </w:rPr>
              <w:t>Bylaws of the Registrant (currently in effect) (incorporated by reference to Exhibit 3.2 to the Registrant’s Registration Statement</w:t>
            </w:r>
          </w:p>
        </w:tc>
        <w:tc>
          <w:tcPr>
            <w:tcW w:w="1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on Form S-1 (Reg. No. 333-211555) filed on May 24, 2016).</w:t>
            </w:r>
          </w:p>
        </w:tc>
        <w:tc>
          <w:tcPr>
            <w:tcW w:w="1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2"/>
              </w:rPr>
              <w:t>Form of Restated Certificate of Incorporation of the Registrant (to be effective upon the closing of the Registrant’s initial public</w:t>
            </w:r>
          </w:p>
        </w:tc>
        <w:tc>
          <w:tcPr>
            <w:tcW w:w="1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offering of its Common Stock).</w:t>
            </w:r>
          </w:p>
        </w:tc>
        <w:tc>
          <w:tcPr>
            <w:tcW w:w="1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7"/>
              </w:rPr>
              <w:t>Form of Restated Bylaws (to be effective upon the closing of the Registrant’s initial public offering of its Common Stock)</w:t>
            </w:r>
          </w:p>
        </w:tc>
        <w:tc>
          <w:tcPr>
            <w:tcW w:w="1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1"/>
              </w:rPr>
              <w:t>(incorporated by reference to Exhibit 3.4 to the Registrant’s Registration Statement on Form S-1 (Reg. No. 333-211555) filed on</w:t>
            </w:r>
          </w:p>
        </w:tc>
        <w:tc>
          <w:tcPr>
            <w:tcW w:w="1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May 24, 2016).</w:t>
            </w:r>
          </w:p>
        </w:tc>
        <w:tc>
          <w:tcPr>
            <w:tcW w:w="1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1"/>
              </w:rPr>
              <w:t>Specimen Stock Certificate evidencing the shares of Common Stock (incorporated by reference to Exhibit 4.2 to the Registrant’s</w:t>
            </w:r>
          </w:p>
        </w:tc>
        <w:tc>
          <w:tcPr>
            <w:tcW w:w="1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S-1 (Reg. No. 333-211555) filed on May 24, 2016).</w:t>
            </w:r>
          </w:p>
        </w:tc>
        <w:tc>
          <w:tcPr>
            <w:tcW w:w="1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Opinion of Latham &amp; Watkins LLP.</w:t>
            </w:r>
          </w:p>
        </w:tc>
        <w:tc>
          <w:tcPr>
            <w:tcW w:w="1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1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23.2 +</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Consent of Latham &amp; Watkins LLP (included in Exhibit 5.1).</w:t>
            </w:r>
          </w:p>
        </w:tc>
        <w:tc>
          <w:tcPr>
            <w:tcW w:w="1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Power of Attorney (included on signature page).</w:t>
            </w:r>
          </w:p>
        </w:tc>
        <w:tc>
          <w:tcPr>
            <w:tcW w:w="1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0"/>
              </w:rPr>
              <w:t>Selecta Biosciences, Inc. 2008 Stock Incentive Plan, as amended (incorporated by reference to Exhibit 10.1 to Amendment No. 2</w:t>
            </w:r>
          </w:p>
        </w:tc>
        <w:tc>
          <w:tcPr>
            <w:tcW w:w="1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to the Registrant’s Registration Statement on Form S-1 (Reg. No. 333-211555) filed on June 20, 2016).</w:t>
            </w:r>
          </w:p>
        </w:tc>
        <w:tc>
          <w:tcPr>
            <w:tcW w:w="1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5"/>
              </w:rPr>
              <w:t>Selecta Biosciences, Inc. 2016 Incentive Award Plan (incorporated by reference to Exhibit 10.2 to Amendment No. 1 to the</w:t>
            </w:r>
          </w:p>
        </w:tc>
        <w:tc>
          <w:tcPr>
            <w:tcW w:w="1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(Reg. No. 333-211555) filed on June 8, 2016).</w:t>
            </w:r>
          </w:p>
        </w:tc>
        <w:tc>
          <w:tcPr>
            <w:tcW w:w="1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4"/>
                <w:szCs w:val="24"/>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2"/>
              </w:rPr>
              <w:t>Selecta Biosciences, Inc. 2016 Employee Stock Purchase Plan (incorporated by reference to Exhibit 10.3 to Amendment No. 1</w:t>
            </w:r>
          </w:p>
        </w:tc>
        <w:tc>
          <w:tcPr>
            <w:tcW w:w="1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to the Registrant’s Registration Statement on Form S-1 (Reg. No. 333-211555) filed on June 8, 2016).</w:t>
            </w:r>
          </w:p>
        </w:tc>
        <w:tc>
          <w:tcPr>
            <w:tcW w:w="180" w:type="dxa"/>
            <w:vAlign w:val="bottom"/>
          </w:tcPr>
          <w:p>
            <w:pPr>
              <w:spacing w:after="0"/>
              <w:rPr>
                <w:sz w:val="20"/>
                <w:szCs w:val="20"/>
                <w:color w:val="auto"/>
              </w:rPr>
            </w:pPr>
          </w:p>
        </w:tc>
      </w:tr>
      <w:tr>
        <w:trPr>
          <w:trHeight w:val="324"/>
        </w:trPr>
        <w:tc>
          <w:tcPr>
            <w:tcW w:w="620" w:type="dxa"/>
            <w:vAlign w:val="bottom"/>
            <w:tcBorders>
              <w:bottom w:val="single" w:sz="8" w:color="808080"/>
            </w:tcBorders>
            <w:gridSpan w:val="2"/>
          </w:tcPr>
          <w:p>
            <w:pPr>
              <w:spacing w:after="0"/>
              <w:rPr>
                <w:sz w:val="24"/>
                <w:szCs w:val="24"/>
                <w:color w:val="auto"/>
              </w:rPr>
            </w:pPr>
          </w:p>
        </w:tc>
        <w:tc>
          <w:tcPr>
            <w:tcW w:w="1240" w:type="dxa"/>
            <w:vAlign w:val="bottom"/>
            <w:tcBorders>
              <w:bottom w:val="single" w:sz="8" w:color="808080"/>
            </w:tcBorders>
            <w:gridSpan w:val="2"/>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8"/>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Filed herewith</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gridSpan w:val="3"/>
          </w:tcPr>
          <w:p>
            <w:pPr>
              <w:ind w:left="38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8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7"/>
        <w:spacing w:after="0"/>
        <w:tabs>
          <w:tab w:leader="none" w:pos="21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ectPr>
          <w:pgSz w:w="11900" w:h="16838" w:orient="portrait"/>
          <w:cols w:equalWidth="0" w:num="1">
            <w:col w:w="11460"/>
          </w:cols>
          <w:pgMar w:left="240" w:top="125" w:right="199" w:bottom="0" w:gutter="0" w:footer="0" w:header="0"/>
        </w:sectPr>
      </w:pPr>
    </w:p>
    <w:bookmarkStart w:id="3" w:name="page4"/>
    <w:bookmarkEnd w:id="3"/>
    <w:p>
      <w:pPr>
        <w:ind w:right="80" w:firstLine="1953"/>
        <w:spacing w:after="0" w:line="293" w:lineRule="auto"/>
        <w:tabs>
          <w:tab w:leader="none" w:pos="220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640" w:firstLine="1953"/>
        <w:spacing w:after="0" w:line="277" w:lineRule="auto"/>
        <w:tabs>
          <w:tab w:leader="none" w:pos="22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Registration Statement is on Form S-8, 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47" w:lineRule="exact"/>
        <w:rPr>
          <w:sz w:val="20"/>
          <w:szCs w:val="20"/>
          <w:color w:val="auto"/>
        </w:rPr>
      </w:pPr>
    </w:p>
    <w:p>
      <w:pPr>
        <w:ind w:right="160" w:firstLine="1305"/>
        <w:spacing w:after="0" w:line="264" w:lineRule="auto"/>
        <w:tabs>
          <w:tab w:leader="none" w:pos="154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1" w:lineRule="exact"/>
        <w:rPr>
          <w:rFonts w:ascii="Arial" w:cs="Arial" w:eastAsia="Arial" w:hAnsi="Arial"/>
          <w:sz w:val="18"/>
          <w:szCs w:val="18"/>
          <w:color w:val="auto"/>
        </w:rPr>
      </w:pPr>
    </w:p>
    <w:p>
      <w:pPr>
        <w:ind w:right="220" w:firstLine="1305"/>
        <w:spacing w:after="0" w:line="277" w:lineRule="auto"/>
        <w:tabs>
          <w:tab w:leader="none" w:pos="154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20" w:firstLine="413"/>
        <w:spacing w:after="0" w:line="302" w:lineRule="auto"/>
        <w:tabs>
          <w:tab w:leader="none" w:pos="65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ind w:right="40" w:firstLine="413"/>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360"/>
        <w:spacing w:after="0" w:line="27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the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2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 Ph.D.</w:t>
            </w:r>
          </w:p>
        </w:tc>
        <w:tc>
          <w:tcPr>
            <w:tcW w:w="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Werner Cautreels, Ph.D.</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430"/>
              <w:spacing w:after="0"/>
              <w:rPr>
                <w:sz w:val="20"/>
                <w:szCs w:val="20"/>
                <w:color w:val="auto"/>
              </w:rPr>
            </w:pPr>
            <w:r>
              <w:rPr>
                <w:rFonts w:ascii="Arial" w:cs="Arial" w:eastAsia="Arial" w:hAnsi="Arial"/>
                <w:sz w:val="18"/>
                <w:szCs w:val="18"/>
                <w:color w:val="auto"/>
              </w:rPr>
              <w:t>5</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80" w:firstLine="450"/>
        <w:spacing w:after="0" w:line="254" w:lineRule="auto"/>
        <w:rPr>
          <w:sz w:val="20"/>
          <w:szCs w:val="20"/>
          <w:color w:val="auto"/>
        </w:rPr>
      </w:pPr>
      <w:r>
        <w:rPr>
          <w:rFonts w:ascii="Arial" w:cs="Arial" w:eastAsia="Arial" w:hAnsi="Arial"/>
          <w:sz w:val="18"/>
          <w:szCs w:val="18"/>
          <w:color w:val="auto"/>
        </w:rPr>
        <w:t>We, the undersigned officers and directors of Selecta Biosciences, Inc., hereby severally constitute and appoint Werner Cautreels, Ph.D. and David Siewers,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2" w:lineRule="exact"/>
        <w:rPr>
          <w:sz w:val="20"/>
          <w:szCs w:val="20"/>
          <w:color w:val="auto"/>
        </w:rPr>
      </w:pPr>
    </w:p>
    <w:p>
      <w:pPr>
        <w:ind w:right="320" w:firstLine="45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held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516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 Ph.D.</w:t>
            </w:r>
          </w:p>
        </w:tc>
        <w:tc>
          <w:tcPr>
            <w:tcW w:w="220" w:type="dxa"/>
            <w:vAlign w:val="bottom"/>
          </w:tcPr>
          <w:p>
            <w:pPr>
              <w:spacing w:after="0"/>
              <w:rPr>
                <w:sz w:val="24"/>
                <w:szCs w:val="2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President, Chief Executive Officer and Chairman of the Board</w:t>
            </w:r>
          </w:p>
        </w:tc>
        <w:tc>
          <w:tcPr>
            <w:tcW w:w="2060" w:type="dxa"/>
            <w:vAlign w:val="bottom"/>
            <w:vMerge w:val="restart"/>
          </w:tcPr>
          <w:p>
            <w:pPr>
              <w:spacing w:after="0"/>
              <w:rPr>
                <w:sz w:val="20"/>
                <w:szCs w:val="20"/>
                <w:color w:val="auto"/>
              </w:rPr>
            </w:pPr>
            <w:r>
              <w:rPr>
                <w:rFonts w:ascii="Arial" w:cs="Arial" w:eastAsia="Arial" w:hAnsi="Arial"/>
                <w:sz w:val="18"/>
                <w:szCs w:val="18"/>
                <w:color w:val="auto"/>
              </w:rPr>
              <w:t>June 24, 2016</w:t>
            </w:r>
          </w:p>
        </w:tc>
        <w:tc>
          <w:tcPr>
            <w:tcW w:w="0" w:type="dxa"/>
            <w:vAlign w:val="bottom"/>
          </w:tcPr>
          <w:p>
            <w:pPr>
              <w:spacing w:after="0"/>
              <w:rPr>
                <w:sz w:val="1"/>
                <w:szCs w:val="1"/>
                <w:color w:val="auto"/>
              </w:rPr>
            </w:pPr>
          </w:p>
        </w:tc>
      </w:tr>
      <w:tr>
        <w:trPr>
          <w:trHeight w:val="182"/>
        </w:trPr>
        <w:tc>
          <w:tcPr>
            <w:tcW w:w="3780" w:type="dxa"/>
            <w:vAlign w:val="bottom"/>
          </w:tcPr>
          <w:p>
            <w:pPr>
              <w:jc w:val="center"/>
              <w:spacing w:after="0" w:line="182" w:lineRule="exact"/>
              <w:rPr>
                <w:sz w:val="20"/>
                <w:szCs w:val="20"/>
                <w:color w:val="auto"/>
              </w:rPr>
            </w:pPr>
            <w:r>
              <w:rPr>
                <w:rFonts w:ascii="Arial" w:cs="Arial" w:eastAsia="Arial" w:hAnsi="Arial"/>
                <w:sz w:val="18"/>
                <w:szCs w:val="18"/>
                <w:color w:val="auto"/>
                <w:w w:val="88"/>
              </w:rPr>
              <w:t>Werner Cautreels, Ph.D.</w:t>
            </w:r>
          </w:p>
        </w:tc>
        <w:tc>
          <w:tcPr>
            <w:tcW w:w="220" w:type="dxa"/>
            <w:vAlign w:val="bottom"/>
          </w:tcPr>
          <w:p>
            <w:pPr>
              <w:spacing w:after="0"/>
              <w:rPr>
                <w:sz w:val="15"/>
                <w:szCs w:val="15"/>
                <w:color w:val="auto"/>
              </w:rPr>
            </w:pPr>
          </w:p>
        </w:tc>
        <w:tc>
          <w:tcPr>
            <w:tcW w:w="536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Siewers</w:t>
            </w: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4" w:name="page5"/>
    <w:bookmarkEnd w:id="4"/>
    <w:p>
      <w:pPr>
        <w:ind w:left="1360"/>
        <w:spacing w:after="0"/>
        <w:rPr>
          <w:sz w:val="20"/>
          <w:szCs w:val="20"/>
          <w:color w:val="auto"/>
        </w:rPr>
      </w:pPr>
      <w:r>
        <w:rPr>
          <w:rFonts w:ascii="Arial" w:cs="Arial" w:eastAsia="Arial" w:hAnsi="Arial"/>
          <w:sz w:val="18"/>
          <w:szCs w:val="18"/>
          <w:color w:val="auto"/>
        </w:rPr>
        <w:t>David Siewers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Omid Farokhzad, M.D.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Carl Gordon, Ph.D.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Carl Gordon,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Peter Barton Hutt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Peter Barton Hutt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Edwin M. Kania, Jr.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Edwin M. Kania,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Amir Nashat, Sc.D.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Amir Nashat,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Aymeric Sallin</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Aymeric Sallin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Leysan Shaydullina, M.D.</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Leysan Shaydullina,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392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Timothy A. Springer, Ph.D.</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Timothy A. Springer,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926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5340" w:val="left"/>
        </w:tabs>
        <w:rPr>
          <w:sz w:val="20"/>
          <w:szCs w:val="20"/>
          <w:color w:val="auto"/>
        </w:rPr>
      </w:pPr>
      <w:r>
        <w:rPr>
          <w:rFonts w:ascii="Arial" w:cs="Arial" w:eastAsia="Arial" w:hAnsi="Arial"/>
          <w:sz w:val="18"/>
          <w:szCs w:val="18"/>
          <w:color w:val="auto"/>
        </w:rPr>
        <w:t>Chief Financial Officer (principal financial and accounting officer)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41"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24, 2016</w:t>
      </w:r>
    </w:p>
    <w:p>
      <w:pPr>
        <w:spacing w:after="0" w:line="26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420"/>
          </w:cols>
          <w:pgMar w:left="240" w:top="125"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6"/>
              </w:rPr>
              <w:t>Exhibit Number</w:t>
            </w:r>
          </w:p>
        </w:tc>
        <w:tc>
          <w:tcPr>
            <w:tcW w:w="340" w:type="dxa"/>
            <w:vAlign w:val="bottom"/>
          </w:tcPr>
          <w:p>
            <w:pPr>
              <w:spacing w:after="0"/>
              <w:rPr>
                <w:sz w:val="14"/>
                <w:szCs w:val="14"/>
                <w:color w:val="auto"/>
              </w:rPr>
            </w:pPr>
          </w:p>
        </w:tc>
        <w:tc>
          <w:tcPr>
            <w:tcW w:w="9700" w:type="dxa"/>
            <w:vAlign w:val="bottom"/>
          </w:tcPr>
          <w:p>
            <w:pPr>
              <w:ind w:left="4180"/>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6"/>
                <w:szCs w:val="16"/>
                <w:color w:val="auto"/>
              </w:rPr>
            </w:pPr>
          </w:p>
        </w:tc>
        <w:tc>
          <w:tcPr>
            <w:tcW w:w="9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Certificate of Incorporation of the Registrant, as amended (currently in effect) (incorporated by reference to Exhibit 3.1 to</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Amendment No. 1 to the Registrant’s Registration Statement on Form S-1 (Reg. No. 333-211555) filed on June 8, 2016).</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4.2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3"/>
              </w:rPr>
              <w:t>Bylaws of the Registrant (currently in effect) (incorporated by reference to Exhibit 3.2 to the Registrant’s Registration Statement on</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S-1 (Reg. No. 333-211555) filed on May 24, 2016).</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4.3+</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6"/>
              </w:rPr>
              <w:t>Form of Restated Certificate of Incorporation of the Registrant (to be effective upon the closing of the Registrant’s initial public</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offering of its Common Stock).</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4.4</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of Restated Bylaws (to be effective upon the closing of the Registrant’s initial public offering of its Common Stock)</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(incorporated by reference to Exhibit 3.4 to the Registrant’s Registration Statement on Form S-1 (Reg. No. 333-211555) filed on</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May 24, 2016).</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4.5</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4"/>
              </w:rPr>
              <w:t>Specimen Stock Certificate evidencing the shares of Common Stock (incorporated by reference to Exhibit 4.2 to the Registrant’s</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Registration Statement on Form S-1 (Reg. No. 333-211555) filed on May 24, 2016).</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5.1+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Opinion of Latham &amp; Watkins LLP.</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23.1+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23.2 +</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24.1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Power of Attorney (included on signature page).</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99.1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Selecta Biosciences, Inc. 2008 Stock Incentive Plan, as amended (incorporated by reference to Exhibit 10.1 to Amendment No. 2 to</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the Registrant’s Registration Statement on Form S-1 (Reg. No. 333-211555) filed on June 20, 2016).</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99.2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9"/>
              </w:rPr>
              <w:t>Selecta Biosciences, Inc. 2016 Incentive Award Plan (incorporated by reference to Exhibit 10.2 to Amendment No. 1 to the</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Registrant’s Registration Statement on Form S-1 (Reg. No. 333-211555) filed on June 8, 2016).</w:t>
            </w:r>
          </w:p>
        </w:tc>
      </w:tr>
      <w:tr>
        <w:trPr>
          <w:trHeight w:val="216"/>
        </w:trPr>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99.3</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1"/>
              </w:rPr>
              <w:t>Selecta Biosciences, Inc. 2016 Employee Stock Purchase Plan (incorporated by reference to Exhibit 10.3 to Amendment No. 1 to the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Registrant’s Registration Statement on Form S-1 (Reg. No. 333-211555) filed on June 8,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name of the corporation is Selecta Biosciences, Inc., and the corporation was originally incorporated by the filing of its original Certificate of Incorporation with the Secretary of State of the State of Delaware on December 10, 2007. This Restated Certificate of Incorporation of the corporation, which restates and integrates and also further amends the provisions of the corporation’s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The Certificate of Incorporation of the corporation is hereby amended, integrated and restated to read in its entirety as follows: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Selecta Biosciences, Inc.</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SECOND: The address of the Corporation’s registered office in the State of Delaware is 1209 Orange Street in the City of Wilmington, County of New Castle, Zip Code 19801. The name of its registered agent at that address is The Corporation Trust Company.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FOURTH: The total number of shares of all classes of stock which the Corporation shall have authority to issue is 210,000,000 shares, consisting of</w:t>
      </w:r>
    </w:p>
    <w:p>
      <w:pPr>
        <w:spacing w:after="0" w:line="46" w:lineRule="exact"/>
        <w:rPr>
          <w:sz w:val="20"/>
          <w:szCs w:val="20"/>
          <w:color w:val="auto"/>
        </w:rPr>
      </w:pPr>
    </w:p>
    <w:p>
      <w:pPr>
        <w:ind w:right="160" w:firstLine="8"/>
        <w:spacing w:after="0" w:line="261"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200,000,000 shares of Common Stock, $0.0001 par value per share (“Common Stock”), and (b) 10,000,000 shares of Preferred Stock, $0.0001 par value per share (“Preferred Stock”).</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308" w:lineRule="auto"/>
        <w:tabs>
          <w:tab w:leader="none" w:pos="87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46" w:lineRule="exact"/>
        <w:rPr>
          <w:rFonts w:ascii="Arial" w:cs="Arial" w:eastAsia="Arial" w:hAnsi="Arial"/>
          <w:sz w:val="17"/>
          <w:szCs w:val="17"/>
          <w:color w:val="auto"/>
        </w:rPr>
      </w:pPr>
    </w:p>
    <w:p>
      <w:pPr>
        <w:ind w:right="40" w:firstLine="656"/>
        <w:spacing w:after="0" w:line="264" w:lineRule="auto"/>
        <w:tabs>
          <w:tab w:leader="none" w:pos="87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Certificate of Incorporation (which,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181" w:lineRule="exact"/>
        <w:rPr>
          <w:sz w:val="20"/>
          <w:szCs w:val="20"/>
          <w:color w:val="auto"/>
        </w:rPr>
      </w:pPr>
    </w:p>
    <w:p>
      <w:pPr>
        <w:ind w:right="460" w:firstLine="656"/>
        <w:spacing w:after="0" w:line="277" w:lineRule="auto"/>
        <w:tabs>
          <w:tab w:leader="none" w:pos="8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may be declared and paid on the Common Stock if, as and when determined by the Board of Directors subject to any preferential dividend or other rights of any then outstanding Preferred Stock and to the requirements of applicable law.</w:t>
      </w:r>
    </w:p>
    <w:p>
      <w:pPr>
        <w:spacing w:after="0" w:line="170" w:lineRule="exact"/>
        <w:rPr>
          <w:rFonts w:ascii="Arial" w:cs="Arial" w:eastAsia="Arial" w:hAnsi="Arial"/>
          <w:sz w:val="18"/>
          <w:szCs w:val="18"/>
          <w:color w:val="auto"/>
        </w:rPr>
      </w:pPr>
    </w:p>
    <w:p>
      <w:pPr>
        <w:ind w:right="100" w:firstLine="656"/>
        <w:spacing w:after="0" w:line="264" w:lineRule="auto"/>
        <w:tabs>
          <w:tab w:leader="none" w:pos="8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8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w:t>
      </w:r>
    </w:p>
    <w:p>
      <w:pPr>
        <w:spacing w:after="0" w:line="14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General Corporation Law of the State of Delaware.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ectPr>
          <w:pgSz w:w="11900" w:h="16838" w:orient="portrait"/>
          <w:cols w:equalWidth="0" w:num="1">
            <w:col w:w="11420"/>
          </w:cols>
          <w:pgMar w:left="240" w:top="121"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6" w:name="page7"/>
    <w:bookmarkEnd w:id="6"/>
    <w:p>
      <w:pPr>
        <w:ind w:right="220" w:firstLine="648"/>
        <w:spacing w:after="0" w:line="302" w:lineRule="auto"/>
        <w:rPr>
          <w:sz w:val="20"/>
          <w:szCs w:val="20"/>
          <w:color w:val="auto"/>
        </w:rPr>
      </w:pPr>
      <w:r>
        <w:rPr>
          <w:rFonts w:ascii="Arial" w:cs="Arial" w:eastAsia="Arial" w:hAnsi="Arial"/>
          <w:sz w:val="16"/>
          <w:szCs w:val="16"/>
          <w:color w:val="auto"/>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15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directors or any other persons herein are granted subject to this reservation.</w:t>
      </w:r>
    </w:p>
    <w:p>
      <w:pPr>
        <w:spacing w:after="0" w:line="18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two-thirds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EIGHTH: This Article EIGHTH is inserted for the management of the business and for the conduct of the affairs of the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225" w:lineRule="exact"/>
        <w:rPr>
          <w:rFonts w:ascii="Arial" w:cs="Arial" w:eastAsia="Arial" w:hAnsi="Arial"/>
          <w:sz w:val="18"/>
          <w:szCs w:val="18"/>
          <w:color w:val="auto"/>
        </w:rPr>
      </w:pPr>
    </w:p>
    <w:p>
      <w:pPr>
        <w:ind w:right="300" w:firstLine="656"/>
        <w:spacing w:after="0" w:line="264" w:lineRule="auto"/>
        <w:tabs>
          <w:tab w:leader="none" w:pos="87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 of Directors</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81" w:lineRule="exact"/>
        <w:rPr>
          <w:rFonts w:ascii="Arial" w:cs="Arial" w:eastAsia="Arial" w:hAnsi="Arial"/>
          <w:sz w:val="18"/>
          <w:szCs w:val="18"/>
          <w:color w:val="auto"/>
        </w:rPr>
      </w:pPr>
    </w:p>
    <w:p>
      <w:pPr>
        <w:ind w:right="80" w:firstLine="656"/>
        <w:spacing w:after="0" w:line="259" w:lineRule="auto"/>
        <w:tabs>
          <w:tab w:leader="none" w:pos="87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designated as Class I, Class II and Class III. Each class shall consist, as nearly as may be possible, of one-third of the total number of directors constituting the entire Board of Directors. The Board of Directors is authorized to assign members of the Board of Directors to Class I, Class II or Class III.</w:t>
      </w:r>
    </w:p>
    <w:p>
      <w:pPr>
        <w:spacing w:after="0" w:line="186" w:lineRule="exact"/>
        <w:rPr>
          <w:rFonts w:ascii="Arial" w:cs="Arial" w:eastAsia="Arial" w:hAnsi="Arial"/>
          <w:sz w:val="18"/>
          <w:szCs w:val="18"/>
          <w:color w:val="auto"/>
        </w:rPr>
      </w:pPr>
    </w:p>
    <w:p>
      <w:pPr>
        <w:ind w:right="60" w:firstLine="656"/>
        <w:spacing w:after="0" w:line="291" w:lineRule="auto"/>
        <w:tabs>
          <w:tab w:leader="none" w:pos="87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Terms of Office</w:t>
      </w:r>
      <w:r>
        <w:rPr>
          <w:rFonts w:ascii="Arial" w:cs="Arial" w:eastAsia="Arial" w:hAnsi="Arial"/>
          <w:sz w:val="16"/>
          <w:szCs w:val="16"/>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term of each director shall continue until the election and qualification of his or her successor and be subject to his or her earlier death, resignation or removal.</w:t>
      </w:r>
    </w:p>
    <w:p>
      <w:pPr>
        <w:spacing w:after="0" w:line="167" w:lineRule="exact"/>
        <w:rPr>
          <w:rFonts w:ascii="Arial" w:cs="Arial" w:eastAsia="Arial" w:hAnsi="Arial"/>
          <w:sz w:val="16"/>
          <w:szCs w:val="16"/>
          <w:color w:val="auto"/>
        </w:rPr>
      </w:pPr>
    </w:p>
    <w:p>
      <w:pPr>
        <w:ind w:left="880" w:hanging="224"/>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Quorum</w:t>
      </w:r>
      <w:r>
        <w:rPr>
          <w:rFonts w:ascii="Arial" w:cs="Arial" w:eastAsia="Arial" w:hAnsi="Arial"/>
          <w:sz w:val="17"/>
          <w:szCs w:val="17"/>
          <w:color w:val="auto"/>
        </w:rPr>
        <w:t>. The greater of (a) a majority of the directors at any time in office and (b) one-third of the number of directors fixed pursuant to</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2 of this Article EIGHTH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90" w:lineRule="exact"/>
        <w:rPr>
          <w:sz w:val="20"/>
          <w:szCs w:val="20"/>
          <w:color w:val="auto"/>
        </w:rPr>
      </w:pPr>
    </w:p>
    <w:p>
      <w:pPr>
        <w:ind w:right="80" w:firstLine="656"/>
        <w:spacing w:after="0" w:line="308" w:lineRule="auto"/>
        <w:tabs>
          <w:tab w:leader="none" w:pos="87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46" w:lineRule="exact"/>
        <w:rPr>
          <w:rFonts w:ascii="Arial" w:cs="Arial" w:eastAsia="Arial" w:hAnsi="Arial"/>
          <w:sz w:val="17"/>
          <w:szCs w:val="17"/>
          <w:color w:val="auto"/>
        </w:rPr>
      </w:pPr>
    </w:p>
    <w:p>
      <w:pPr>
        <w:ind w:right="180" w:firstLine="656"/>
        <w:spacing w:after="0" w:line="264" w:lineRule="auto"/>
        <w:tabs>
          <w:tab w:leader="none" w:pos="87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but only for cause and only by the affirmative vote of the holders of at least two-thirds in voting power of the outstanding shares of capital stock of the Corporation entitled to vote at an election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97" w:lineRule="auto"/>
        <w:tabs>
          <w:tab w:leader="none" w:pos="87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unless the Board of Directors determines by resolution that any such vacancy or newly created directorship shall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ectPr>
          <w:pgSz w:w="11900" w:h="16838" w:orient="portrait"/>
          <w:cols w:equalWidth="0" w:num="1">
            <w:col w:w="11420"/>
          </w:cols>
          <w:pgMar w:left="240" w:top="584" w:right="239" w:bottom="0" w:gutter="0" w:footer="0" w:header="0"/>
        </w:sectPr>
      </w:pPr>
    </w:p>
    <w:bookmarkStart w:id="7" w:name="page8"/>
    <w:bookmarkEnd w:id="7"/>
    <w:p>
      <w:pPr>
        <w:ind w:right="560" w:firstLine="656"/>
        <w:spacing w:after="0" w:line="342" w:lineRule="auto"/>
        <w:tabs>
          <w:tab w:leader="none" w:pos="87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Stockholder Nominations and Introduction of Business, Etc</w:t>
      </w:r>
      <w:r>
        <w:rPr>
          <w:rFonts w:ascii="Arial" w:cs="Arial" w:eastAsia="Arial" w:hAnsi="Arial"/>
          <w:sz w:val="16"/>
          <w:szCs w:val="16"/>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23" w:lineRule="exact"/>
        <w:rPr>
          <w:rFonts w:ascii="Arial" w:cs="Arial" w:eastAsia="Arial" w:hAnsi="Arial"/>
          <w:sz w:val="16"/>
          <w:szCs w:val="16"/>
          <w:color w:val="auto"/>
        </w:rPr>
      </w:pPr>
    </w:p>
    <w:p>
      <w:pPr>
        <w:ind w:right="40" w:firstLine="656"/>
        <w:spacing w:after="0" w:line="259" w:lineRule="auto"/>
        <w:tabs>
          <w:tab w:leader="none" w:pos="96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EIGHTH.</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NINTH: No action that is required or permitted to be taken by the stockholders of the Corporation at any annual or special meeting of stockholders may be effected by written consent of stockholders in lieu of a meeting.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NINTH.</w:t>
      </w:r>
    </w:p>
    <w:p>
      <w:pPr>
        <w:spacing w:after="0" w:line="18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TENTH: Special meetings of stockholders for any purpose or purposes may be called at any time only by the 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the purpose or purposes stated in the notice of meeting.</w:t>
      </w:r>
    </w:p>
    <w:p>
      <w:pPr>
        <w:ind w:right="200"/>
        <w:spacing w:after="0" w:line="277" w:lineRule="auto"/>
        <w:rPr>
          <w:sz w:val="20"/>
          <w:szCs w:val="20"/>
          <w:color w:val="auto"/>
        </w:rPr>
      </w:pPr>
      <w:r>
        <w:rPr>
          <w:rFonts w:ascii="Arial" w:cs="Arial" w:eastAsia="Arial" w:hAnsi="Arial"/>
          <w:sz w:val="17"/>
          <w:szCs w:val="17"/>
          <w:color w:val="auto"/>
        </w:rPr>
        <w:t>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TENTH.</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owed by any director, officer, employee or stockholder of the Corporation to the Corporation or the Corporation’s stockholders, (c) any action asserting a claim arising pursuant to any provision of the General Corporation Law of the State of Delaware or as to which the General Corporation Law of the State of Delaware confers jurisdiction on the Court of Chancery of the State of Delaware or (d)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 To the fullest extent permitted by applicable law, any person or entity purchasing or otherwise acquiring or holding any interest in shares of capital stock of the Corporation shall be deemed to have notice of and consented to the provisions of this</w:t>
      </w:r>
    </w:p>
    <w:p>
      <w:pPr>
        <w:spacing w:after="0" w:line="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Article ELEVENTH.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w:t>
      </w:r>
    </w:p>
    <w:p>
      <w:pPr>
        <w:spacing w:after="0" w:line="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WITNESS WHEREOF, this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w:t>
      </w:r>
      <w:r>
        <w:rPr>
          <w:rFonts w:ascii="Arial" w:cs="Arial" w:eastAsia="Arial" w:hAnsi="Arial"/>
          <w:sz w:val="18"/>
          <w:szCs w:val="18"/>
          <w:b w:val="1"/>
          <w:bCs w:val="1"/>
          <w:color w:val="auto"/>
        </w:rPr>
        <w:t>·</w:t>
      </w:r>
      <w:r>
        <w:rPr>
          <w:rFonts w:ascii="Arial" w:cs="Arial" w:eastAsia="Arial" w:hAnsi="Arial"/>
          <w:sz w:val="18"/>
          <w:szCs w:val="18"/>
          <w:color w:val="auto"/>
        </w:rPr>
        <w:t>] day of [</w:t>
      </w:r>
      <w:r>
        <w:rPr>
          <w:rFonts w:ascii="Arial" w:cs="Arial" w:eastAsia="Arial" w:hAnsi="Arial"/>
          <w:sz w:val="18"/>
          <w:szCs w:val="18"/>
          <w:b w:val="1"/>
          <w:bCs w:val="1"/>
          <w:color w:val="auto"/>
        </w:rPr>
        <w:t>·</w:t>
      </w:r>
      <w:r>
        <w:rPr>
          <w:rFonts w:ascii="Arial" w:cs="Arial" w:eastAsia="Arial" w:hAnsi="Arial"/>
          <w:sz w:val="18"/>
          <w:szCs w:val="18"/>
          <w:color w:val="auto"/>
        </w:rPr>
        <w:t>], 2016.</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Werner Cautreels, Ph.D.</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62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1186815</wp:posOffset>
            </wp:positionV>
            <wp:extent cx="256413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5641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June 24,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11" w:lineRule="exact"/>
        <w:rPr>
          <w:sz w:val="20"/>
          <w:szCs w:val="20"/>
          <w:color w:val="auto"/>
        </w:rPr>
      </w:pPr>
    </w:p>
    <w:p>
      <w:pPr>
        <w:ind w:left="720" w:right="640" w:hanging="359"/>
        <w:spacing w:after="0" w:line="342" w:lineRule="auto"/>
        <w:rPr>
          <w:sz w:val="20"/>
          <w:szCs w:val="20"/>
          <w:color w:val="auto"/>
        </w:rPr>
      </w:pPr>
      <w:r>
        <w:rPr>
          <w:rFonts w:ascii="Arial" w:cs="Arial" w:eastAsia="Arial" w:hAnsi="Arial"/>
          <w:sz w:val="16"/>
          <w:szCs w:val="16"/>
          <w:color w:val="auto"/>
        </w:rPr>
        <w:t>Re: Registration Statement on Form S-8; 6,706,074 shares of Selecta Biosciences, Inc. Common Stock, $0.0001 par value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Hancock Tower, 27th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right="1460"/>
        <w:spacing w:after="0" w:line="261" w:lineRule="auto"/>
        <w:rPr>
          <w:sz w:val="20"/>
          <w:szCs w:val="20"/>
          <w:color w:val="auto"/>
        </w:rPr>
      </w:pPr>
      <w:r>
        <w:rPr>
          <w:rFonts w:ascii="Arial" w:cs="Arial" w:eastAsia="Arial" w:hAnsi="Arial"/>
          <w:sz w:val="18"/>
          <w:szCs w:val="18"/>
          <w:color w:val="auto"/>
        </w:rPr>
        <w:t>Tel: +1.617.948.6000 Fax: +1.617.948.6001 www.lw.com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22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Barcelona</w:t>
      </w:r>
      <w:r>
        <w:rPr>
          <w:sz w:val="20"/>
          <w:szCs w:val="20"/>
          <w:color w:val="auto"/>
        </w:rPr>
        <w:tab/>
      </w:r>
      <w:r>
        <w:rPr>
          <w:rFonts w:ascii="Arial" w:cs="Arial" w:eastAsia="Arial" w:hAnsi="Arial"/>
          <w:sz w:val="18"/>
          <w:szCs w:val="18"/>
          <w:color w:val="auto"/>
        </w:rPr>
        <w:t>Moscow</w:t>
      </w:r>
    </w:p>
    <w:p>
      <w:pPr>
        <w:spacing w:after="0" w:line="23"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New Jersey</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Rome</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631" w:lineRule="exact"/>
        <w:rPr>
          <w:sz w:val="20"/>
          <w:szCs w:val="20"/>
          <w:color w:val="auto"/>
        </w:rPr>
      </w:pPr>
    </w:p>
    <w:p>
      <w:pPr>
        <w:sectPr>
          <w:pgSz w:w="11900" w:h="16838" w:orient="portrait"/>
          <w:cols w:equalWidth="0" w:num="2">
            <w:col w:w="6060" w:space="720"/>
            <w:col w:w="4640"/>
          </w:cols>
          <w:pgMar w:left="240" w:top="121"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special counsel to Selecta Biosciences,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of up to 6,706,074 shares of common stock of the Company, $0.0001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issuable under the Selecta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Biosciences, Inc. 2008 Stock Incentive Plan, as amended (the “</w:t>
      </w:r>
      <w:r>
        <w:rPr>
          <w:rFonts w:ascii="Arial" w:cs="Arial" w:eastAsia="Arial" w:hAnsi="Arial"/>
          <w:sz w:val="16"/>
          <w:szCs w:val="16"/>
          <w:b w:val="1"/>
          <w:bCs w:val="1"/>
          <w:i w:val="1"/>
          <w:iCs w:val="1"/>
          <w:color w:val="auto"/>
        </w:rPr>
        <w:t>2008 Plan</w:t>
      </w:r>
      <w:r>
        <w:rPr>
          <w:rFonts w:ascii="Arial" w:cs="Arial" w:eastAsia="Arial" w:hAnsi="Arial"/>
          <w:sz w:val="16"/>
          <w:szCs w:val="16"/>
          <w:color w:val="auto"/>
        </w:rPr>
        <w:t>”), the Selecta Biosciences, Inc. 2016 Incentive Award Plan (the “</w:t>
      </w:r>
      <w:r>
        <w:rPr>
          <w:rFonts w:ascii="Arial" w:cs="Arial" w:eastAsia="Arial" w:hAnsi="Arial"/>
          <w:sz w:val="16"/>
          <w:szCs w:val="16"/>
          <w:b w:val="1"/>
          <w:bCs w:val="1"/>
          <w:i w:val="1"/>
          <w:iCs w:val="1"/>
          <w:color w:val="auto"/>
        </w:rPr>
        <w:t>2016 Plan</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Selecta Biosciences, Inc. 2016 Employee Stock Purchase Plan (the “</w:t>
      </w:r>
      <w:r>
        <w:rPr>
          <w:rFonts w:ascii="Arial" w:cs="Arial" w:eastAsia="Arial" w:hAnsi="Arial"/>
          <w:sz w:val="16"/>
          <w:szCs w:val="16"/>
          <w:b w:val="1"/>
          <w:bCs w:val="1"/>
          <w:i w:val="1"/>
          <w:iCs w:val="1"/>
          <w:color w:val="auto"/>
        </w:rPr>
        <w:t>2016 ESPP</w:t>
      </w:r>
      <w:r>
        <w:rPr>
          <w:rFonts w:ascii="Arial" w:cs="Arial" w:eastAsia="Arial" w:hAnsi="Arial"/>
          <w:sz w:val="16"/>
          <w:szCs w:val="16"/>
          <w:color w:val="auto"/>
        </w:rPr>
        <w:t>” and, together with the 2008 Plan, and the 2016 Plan,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are included in a registration statement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June 24, 2016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 601(b)(5) of Regulation S-K under the Act, and no opinion is expressed herein as to any matter pertaining to the contents of the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related prospectus, other than as expressly stated herein with respect to the issue of the Shares.</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 accordance with the requirements of law and the Plans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Form S-8 pertaining to the 2008 Stock Incentive Plan, as amended, the 2016 Incentive Award Plan and the 2016 Employee Stock Purchase Plan of Selecta Biosciences, Inc. of our report dated March 30, 2016 (except for Note 17(b) as to which the date is June 8, 2016), with respect to the consolidated financial statements of Selecta Biosciences, Inc. included in its Registration Statement (Form S-1 No. 333-211555) and related Prospectus,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4DB127F8"/>
    <w:multiLevelType w:val="hybridMultilevel"/>
    <w:lvl w:ilvl="0">
      <w:lvlJc w:val="left"/>
      <w:lvlText w:val="(%1)"/>
      <w:numFmt w:val="lowerRoman"/>
      <w:start w:val="2"/>
    </w:lvl>
  </w:abstractNum>
  <w:abstractNum w:abstractNumId="4">
    <w:nsid w:val="216231B"/>
    <w:multiLevelType w:val="hybridMultilevel"/>
    <w:lvl w:ilvl="0">
      <w:lvlJc w:val="left"/>
      <w:lvlText w:val="%1"/>
      <w:numFmt w:val="lowerLetter"/>
      <w:start w:val="1"/>
    </w:lvl>
    <w:lvl w:ilvl="1">
      <w:lvlJc w:val="left"/>
      <w:lvlText w:val="(%2)"/>
      <w:numFmt w:val="decimal"/>
      <w:start w:val="2"/>
    </w:lvl>
  </w:abstractNum>
  <w:abstractNum w:abstractNumId="5">
    <w:nsid w:val="1F16E9E8"/>
    <w:multiLevelType w:val="hybridMultilevel"/>
    <w:lvl w:ilvl="0">
      <w:lvlJc w:val="left"/>
      <w:lvlText w:val="(%1)"/>
      <w:numFmt w:val="lowerLetter"/>
      <w:start w:val="2"/>
    </w:lvl>
    <w:lvl w:ilvl="1">
      <w:lvlJc w:val="left"/>
      <w:lvlText w:val="%2"/>
      <w:numFmt w:val="decimal"/>
      <w:start w:val="1"/>
    </w:lvl>
  </w:abstractNum>
  <w:abstractNum w:abstractNumId="6">
    <w:nsid w:val="1190CDE7"/>
    <w:multiLevelType w:val="hybridMultilevel"/>
    <w:lvl w:ilvl="0">
      <w:lvlJc w:val="left"/>
      <w:lvlText w:val="(%1)"/>
      <w:numFmt w:val="lowerLetter"/>
      <w:start w:val="8"/>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upperLetter"/>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upperLetter"/>
      <w:start w:val="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6"/>
    </w:lvl>
  </w:abstractNum>
  <w:abstractNum w:abstractNumId="14">
    <w:nsid w:val="41A7C4C9"/>
    <w:multiLevelType w:val="hybridMultilevel"/>
    <w:lvl w:ilvl="0">
      <w:lvlJc w:val="left"/>
      <w:lvlText w:val="%1."/>
      <w:numFmt w:val="decimal"/>
      <w:start w:val="8"/>
    </w:lvl>
  </w:abstractNum>
  <w:abstractNum w:abstractNumId="15">
    <w:nsid w:val="6B68079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2019-12-08T18:29:39Z</dcterms:created>
  <dcterms:modified xsi:type="dcterms:W3CDTF">2019-12-08T18:29:39Z</dcterms:modified>
</cp:coreProperties>
</file>