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#816212302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#816212302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697,487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697,888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697,888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3.925%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#816212302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697,888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697,888</w:t>
      </w:r>
    </w:p>
    <w:p>
      <w:pPr>
        <w:spacing w:after="0"/>
        <w:rPr>
          <w:sz w:val="20"/>
          <w:szCs w:val="20"/>
          <w:color w:val="auto"/>
        </w:rPr>
      </w:pPr>
      <w:r>
        <w:rPr>
          <w:rFonts w:ascii="Courier New" w:cs="Courier New" w:eastAsia="Courier New" w:hAnsi="Courier New"/>
          <w:sz w:val="18"/>
          <w:szCs w:val="18"/>
          <w:color w:val="auto"/>
        </w:rPr>
        <w:t>Item 11: 3.925%</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816212302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697,888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3.925%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697,888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2024, agree and consent to the joint filing on their behalf of this Schedule 13G in connection with their beneficial ownership of the COMMON STOCK of CARTESIAN THERAPEUTICS INC at April 30,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2024-05-10T09:06:48Z</dcterms:created>
  <dcterms:modified xsi:type="dcterms:W3CDTF">2024-05-10T09:06:48Z</dcterms:modified>
</cp:coreProperties>
</file>