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SPRINGER TIMOTHY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4"/>
                <w:szCs w:val="14"/>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HARVARD MEDICAL SCHOOL, CTR</w:t>
            </w:r>
          </w:p>
        </w:tc>
        <w:tc>
          <w:tcPr>
            <w:tcW w:w="1380" w:type="dxa"/>
            <w:vAlign w:val="bottom"/>
            <w:gridSpan w:val="5"/>
          </w:tcPr>
          <w:p>
            <w:pPr>
              <w:ind w:left="160"/>
              <w:spacing w:after="0"/>
              <w:rPr>
                <w:sz w:val="20"/>
                <w:szCs w:val="20"/>
                <w:color w:val="auto"/>
              </w:rPr>
            </w:pPr>
            <w:r>
              <w:rPr>
                <w:rFonts w:ascii="Arial" w:cs="Arial" w:eastAsia="Arial" w:hAnsi="Arial"/>
                <w:sz w:val="18"/>
                <w:szCs w:val="18"/>
                <w:color w:val="0000FF"/>
              </w:rPr>
              <w:t>05/17/2017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200 LONGWOOD AVE.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0"/>
            <w:vMerge w:val="continue"/>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0" w:type="dxa"/>
            <w:vAlign w:val="bottom"/>
            <w:gridSpan w:val="8"/>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7"/>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ind w:left="340"/>
              <w:spacing w:after="0" w:line="136"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21"/>
          </w:tcPr>
          <w:p>
            <w:pPr>
              <w:jc w:val="center"/>
              <w:ind w:left="2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4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w w:val="86"/>
              </w:rPr>
              <w:t>05/17/2017</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right"/>
              <w:ind w:right="50"/>
              <w:spacing w:after="0"/>
              <w:rPr>
                <w:sz w:val="20"/>
                <w:szCs w:val="20"/>
                <w:color w:val="auto"/>
              </w:rPr>
            </w:pPr>
            <w:r>
              <w:rPr>
                <w:rFonts w:ascii="Arial" w:cs="Arial" w:eastAsia="Arial" w:hAnsi="Arial"/>
                <w:sz w:val="18"/>
                <w:szCs w:val="18"/>
                <w:color w:val="0000FF"/>
              </w:rPr>
              <w:t>11,244</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14.006</w:t>
            </w:r>
            <w:r>
              <w:rPr>
                <w:rFonts w:ascii="Arial" w:cs="Arial" w:eastAsia="Arial" w:hAnsi="Arial"/>
                <w:sz w:val="22"/>
                <w:szCs w:val="22"/>
                <w:color w:val="008000"/>
                <w:w w:val="84"/>
                <w:vertAlign w:val="superscript"/>
              </w:rPr>
              <w:t>(1)</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11,244</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09"/>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3"/>
          </w:tcPr>
          <w:p>
            <w:pPr>
              <w:ind w:left="540"/>
              <w:spacing w:after="0"/>
              <w:rPr>
                <w:sz w:val="20"/>
                <w:szCs w:val="20"/>
                <w:color w:val="auto"/>
              </w:rPr>
            </w:pPr>
            <w:r>
              <w:rPr>
                <w:rFonts w:ascii="Arial" w:cs="Arial" w:eastAsia="Arial" w:hAnsi="Arial"/>
                <w:sz w:val="18"/>
                <w:szCs w:val="18"/>
                <w:color w:val="0000FF"/>
                <w:w w:val="86"/>
              </w:rPr>
              <w:t>05/18/2017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90"/>
              <w:spacing w:after="0"/>
              <w:rPr>
                <w:sz w:val="20"/>
                <w:szCs w:val="20"/>
                <w:color w:val="auto"/>
              </w:rPr>
            </w:pPr>
            <w:r>
              <w:rPr>
                <w:rFonts w:ascii="Arial" w:cs="Arial" w:eastAsia="Arial" w:hAnsi="Arial"/>
                <w:sz w:val="18"/>
                <w:szCs w:val="18"/>
                <w:color w:val="0000FF"/>
              </w:rPr>
              <w:t>4,860</w:t>
            </w:r>
          </w:p>
        </w:tc>
        <w:tc>
          <w:tcPr>
            <w:tcW w:w="120" w:type="dxa"/>
            <w:vAlign w:val="bottom"/>
          </w:tcPr>
          <w:p>
            <w:pPr>
              <w:spacing w:after="0"/>
              <w:rPr>
                <w:sz w:val="23"/>
                <w:szCs w:val="23"/>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0000FF"/>
              </w:rPr>
              <w:t>A</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7"/>
              </w:rPr>
              <w:t>16,104</w:t>
            </w:r>
          </w:p>
        </w:tc>
        <w:tc>
          <w:tcPr>
            <w:tcW w:w="320" w:type="dxa"/>
            <w:vAlign w:val="bottom"/>
          </w:tcPr>
          <w:p>
            <w:pPr>
              <w:spacing w:after="0"/>
              <w:rPr>
                <w:sz w:val="23"/>
                <w:szCs w:val="23"/>
                <w:color w:val="auto"/>
              </w:rPr>
            </w:pPr>
          </w:p>
        </w:tc>
        <w:tc>
          <w:tcPr>
            <w:tcW w:w="560" w:type="dxa"/>
            <w:vAlign w:val="bottom"/>
          </w:tcPr>
          <w:p>
            <w:pPr>
              <w:jc w:val="center"/>
              <w:ind w:right="309"/>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1,237,028</w:t>
            </w:r>
          </w:p>
        </w:tc>
        <w:tc>
          <w:tcPr>
            <w:tcW w:w="320" w:type="dxa"/>
            <w:vAlign w:val="bottom"/>
          </w:tcPr>
          <w:p>
            <w:pPr>
              <w:spacing w:after="0"/>
              <w:rPr>
                <w:sz w:val="22"/>
                <w:szCs w:val="22"/>
                <w:color w:val="auto"/>
              </w:rPr>
            </w:pPr>
          </w:p>
        </w:tc>
        <w:tc>
          <w:tcPr>
            <w:tcW w:w="560" w:type="dxa"/>
            <w:vAlign w:val="bottom"/>
            <w:vMerge w:val="restart"/>
          </w:tcPr>
          <w:p>
            <w:pPr>
              <w:jc w:val="center"/>
              <w:ind w:right="309"/>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(2)(3)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445,576</w:t>
            </w:r>
          </w:p>
        </w:tc>
        <w:tc>
          <w:tcPr>
            <w:tcW w:w="320" w:type="dxa"/>
            <w:vAlign w:val="bottom"/>
          </w:tcPr>
          <w:p>
            <w:pPr>
              <w:spacing w:after="0"/>
              <w:rPr>
                <w:sz w:val="22"/>
                <w:szCs w:val="22"/>
                <w:color w:val="auto"/>
              </w:rPr>
            </w:pPr>
          </w:p>
        </w:tc>
        <w:tc>
          <w:tcPr>
            <w:tcW w:w="560" w:type="dxa"/>
            <w:vAlign w:val="bottom"/>
            <w:vMerge w:val="restart"/>
          </w:tcPr>
          <w:p>
            <w:pPr>
              <w:jc w:val="center"/>
              <w:ind w:right="309"/>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60" w:type="dxa"/>
            <w:vAlign w:val="bottom"/>
            <w:gridSpan w:val="16"/>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$13.64 to $14.20, inclusive. The Reporting Person undertakes to provide to the Issuer, any security holder,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LKST, Inc. is the general partner of Leukon Investments LP. Timothy Springer is the president of LKST, Inc. and the managing member of TAS Partners, LLC. The Reporting Person disclaims beneficial ownership of the securities held by Leukon Investments LP and TAS Partners, LLC except to the extent of his pecuniary interest therein, if any.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Leukon Investments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TAS Partners, LLC.</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David Abraham,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05/19/2017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7"/>
              </w:rPr>
              <w:t>in-Fact for Timothy Springer</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 Signature of Reporting Person</w:t>
            </w:r>
          </w:p>
        </w:tc>
        <w:tc>
          <w:tcPr>
            <w:tcW w:w="160" w:type="dxa"/>
            <w:vAlign w:val="bottom"/>
            <w:gridSpan w:val="2"/>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12" w:lineRule="exact"/>
        <w:rPr>
          <w:sz w:val="20"/>
          <w:szCs w:val="20"/>
          <w:color w:val="auto"/>
        </w:rPr>
      </w:pPr>
    </w:p>
    <w:p>
      <w:pPr>
        <w:jc w:val="both"/>
        <w:ind w:firstLine="8"/>
        <w:spacing w:after="0" w:line="287" w:lineRule="auto"/>
        <w:tabs>
          <w:tab w:leader="none" w:pos="246" w:val="left"/>
        </w:tabs>
        <w:numPr>
          <w:ilvl w:val="0"/>
          <w:numId w:val="3"/>
        </w:numPr>
        <w:rPr>
          <w:rFonts w:ascii="Arial" w:cs="Arial" w:eastAsia="Arial" w:hAnsi="Arial"/>
          <w:sz w:val="19"/>
          <w:szCs w:val="19"/>
          <w:color w:val="auto"/>
        </w:rPr>
      </w:pPr>
      <w:r>
        <w:rPr>
          <w:rFonts w:ascii="Arial" w:cs="Arial" w:eastAsia="Arial" w:hAnsi="Arial"/>
          <w:sz w:val="19"/>
          <w:szCs w:val="19"/>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70" w:lineRule="exact"/>
        <w:rPr>
          <w:rFonts w:ascii="Arial" w:cs="Arial" w:eastAsia="Arial" w:hAnsi="Arial"/>
          <w:sz w:val="19"/>
          <w:szCs w:val="19"/>
          <w:color w:val="auto"/>
        </w:rPr>
      </w:pPr>
    </w:p>
    <w:p>
      <w:pPr>
        <w:ind w:firstLine="8"/>
        <w:spacing w:after="0" w:line="251" w:lineRule="auto"/>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 of the Securities Exchange Act of 1934, as amended, and the rules thereunder;</w:t>
      </w:r>
    </w:p>
    <w:p>
      <w:pPr>
        <w:spacing w:after="0" w:line="200" w:lineRule="exact"/>
        <w:rPr>
          <w:rFonts w:ascii="Arial" w:cs="Arial" w:eastAsia="Arial" w:hAnsi="Arial"/>
          <w:sz w:val="22"/>
          <w:szCs w:val="22"/>
          <w:color w:val="auto"/>
        </w:rPr>
      </w:pPr>
    </w:p>
    <w:p>
      <w:pPr>
        <w:jc w:val="both"/>
        <w:ind w:firstLine="8"/>
        <w:spacing w:after="0"/>
        <w:tabs>
          <w:tab w:leader="none" w:pos="243" w:val="left"/>
        </w:tabs>
        <w:numPr>
          <w:ilvl w:val="0"/>
          <w:numId w:val="3"/>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13" w:lineRule="exact"/>
        <w:rPr>
          <w:rFonts w:ascii="Arial" w:cs="Arial" w:eastAsia="Arial" w:hAnsi="Arial"/>
          <w:sz w:val="22"/>
          <w:szCs w:val="22"/>
          <w:color w:val="auto"/>
        </w:rPr>
      </w:pPr>
    </w:p>
    <w:p>
      <w:pPr>
        <w:jc w:val="both"/>
        <w:ind w:firstLine="8"/>
        <w:spacing w:after="0" w:line="287" w:lineRule="auto"/>
        <w:tabs>
          <w:tab w:leader="none" w:pos="237"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6th day of June, 2016.</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 Timothy Springer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Timothy Springer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Schedule 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Individuals Appointed as Attorney-in-Fact with Full Power of Substitution and Resubstitution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David Abraham</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2019-12-23T21:54:54Z</dcterms:created>
  <dcterms:modified xsi:type="dcterms:W3CDTF">2019-12-23T21:54:54Z</dcterms:modified>
</cp:coreProperties>
</file>