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2025</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4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20" w:type="dxa"/>
            <w:vAlign w:val="bottom"/>
          </w:tcPr>
          <w:p>
            <w:pPr>
              <w:spacing w:after="0"/>
              <w:rPr>
                <w:sz w:val="20"/>
                <w:szCs w:val="20"/>
                <w:color w:val="auto"/>
              </w:rPr>
            </w:pPr>
          </w:p>
        </w:tc>
      </w:tr>
      <w:tr>
        <w:trPr>
          <w:trHeight w:val="394"/>
        </w:trPr>
        <w:tc>
          <w:tcPr>
            <w:tcW w:w="23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216"/>
        </w:trPr>
        <w:tc>
          <w:tcPr>
            <w:tcW w:w="23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360" w:type="dxa"/>
            <w:vAlign w:val="bottom"/>
          </w:tcPr>
          <w:p>
            <w:pPr>
              <w:spacing w:after="0"/>
              <w:rPr>
                <w:sz w:val="24"/>
                <w:szCs w:val="24"/>
                <w:color w:val="auto"/>
              </w:rPr>
            </w:pPr>
          </w:p>
        </w:tc>
        <w:tc>
          <w:tcPr>
            <w:tcW w:w="4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4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her recent appointment as Executive Chair of another publicly-traded company and the additional responsibilities and time commitment related thereto, on October 29, 2025, Carrie S. Cox, a member of the Board of Directors (the “Board”) of Cartesian Therapeutics, Inc. (the “Company”), notified the Company of her resignation from the Board, effective immediately. Prior to her resignation, Ms. Cox served as Chairman of the Board, as Chairman of the Board’s Compensation Committee and as a member of the Board’s Audit Committee. In connection with her resignation from the Board, Ms. Cox will cease service as Chairman of the Board and on such committees. Ms. Cox’s resignation was not the result of a disagreement with the Company on any matter relating to the Company’s operations, policies or practices.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Ms. Cox has served as Chairman of the Board since 2019, providing exemplary service and many important contributions during her tenure. The Company thanks Ms. Cox for her advice and leadership as Chairman of the Board and wishes Ms. Cox well as she focuses on her other commitments.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Ms. Cox’s resignation from the Board, on October 29, 2025, the Board appointed Carsten Brunn, Ph.D., as Chairman of the Board, appointed Patrick Zenner, M.B.A., as Lead Independent Director of the Board, and appointed Kemal Malik, M.B.B.S., as Chairman of the Board’s Compensation Committee. Dr. Brunn will not receive any additional compensation for service in his role as Chairman of the Board. Mr. Zenner will be provided compensation for his service as Lead Independent Director of the Board and Dr. Malik will be provided compensation for his service as Chairman of the Board’s Compensation Committee in accordance with the Company’s Non-Employee Director Compensation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29, 2025, the Board approved an amendment and restatement of the Company’s Amended and Restated Bylaws, which became effective the same day. The Amended and Restated Bylaws now include appropriate references to the position of Lead Independent Director of the Board.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preceding summary of the Amended and Restated Bylaws is qualified in its entirety by reference to, and should be read in connection with, the complete copy of the Amended and Restated Bylaws attached to this Current Report on Form 8-K as Exhibit 3.2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372"/>
        <w:spacing w:after="0" w:line="282" w:lineRule="auto"/>
        <w:rPr>
          <w:sz w:val="20"/>
          <w:szCs w:val="20"/>
          <w:color w:val="auto"/>
        </w:rPr>
      </w:pPr>
      <w:r>
        <w:rPr>
          <w:rFonts w:ascii="Times New Roman" w:cs="Times New Roman" w:eastAsia="Times New Roman" w:hAnsi="Times New Roman"/>
          <w:sz w:val="18"/>
          <w:szCs w:val="18"/>
          <w:color w:val="auto"/>
        </w:rPr>
        <w:t>On October 30, 2025, the Company issued a press release announcing Dr. Brunn’s appointment as Chairman of the Board. A copy of the press release is attached to this Current Report on Form 8-K as Exhibit 99.1 and incorporated by reference herein.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9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60" w:type="dxa"/>
            <w:vAlign w:val="bottom"/>
            <w:vMerge w:val="restart"/>
          </w:tcPr>
          <w:p>
            <w:pPr>
              <w:ind w:left="42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8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460" w:type="dxa"/>
            <w:vAlign w:val="bottom"/>
            <w:tcBorders>
              <w:top w:val="single" w:sz="8" w:color="auto"/>
            </w:tcBorders>
            <w:gridSpan w:val="2"/>
          </w:tcPr>
          <w:p>
            <w:pPr>
              <w:spacing w:after="0"/>
              <w:rPr>
                <w:sz w:val="24"/>
                <w:szCs w:val="24"/>
                <w:color w:val="auto"/>
              </w:rPr>
            </w:pPr>
          </w:p>
        </w:tc>
        <w:tc>
          <w:tcPr>
            <w:tcW w:w="220" w:type="dxa"/>
            <w:vAlign w:val="bottom"/>
            <w:tcBorders>
              <w:top w:val="single" w:sz="8" w:color="auto"/>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Cartesian Therapeutics, Inc.</w:t>
            </w:r>
          </w:p>
        </w:tc>
        <w:tc>
          <w:tcPr>
            <w:tcW w:w="0" w:type="dxa"/>
            <w:vAlign w:val="bottom"/>
          </w:tcPr>
          <w:p>
            <w:pPr>
              <w:spacing w:after="0"/>
              <w:rPr>
                <w:sz w:val="1"/>
                <w:szCs w:val="1"/>
                <w:color w:val="auto"/>
              </w:rPr>
            </w:pPr>
          </w:p>
        </w:tc>
      </w:tr>
      <w:tr>
        <w:trPr>
          <w:trHeight w:val="196"/>
        </w:trPr>
        <w:tc>
          <w:tcPr>
            <w:tcW w:w="1140" w:type="dxa"/>
            <w:vAlign w:val="bottom"/>
            <w:gridSpan w:val="5"/>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7"/>
                <w:szCs w:val="17"/>
                <w:color w:val="auto"/>
              </w:rPr>
            </w:pPr>
          </w:p>
        </w:tc>
        <w:tc>
          <w:tcPr>
            <w:tcW w:w="9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Press release of Cartesian Therapeutics, Inc. dated October 30, 2025.</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Borders>
              <w:top w:val="single" w:sz="8" w:color="0000EE"/>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398"/>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CARTESIAN THERAPEUTICS,</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80" w:type="dxa"/>
            <w:vAlign w:val="bottom"/>
          </w:tcPr>
          <w:p>
            <w:pPr>
              <w:spacing w:after="0"/>
              <w:rPr>
                <w:sz w:val="20"/>
                <w:szCs w:val="20"/>
                <w:color w:val="auto"/>
              </w:rPr>
            </w:pPr>
          </w:p>
        </w:tc>
      </w:tr>
      <w:tr>
        <w:trPr>
          <w:trHeight w:val="517"/>
        </w:trPr>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3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ARTICLE I - CORPORATE OFFICES</w:t>
            </w:r>
          </w:p>
        </w:tc>
        <w:tc>
          <w:tcPr>
            <w:tcW w:w="6040" w:type="dxa"/>
            <w:vAlign w:val="bottom"/>
            <w:gridSpan w:val="2"/>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5"/>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4"/>
        </w:trPr>
        <w:tc>
          <w:tcPr>
            <w:tcW w:w="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324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5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SPECIAL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ADVANCE NOTICE PROCEDURES FOR BUSINESS BROUGHT BEFORE A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ADVANCE NOTICE PROCEDURES FOR NOMINATIONS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MANNER OF GIVING NOTICE; AFFIDAVIT OF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CONDUCT OF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RECORD DATE FOR STOCKHOLDER NOTICE; VOTING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PROXIES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POSTPONEMENT, ADJOURNMENT AND CANCELLATION OF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INSPECTORS OF ELECTION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III -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45"/>
        </w:trPr>
        <w:tc>
          <w:tcPr>
            <w:tcW w:w="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680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NUMBER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SPECIAL MEETINGS;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BOARD ACTION BY CONSENT WITHOUT A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REMOVAL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3"/>
        </w:trPr>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IV - COMMITTEES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7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4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COMMITTEES OF DIRECTORS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COMMITTEE MINUTES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4"/>
        </w:trPr>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V - OFFICERS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45"/>
        </w:trPr>
        <w:tc>
          <w:tcPr>
            <w:tcW w:w="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704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APPOINTMENT OF OFFICERS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SUBORDINATE OFFICERS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83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VACANCIES IN OFFICES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REPRESENTATION OF SHARES OF OTHER ENTITIES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VI - RECORDS AND REPORTS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45"/>
        </w:trPr>
        <w:tc>
          <w:tcPr>
            <w:tcW w:w="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26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MAINTENANCE OF RECORDS</w:t>
            </w:r>
          </w:p>
        </w:tc>
        <w:tc>
          <w:tcPr>
            <w:tcW w:w="642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MULTIPLES CLASSES OR SERIES OF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TRANSFER OF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REGISTERED STOCKHOLDERS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WAIVER OF NOTICE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INSIDER PARTICIPATION IN PRIVATE PLACEMENTS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5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ARTICLE VIII - NOTICE BY ELECTRONIC TRANSMISSION</w:t>
            </w:r>
          </w:p>
        </w:tc>
        <w:tc>
          <w:tcPr>
            <w:tcW w:w="47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45"/>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NOTICE BY ELECTRONIC TRANSMISSION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DEFINITION OF ELECTRONIC TRANSMISSION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IX - INDEMNIFICATION AND ADVANCEMENT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5"/>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ACTIONS, SUITS AND PROCEEDINGS OTHER THAN BY OR IN THE RIGHT OF THE CORPORATION.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ACTIONS OR SUITS BY OR IN THE RIGHT OF THE CORPORATION.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INDEMNIFICATION FOR EXPENSES OF SUCCESSFUL PARTY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NOTIFICATION AND DEFENSE OF CLAIM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ADVANCE OF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PROCEDURE FOR INDEMNIFICATION AND ADVANCEMENT OF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LIMITATIONS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SUBSEQUENT AMENDMENT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OTHER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PARTIAL INDEMNIFICATION.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SAVINGS CLAUSE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91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4"/>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ARTICLE X - AMENDMENTS</w:t>
            </w:r>
          </w:p>
        </w:tc>
        <w:tc>
          <w:tcPr>
            <w:tcW w:w="736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2</w:t>
            </w:r>
          </w:p>
        </w:tc>
      </w:tr>
    </w:tbl>
    <w:p>
      <w:pPr>
        <w:sectPr>
          <w:pgSz w:w="11900" w:h="16838" w:orient="portrait"/>
          <w:cols w:equalWidth="0" w:num="1">
            <w:col w:w="10960"/>
          </w:cols>
          <w:pgMar w:left="440" w:top="266" w:right="49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CARTESIAN THERAPEUTICS,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 - CORPORATE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1.1 REGISTERED OFFICE. The registered office of Cartesian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Corporation’s certificate of incorporation, as the same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1.2 OTHER OFFICES. The Corporation may have other offices at any place or places, either within or outside the State of Delaware, 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from time to time determine or the business of the Corporation may from time to time require.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2.1 PLACE OF MEETINGS.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2.2 ANNUAL MEETING. 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2.3 SPECIAL MEETING. A special meeting of the stockholders may be called at any time by the Board, chairperson of the Board, lead independent director of the Board (if any), chief executive officer or president (in the absence of a chief executive officer), but such special meetings may not be called by any other person or persons.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440" w:top="266" w:right="599" w:bottom="1440" w:gutter="0" w:footer="0" w:header="0"/>
        </w:sectPr>
      </w:pPr>
    </w:p>
    <w:bookmarkStart w:id="7" w:name="page8"/>
    <w:bookmarkEnd w:id="7"/>
    <w:p>
      <w:pPr>
        <w:ind w:left="4" w:right="3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ADVANCE NOTICE PROCEDURES FOR BUSINESS BROUGHT BEFORE A MEETING.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w:t>
      </w:r>
    </w:p>
    <w:p>
      <w:pPr>
        <w:spacing w:after="0" w:line="1" w:lineRule="exact"/>
        <w:rPr>
          <w:sz w:val="20"/>
          <w:szCs w:val="20"/>
          <w:color w:val="auto"/>
        </w:rPr>
      </w:pPr>
    </w:p>
    <w:p>
      <w:pPr>
        <w:ind w:left="4"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192"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38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that (x) 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(120th) day prior to such annual meeting and not later than the later of the close of business on the ninetieth (90th) day prior to such annual meeting and the close of business on the tenth (10th) day following the day on which public disclosure of the date of such annual meeting was first made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8" w:name="page9"/>
    <w:bookmarkEnd w:id="8"/>
    <w:p>
      <w:pPr>
        <w:ind w:left="373" w:hanging="373"/>
        <w:spacing w:after="0"/>
        <w:tabs>
          <w:tab w:leader="none" w:pos="3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 proper form for purposes of this Section 2.4, a stockholder’s notice to the secretary of the Corporation shall set forth:</w:t>
      </w:r>
    </w:p>
    <w:p>
      <w:pPr>
        <w:spacing w:after="0" w:line="225" w:lineRule="exact"/>
        <w:rPr>
          <w:rFonts w:ascii="Times New Roman" w:cs="Times New Roman" w:eastAsia="Times New Roman" w:hAnsi="Times New Roman"/>
          <w:sz w:val="18"/>
          <w:szCs w:val="18"/>
          <w:color w:val="auto"/>
        </w:rPr>
      </w:pPr>
    </w:p>
    <w:p>
      <w:pPr>
        <w:ind w:left="-7" w:right="120" w:firstLine="408"/>
        <w:spacing w:after="0" w:line="274" w:lineRule="auto"/>
        <w:tabs>
          <w:tab w:leader="none" w:pos="733"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7"/>
          <w:szCs w:val="17"/>
          <w:u w:val="single" w:color="auto"/>
          <w:color w:val="auto"/>
        </w:rPr>
        <w:t>Stockholder Information</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7" w:right="40" w:firstLine="408"/>
        <w:spacing w:after="0" w:line="253" w:lineRule="auto"/>
        <w:tabs>
          <w:tab w:leader="none" w:pos="7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18"/>
          <w:szCs w:val="18"/>
          <w:u w:val="single" w:color="auto"/>
          <w:color w:val="auto"/>
        </w:rPr>
        <w:t>Synthetic Equity Interests</w:t>
      </w:r>
      <w:r>
        <w:rPr>
          <w:rFonts w:ascii="Times New Roman" w:cs="Times New Roman" w:eastAsia="Times New Roman" w:hAnsi="Times New Roman"/>
          <w:sz w:val="18"/>
          <w:szCs w:val="18"/>
          <w:color w:val="auto"/>
        </w:rPr>
        <w:t>”), which Synthetic Equity Interests shall be disclosed without regard to whether (x) the derivative, swap or other transactions convey any voting rights in such shares to such Proposing Person,</w:t>
      </w:r>
    </w:p>
    <w:p>
      <w:pPr>
        <w:spacing w:after="0" w:line="2" w:lineRule="exact"/>
        <w:rPr>
          <w:rFonts w:ascii="Times New Roman" w:cs="Times New Roman" w:eastAsia="Times New Roman" w:hAnsi="Times New Roman"/>
          <w:sz w:val="18"/>
          <w:szCs w:val="18"/>
          <w:color w:val="auto"/>
        </w:rPr>
      </w:pPr>
    </w:p>
    <w:p>
      <w:pPr>
        <w:ind w:left="-7" w:firstLine="7"/>
        <w:spacing w:after="0" w:line="251"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w:t>
      </w:r>
    </w:p>
    <w:p>
      <w:pPr>
        <w:spacing w:after="0" w:line="125"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3"/>
          </w:cols>
          <w:pgMar w:left="1427" w:top="270" w:right="459" w:bottom="1440" w:gutter="0" w:footer="0" w:header="0"/>
        </w:sectPr>
      </w:pPr>
    </w:p>
    <w:bookmarkStart w:id="9" w:name="page10"/>
    <w:bookmarkEnd w:id="9"/>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18"/>
          <w:szCs w:val="18"/>
          <w:u w:val="single" w:color="auto"/>
          <w:color w:val="auto"/>
        </w:rPr>
        <w:t>Short Interests</w:t>
      </w:r>
      <w:r>
        <w:rPr>
          <w:rFonts w:ascii="Times New Roman" w:cs="Times New Roman" w:eastAsia="Times New Roman" w:hAnsi="Times New Roman"/>
          <w:sz w:val="18"/>
          <w:szCs w:val="18"/>
          <w:color w:val="auto"/>
        </w:rPr>
        <w:t>”), (D) any rights to dividends on the shares of any class or series of the Corporation owned beneficially by such Proposing Person that are separated or separable from the underlying shares of the Corporation,</w:t>
      </w:r>
    </w:p>
    <w:p>
      <w:pPr>
        <w:spacing w:after="0" w:line="1" w:lineRule="exact"/>
        <w:rPr>
          <w:sz w:val="20"/>
          <w:szCs w:val="20"/>
          <w:color w:val="auto"/>
        </w:rPr>
      </w:pPr>
    </w:p>
    <w:p>
      <w:pPr>
        <w:ind w:firstLine="7"/>
        <w:spacing w:after="0" w:line="250"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Times New Roman" w:cs="Times New Roman" w:eastAsia="Times New Roman" w:hAnsi="Times New Roman"/>
          <w:sz w:val="18"/>
          <w:szCs w:val="18"/>
          <w:u w:val="single" w:color="auto"/>
          <w:color w:val="auto"/>
        </w:rPr>
        <w:t>Responsible Person</w:t>
      </w:r>
      <w:r>
        <w:rPr>
          <w:rFonts w:ascii="Times New Roman" w:cs="Times New Roman" w:eastAsia="Times New Roman" w:hAnsi="Times New Roman"/>
          <w:sz w:val="18"/>
          <w:szCs w:val="18"/>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w:t>
      </w:r>
    </w:p>
    <w:p>
      <w:pPr>
        <w:spacing w:after="0" w:line="1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20" w:top="270" w:right="479" w:bottom="1440" w:gutter="0" w:footer="0" w:header="0"/>
        </w:sectPr>
      </w:pPr>
    </w:p>
    <w:bookmarkStart w:id="10" w:name="page11"/>
    <w:bookmarkEnd w:id="10"/>
    <w:p>
      <w:pPr>
        <w:ind w:right="2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made in connection with solicitations of proxies or consents by such Proposing Person in support of the business proposed to be brought before the meeting pursuant to Section 14(a) of the Exchange Act (the disclosures to be made pursuant to the foregoing clauses</w:t>
      </w:r>
    </w:p>
    <w:p>
      <w:pPr>
        <w:spacing w:after="0" w:line="1" w:lineRule="exact"/>
        <w:rPr>
          <w:sz w:val="20"/>
          <w:szCs w:val="20"/>
          <w:color w:val="auto"/>
        </w:rPr>
      </w:pPr>
    </w:p>
    <w:p>
      <w:pPr>
        <w:ind w:right="20" w:firstLine="7"/>
        <w:spacing w:after="0" w:line="253"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8" w:lineRule="exact"/>
        <w:rPr>
          <w:rFonts w:ascii="Times New Roman" w:cs="Times New Roman" w:eastAsia="Times New Roman" w:hAnsi="Times New Roman"/>
          <w:sz w:val="18"/>
          <w:szCs w:val="18"/>
          <w:color w:val="auto"/>
        </w:rPr>
      </w:pPr>
    </w:p>
    <w:p>
      <w:pPr>
        <w:ind w:firstLine="408"/>
        <w:spacing w:after="0" w:line="252" w:lineRule="auto"/>
        <w:tabs>
          <w:tab w:leader="none" w:pos="8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70" w:right="459" w:bottom="1440" w:gutter="0" w:footer="0" w:header="0"/>
        </w:sectPr>
      </w:pPr>
    </w:p>
    <w:bookmarkStart w:id="11" w:name="page12"/>
    <w:bookmarkEnd w:id="11"/>
    <w:p>
      <w:pPr>
        <w:ind w:left="4" w:firstLine="987"/>
        <w:spacing w:after="0" w:line="258" w:lineRule="auto"/>
        <w:tabs>
          <w:tab w:leader="none" w:pos="13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3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u w:val="single" w:color="auto"/>
          <w:color w:val="auto"/>
        </w:rPr>
        <w:t>Acting in Concert</w:t>
      </w:r>
      <w:r>
        <w:rPr>
          <w:rFonts w:ascii="Times New Roman" w:cs="Times New Roman" w:eastAsia="Times New Roman" w:hAnsi="Times New Roman"/>
          <w:sz w:val="18"/>
          <w:szCs w:val="18"/>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the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94" w:lineRule="exact"/>
        <w:rPr>
          <w:rFonts w:ascii="Times New Roman" w:cs="Times New Roman" w:eastAsia="Times New Roman" w:hAnsi="Times New Roman"/>
          <w:sz w:val="18"/>
          <w:szCs w:val="18"/>
          <w:color w:val="auto"/>
        </w:rPr>
      </w:pPr>
    </w:p>
    <w:p>
      <w:pPr>
        <w:ind w:left="4" w:firstLine="987"/>
        <w:spacing w:after="0" w:line="268" w:lineRule="auto"/>
        <w:tabs>
          <w:tab w:leader="none" w:pos="134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w:t>
      </w:r>
    </w:p>
    <w:p>
      <w:pPr>
        <w:spacing w:after="0" w:line="4" w:lineRule="exact"/>
        <w:rPr>
          <w:rFonts w:ascii="Times New Roman" w:cs="Times New Roman" w:eastAsia="Times New Roman" w:hAnsi="Times New Roman"/>
          <w:sz w:val="17"/>
          <w:szCs w:val="17"/>
          <w:color w:val="auto"/>
        </w:rPr>
      </w:pPr>
    </w:p>
    <w:p>
      <w:pPr>
        <w:ind w:left="4" w:right="140" w:hanging="4"/>
        <w:spacing w:after="0" w:line="255"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w:t>
      </w:r>
    </w:p>
    <w:p>
      <w:pPr>
        <w:spacing w:after="0" w:line="180" w:lineRule="exact"/>
        <w:rPr>
          <w:sz w:val="20"/>
          <w:szCs w:val="20"/>
          <w:color w:val="auto"/>
        </w:rPr>
      </w:pPr>
    </w:p>
    <w:p>
      <w:pPr>
        <w:ind w:right="20" w:firstLine="987"/>
        <w:spacing w:after="0" w:line="258" w:lineRule="auto"/>
        <w:tabs>
          <w:tab w:leader="none" w:pos="13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ind w:right="120" w:firstLine="987"/>
        <w:spacing w:after="0" w:line="282" w:lineRule="auto"/>
        <w:tabs>
          <w:tab w:leader="none" w:pos="13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1" w:lineRule="exact"/>
        <w:rPr>
          <w:rFonts w:ascii="Times New Roman" w:cs="Times New Roman" w:eastAsia="Times New Roman" w:hAnsi="Times New Roman"/>
          <w:sz w:val="18"/>
          <w:szCs w:val="18"/>
          <w:color w:val="auto"/>
        </w:rPr>
      </w:pPr>
    </w:p>
    <w:p>
      <w:pPr>
        <w:ind w:right="40" w:firstLine="987"/>
        <w:spacing w:after="0" w:line="255" w:lineRule="auto"/>
        <w:tabs>
          <w:tab w:leader="none" w:pos="13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3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3" w:name="page14"/>
    <w:bookmarkEnd w:id="13"/>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color w:val="auto"/>
        </w:rPr>
        <w:t>ADVANCE NOTICE PROCEDURES FOR NOMINATIONS OF DIRECTORS.</w:t>
      </w:r>
    </w:p>
    <w:p>
      <w:pPr>
        <w:spacing w:after="0" w:line="225" w:lineRule="exact"/>
        <w:rPr>
          <w:sz w:val="20"/>
          <w:szCs w:val="20"/>
          <w:color w:val="auto"/>
        </w:rPr>
      </w:pPr>
    </w:p>
    <w:p>
      <w:pPr>
        <w:ind w:left="-20" w:right="200" w:firstLine="987"/>
        <w:spacing w:after="0" w:line="254"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191" w:lineRule="exact"/>
        <w:rPr>
          <w:rFonts w:ascii="Times New Roman" w:cs="Times New Roman" w:eastAsia="Times New Roman" w:hAnsi="Times New Roman"/>
          <w:sz w:val="18"/>
          <w:szCs w:val="18"/>
          <w:color w:val="auto"/>
        </w:rPr>
      </w:pPr>
    </w:p>
    <w:p>
      <w:pPr>
        <w:ind w:left="-20" w:firstLine="987"/>
        <w:spacing w:after="0" w:line="252" w:lineRule="auto"/>
        <w:tabs>
          <w:tab w:leader="none" w:pos="13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(120th) day prior to such special meeting and not later than the later of the close of business on the ninetieth (90th) day prior to such special meeting and the close of business on the tenth (10th)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4" w:name="page15"/>
    <w:bookmarkEnd w:id="14"/>
    <w:p>
      <w:pPr>
        <w:ind w:left="380" w:hanging="373"/>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in proper form for purposes of this Section 2.5, a stockholder’s notice to the secretary of the Corporation shall set forth:</w:t>
      </w:r>
    </w:p>
    <w:p>
      <w:pPr>
        <w:spacing w:after="0" w:line="225" w:lineRule="exact"/>
        <w:rPr>
          <w:rFonts w:ascii="Times New Roman" w:cs="Times New Roman" w:eastAsia="Times New Roman" w:hAnsi="Times New Roman"/>
          <w:sz w:val="18"/>
          <w:szCs w:val="18"/>
          <w:color w:val="auto"/>
        </w:rPr>
      </w:pPr>
    </w:p>
    <w:p>
      <w:pPr>
        <w:ind w:right="60" w:firstLine="408"/>
        <w:spacing w:after="0" w:line="266"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175" w:lineRule="exact"/>
        <w:rPr>
          <w:rFonts w:ascii="Times New Roman" w:cs="Times New Roman" w:eastAsia="Times New Roman" w:hAnsi="Times New Roman"/>
          <w:sz w:val="18"/>
          <w:szCs w:val="18"/>
          <w:color w:val="auto"/>
        </w:rPr>
      </w:pPr>
    </w:p>
    <w:p>
      <w:pPr>
        <w:ind w:right="60" w:firstLine="408"/>
        <w:spacing w:after="0" w:line="256" w:lineRule="auto"/>
        <w:tabs>
          <w:tab w:leader="none" w:pos="7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dealer, commercial bank, trust company or other nominee who is a Nominating Person solely as a result of being the stockholder directed to prepare and submit the notice required by these bylaws on behalf of a beneficial owner; and;</w:t>
      </w:r>
    </w:p>
    <w:p>
      <w:pPr>
        <w:spacing w:after="0" w:line="187" w:lineRule="exact"/>
        <w:rPr>
          <w:rFonts w:ascii="Times New Roman" w:cs="Times New Roman" w:eastAsia="Times New Roman" w:hAnsi="Times New Roman"/>
          <w:sz w:val="18"/>
          <w:szCs w:val="18"/>
          <w:color w:val="auto"/>
        </w:rPr>
      </w:pPr>
    </w:p>
    <w:p>
      <w:pPr>
        <w:ind w:firstLine="408"/>
        <w:spacing w:after="0" w:line="267" w:lineRule="auto"/>
        <w:tabs>
          <w:tab w:leader="none" w:pos="84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through (C) are</w:t>
      </w:r>
    </w:p>
    <w:p>
      <w:pPr>
        <w:spacing w:after="0" w:line="1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00"/>
          </w:cols>
          <w:pgMar w:left="1420" w:top="270" w:right="479" w:bottom="1440" w:gutter="0" w:footer="0" w:header="0"/>
        </w:sectPr>
      </w:pPr>
    </w:p>
    <w:bookmarkStart w:id="15" w:name="page16"/>
    <w:bookmarkEnd w:id="15"/>
    <w:p>
      <w:pPr>
        <w:ind w:left="98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referred to as “</w:t>
      </w:r>
      <w:r>
        <w:rPr>
          <w:rFonts w:ascii="Times New Roman" w:cs="Times New Roman" w:eastAsia="Times New Roman" w:hAnsi="Times New Roman"/>
          <w:sz w:val="18"/>
          <w:szCs w:val="18"/>
          <w:u w:val="single" w:color="auto"/>
          <w:color w:val="auto"/>
        </w:rPr>
        <w:t>Nominee Information</w:t>
      </w:r>
      <w:r>
        <w:rPr>
          <w:rFonts w:ascii="Times New Roman" w:cs="Times New Roman" w:eastAsia="Times New Roman" w:hAnsi="Times New Roman"/>
          <w:sz w:val="18"/>
          <w:szCs w:val="18"/>
          <w:color w:val="auto"/>
        </w:rPr>
        <w:t>”),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187" w:lineRule="exact"/>
        <w:rPr>
          <w:sz w:val="20"/>
          <w:szCs w:val="20"/>
          <w:color w:val="auto"/>
        </w:rPr>
      </w:pPr>
    </w:p>
    <w:p>
      <w:pPr>
        <w:ind w:left="984" w:right="20" w:firstLine="408"/>
        <w:spacing w:after="0" w:line="261" w:lineRule="auto"/>
        <w:tabs>
          <w:tab w:leader="none" w:pos="18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179"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(i)the stockholder providing the notice of the nomination proposed to be made at the meeting,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(ii)the beneficial owner or beneficial owners, if different, on whose behalf the notice of the nomination proposed to be made at the meeting is made,</w:t>
      </w:r>
    </w:p>
    <w:p>
      <w:pPr>
        <w:spacing w:after="0" w:line="27" w:lineRule="exact"/>
        <w:rPr>
          <w:sz w:val="20"/>
          <w:szCs w:val="20"/>
          <w:color w:val="auto"/>
        </w:rPr>
      </w:pPr>
    </w:p>
    <w:p>
      <w:pPr>
        <w:ind w:left="4" w:hanging="4"/>
        <w:spacing w:after="0" w:line="260"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or associate of such stockholder or beneficial owner and (iv) any other person with whom such stockholder or such beneficial owner (or any of their respective affiliates or associates) is Acting in Concert.</w:t>
      </w:r>
    </w:p>
    <w:p>
      <w:pPr>
        <w:spacing w:after="0" w:line="18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6" w:name="page17"/>
    <w:bookmarkEnd w:id="16"/>
    <w:p>
      <w:pPr>
        <w:ind w:left="4" w:right="60" w:firstLine="987"/>
        <w:spacing w:after="0" w:line="273" w:lineRule="auto"/>
        <w:tabs>
          <w:tab w:leader="none" w:pos="135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171" w:lineRule="exact"/>
        <w:rPr>
          <w:rFonts w:ascii="Times New Roman" w:cs="Times New Roman" w:eastAsia="Times New Roman" w:hAnsi="Times New Roman"/>
          <w:sz w:val="17"/>
          <w:szCs w:val="17"/>
          <w:color w:val="auto"/>
        </w:rPr>
      </w:pPr>
    </w:p>
    <w:p>
      <w:pPr>
        <w:ind w:left="4" w:right="120" w:firstLine="987"/>
        <w:spacing w:after="0" w:line="268" w:lineRule="auto"/>
        <w:tabs>
          <w:tab w:leader="none" w:pos="138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w:t>
      </w:r>
    </w:p>
    <w:p>
      <w:pPr>
        <w:ind w:left="4" w:right="220" w:hanging="4"/>
        <w:spacing w:after="0" w:line="252"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89" w:lineRule="exact"/>
        <w:rPr>
          <w:rFonts w:ascii="Times New Roman" w:cs="Times New Roman" w:eastAsia="Times New Roman" w:hAnsi="Times New Roman"/>
          <w:sz w:val="18"/>
          <w:szCs w:val="18"/>
          <w:color w:val="auto"/>
        </w:rPr>
      </w:pPr>
    </w:p>
    <w:p>
      <w:pPr>
        <w:ind w:left="4" w:firstLine="987"/>
        <w:spacing w:after="0" w:line="282" w:lineRule="auto"/>
        <w:tabs>
          <w:tab w:leader="none" w:pos="13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ind w:left="4" w:firstLine="987"/>
        <w:spacing w:after="0" w:line="255" w:lineRule="auto"/>
        <w:tabs>
          <w:tab w:leader="none" w:pos="13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7" w:name="page18"/>
    <w:bookmarkEnd w:id="17"/>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7"/>
          <w:szCs w:val="17"/>
          <w:color w:val="auto"/>
        </w:rPr>
        <w:t>NOTICE OF STOCKHOLDERS’ MEETINGS.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MANNER OF GIVING NOTICE; AFFIDAVIT OF NOTICE. Notice of any meeting of stockholders shall be deemed given:</w:t>
      </w:r>
    </w:p>
    <w:p>
      <w:pPr>
        <w:spacing w:after="0" w:line="225" w:lineRule="exact"/>
        <w:rPr>
          <w:sz w:val="20"/>
          <w:szCs w:val="20"/>
          <w:color w:val="auto"/>
        </w:rPr>
      </w:pPr>
    </w:p>
    <w:p>
      <w:pPr>
        <w:ind w:right="220" w:firstLine="987"/>
        <w:spacing w:after="0" w:line="282"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mailed, when deposited in the United States mail, postage prepaid, directed to the stockholder at such stockholder’s address as it appears on the Corporation’s records; or</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electronically transmitted, as provided in Section 8.1 of these bylaws.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2.8 QUORUM. 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ADJOURNED MEETING; NOTICE.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2.10 CONDUCT OF BUSINESS.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(d)restrictions on entry to the meeting after the time fixed for the commencement thereof; and (e)limitations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2.11 VOTING. 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may be otherwise provided in the certificate of incorporation or these bylaws, each stockholder shall be entitled to one (1) vote for each share of capital stock held by such stockholder.</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2.12 STOCKHOLDER ACTION BY WRITTEN CONSENT WITHOUT A MEETING.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RECORD DATE FOR STOCKHOLDER NOTICE; VOTING.</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0" w:name="page21"/>
    <w:bookmarkEnd w:id="2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2.14 PROXIES. 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2.15 LIST OF STOCKHOLDERS ENTITLED TO VOTE. The officer who has charge of the stock ledger of the Corporation shall prepare and make, at least ten (10) days before every meeting of stockholders, a complete list of the stockholders entitled to vote at the meeting (</w:t>
      </w:r>
      <w:r>
        <w:rPr>
          <w:rFonts w:ascii="Times New Roman" w:cs="Times New Roman" w:eastAsia="Times New Roman" w:hAnsi="Times New Roman"/>
          <w:sz w:val="17"/>
          <w:szCs w:val="17"/>
          <w:i w:val="1"/>
          <w:iCs w:val="1"/>
          <w:u w:val="single" w:color="auto"/>
          <w:color w:val="auto"/>
        </w:rPr>
        <w:t>provided, however</w:t>
      </w:r>
      <w:r>
        <w:rPr>
          <w:rFonts w:ascii="Times New Roman" w:cs="Times New Roman" w:eastAsia="Times New Roman" w:hAnsi="Times New Roman"/>
          <w:sz w:val="17"/>
          <w:szCs w:val="17"/>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8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POSTPONEMENT, ADJOURNMENT AND CANCELLATION OF MEETING.</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21" w:name="page22"/>
    <w:bookmarkEnd w:id="21"/>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2.17</w:t>
      </w:r>
      <w:r>
        <w:rPr>
          <w:sz w:val="20"/>
          <w:szCs w:val="20"/>
          <w:color w:val="auto"/>
        </w:rPr>
        <w:tab/>
      </w:r>
      <w:r>
        <w:rPr>
          <w:rFonts w:ascii="Times New Roman" w:cs="Times New Roman" w:eastAsia="Times New Roman" w:hAnsi="Times New Roman"/>
          <w:sz w:val="17"/>
          <w:szCs w:val="17"/>
          <w:color w:val="auto"/>
        </w:rPr>
        <w:t>INSPECTORS OF ELECTION.</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3.1 POWERS. Subject to the provisions of the DGCL and any limitations in the certificate of incorporation, the business and affairs of the Corporation shall be managed and all corporate powers shall be exercised by or under the direction of the Board.</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3.2 NUMBER OF DIRECTORS. 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3.3 ELECTION, QUALIFICATION AND TERM OF OFFICE OF DIRECTORS. 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 vice chairperson of the Board and a lead independent director of the Board. The certificate of incorporation or these bylaws may prescribe other qualifications for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RESIGNATION AND VACANCIES. 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3.5 PLACE OF MEETINGS; MEETINGS BY TELEPHONE. The Board may hold meetings, both regular and special, either within or outside the State of Delaware.</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3.6 REGULAR MEETINGS. Regular meetings of the Board may be held without notice at such time and at such place as shall from time to time be determined by the Board;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158"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3.7 SPECIAL MEETINGS; NOTICE. Special meetings of the Board for any purpose or purposes may be called at any time by the chairperson of the Board, the lead independent director of the Board (if any), the chief executive officer, the president, the secretary or a majority of the authorized number of directors.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360" w:hanging="373"/>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1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w:t>
      </w:r>
    </w:p>
    <w:p>
      <w:pPr>
        <w:spacing w:after="0" w:line="117" w:lineRule="exact"/>
        <w:rPr>
          <w:rFonts w:ascii="Times New Roman" w:cs="Times New Roman" w:eastAsia="Times New Roman" w:hAnsi="Times New Roman"/>
          <w:sz w:val="18"/>
          <w:szCs w:val="18"/>
          <w:color w:val="auto"/>
        </w:rPr>
      </w:pPr>
    </w:p>
    <w:p>
      <w:pPr>
        <w:ind w:left="5420" w:right="4540" w:hanging="4433"/>
        <w:spacing w:after="0" w:line="454" w:lineRule="auto"/>
        <w:tabs>
          <w:tab w:leader="none" w:pos="1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electronic transmission or other similar means, 17</w:t>
      </w:r>
    </w:p>
    <w:p>
      <w:pPr>
        <w:sectPr>
          <w:pgSz w:w="11900" w:h="16838" w:orient="portrait"/>
          <w:cols w:equalWidth="0" w:num="1">
            <w:col w:w="11000"/>
          </w:cols>
          <w:pgMar w:left="440" w:top="270" w:right="45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directed to each director at that director’s address, telephone number, facsimile number or electronic mail or other electronic address, as the case may be, as shown on the Corporation’s records.</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3.8 QUORUM. 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3.10 FEES AND COMPENSATION OF DIRECTORS. Unless otherwise restricted by the certificate of incorporation or these bylaws, the Board shall have the authority to fix the compensation of directors.</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3.11 REMOVAL OF DIRECTORS. 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 - COMMITTEES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9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COMMITTEE MINUTES. Each committee shall keep regular minutes of its meetings and report the same to the Board when required.</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4.3 MEETINGS AND ACTION OF COMMITTEES. Meetings and actions of committees shall be governed by, and held and taken in accordance with, the provisions of:</w:t>
      </w:r>
    </w:p>
    <w:p>
      <w:pPr>
        <w:spacing w:after="0" w:line="162" w:lineRule="exact"/>
        <w:rPr>
          <w:sz w:val="20"/>
          <w:szCs w:val="20"/>
          <w:color w:val="auto"/>
        </w:rPr>
      </w:pPr>
    </w:p>
    <w:p>
      <w:pPr>
        <w:ind w:left="1240" w:hanging="38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of these bylaws (place of meetings and meetings by telephone);</w:t>
      </w:r>
    </w:p>
    <w:p>
      <w:pPr>
        <w:spacing w:after="0" w:line="22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of these bylaws (regular meetings);</w:t>
      </w:r>
    </w:p>
    <w:p>
      <w:pPr>
        <w:spacing w:after="0" w:line="22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of these bylaws (special meetings and notice);</w:t>
      </w:r>
    </w:p>
    <w:p>
      <w:pPr>
        <w:spacing w:after="0" w:line="22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of these bylaws (quorum);</w:t>
      </w:r>
    </w:p>
    <w:p>
      <w:pPr>
        <w:spacing w:after="0" w:line="22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 of these bylaws (waiver of notice); and</w:t>
      </w:r>
    </w:p>
    <w:p>
      <w:pPr>
        <w:spacing w:after="0" w:line="225"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of these bylaws (action without a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980" w:right="640" w:firstLine="408"/>
        <w:spacing w:after="0" w:line="282" w:lineRule="auto"/>
        <w:tabs>
          <w:tab w:leader="none" w:pos="17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61"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and</w:t>
      </w:r>
    </w:p>
    <w:p>
      <w:pPr>
        <w:spacing w:after="0" w:line="225"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8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66" w:right="5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 OFFICERS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5.1 OFFICERS. 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5.2 APPOINTMENT OF OFFICERS. The Board shall appoint the officers of the Corporation,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5.3 SUBORDINATE OFFICERS.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5.4 REMOVAL AND RESIGNATION OF OFFICERS. 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76"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5.5 VACANCIES IN OFFICES. Any vacancy occurring in any office of the Corporation shall be filled by the Board or as provided in Section 5.3 of these bylaws.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26" w:name="page27"/>
    <w:bookmarkEnd w:id="26"/>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 REPRESENTATION OF SHARES OF OTHER ENTITIES. 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5.7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 - RECORDS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6.1 MAINTENANCE OF RECORDS. 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GENERAL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7.1 EXECUTION OF CORPORATE CONTRACTS AND INSTRUMENTS.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7.2 STOCK CERTIFICATES; PARTLY PAID SHARES. 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8" w:name="page29"/>
    <w:bookmarkEnd w:id="2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MULTIPLES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or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7.4 LOST CERTIFICATES. 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7.5 CONSTRUCTION; DEFINITIONS.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7.6 DIVIDENDS. 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7.7</w:t>
        <w:tab/>
        <w:t>FISCAL YEAR. The fiscal year of the Corporation shall be fixed by resolution of the Board and may be changed by the Board.</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7.8 SEAL.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7.9 TRANSFER OF STOCK.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7.10 STOCK TRANSFER AGREEMENTS.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REGISTERED STOCKHOLDERS. The Corporation, to the fullest extent permitted by law,:</w:t>
      </w:r>
    </w:p>
    <w:p>
      <w:pPr>
        <w:spacing w:after="0" w:line="225" w:lineRule="exact"/>
        <w:rPr>
          <w:sz w:val="20"/>
          <w:szCs w:val="20"/>
          <w:color w:val="auto"/>
        </w:rPr>
      </w:pPr>
    </w:p>
    <w:p>
      <w:pPr>
        <w:ind w:firstLine="987"/>
        <w:spacing w:after="0" w:line="282" w:lineRule="auto"/>
        <w:tabs>
          <w:tab w:leader="none" w:pos="1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hold liable for calls and assessments the person registered on its books as the owner of shares; and</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7.12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7.13 INSIDER PARTICIPATION IN PRIVATE PLACEMENTS. The Corporation may, at times, choose to issue stock and/or other securities by means of a private placement rather than a public offering. The Corporation’s directors and officers may participate as investors in the Corporation’s private placement transactions, provided that their participation is expressly authorized by the Board, or any standing or special committee of the Board designated and empowered for such purpose. The Board, or relevant committee, shall review the proposed investment to ensure that it is consistent with the Corporation’s Corporate Governance Guidelines and in the best interests of the Corporation and its stockholders.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 - NOTICE BY ELECTRONIC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TRANSMISSION</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83" w:lineRule="exact"/>
        <w:rPr>
          <w:sz w:val="20"/>
          <w:szCs w:val="20"/>
          <w:color w:val="auto"/>
        </w:rPr>
      </w:pPr>
    </w:p>
    <w:p>
      <w:pPr>
        <w:ind w:right="220" w:firstLine="987"/>
        <w:spacing w:after="0" w:line="282" w:lineRule="auto"/>
        <w:tabs>
          <w:tab w:leader="none" w:pos="1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unable to deliver by electronic transmission two (2) consecutive notices given by the Corporation in accordance with such consent; and</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3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52" w:lineRule="exact"/>
        <w:rPr>
          <w:sz w:val="20"/>
          <w:szCs w:val="20"/>
          <w:color w:val="auto"/>
        </w:rPr>
      </w:pPr>
    </w:p>
    <w:p>
      <w:pPr>
        <w:ind w:left="1420" w:hanging="439"/>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52" w:lineRule="exact"/>
        <w:rPr>
          <w:rFonts w:ascii="Times New Roman" w:cs="Times New Roman" w:eastAsia="Times New Roman" w:hAnsi="Times New Roman"/>
          <w:sz w:val="18"/>
          <w:szCs w:val="18"/>
          <w:color w:val="auto"/>
        </w:rPr>
      </w:pPr>
    </w:p>
    <w:p>
      <w:pPr>
        <w:ind w:left="5420" w:right="760" w:hanging="4439"/>
        <w:spacing w:after="0" w:line="454" w:lineRule="auto"/>
        <w:tabs>
          <w:tab w:leader="none" w:pos="14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 25</w:t>
      </w:r>
    </w:p>
    <w:p>
      <w:pPr>
        <w:sectPr>
          <w:pgSz w:w="11900" w:h="16838" w:orient="portrait"/>
          <w:cols w:equalWidth="0" w:num="1">
            <w:col w:w="10980"/>
          </w:cols>
          <w:pgMar w:left="440" w:top="270" w:right="479" w:bottom="1440" w:gutter="0" w:footer="0" w:header="0"/>
        </w:sectPr>
      </w:pPr>
    </w:p>
    <w:bookmarkStart w:id="31" w:name="page32"/>
    <w:bookmarkEnd w:id="31"/>
    <w:p>
      <w:pPr>
        <w:ind w:left="1420" w:hanging="43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posting and (ii) the giving of such separate notice; and</w:t>
      </w:r>
    </w:p>
    <w:p>
      <w:pPr>
        <w:spacing w:after="0" w:line="23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8.2 DEFINITION OF ELECTRONIC TRANSMISSION.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ADVANCEMENT</w:t>
      </w:r>
    </w:p>
    <w:p>
      <w:pPr>
        <w:spacing w:after="0" w:line="20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ACTIONS, SUITS AND PROCEEDINGS OTHER THAN BY OR IN THE RIGHT OF THE CORPORATION.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2" w:name="page33"/>
    <w:bookmarkEnd w:id="32"/>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color w:val="auto"/>
        </w:rPr>
        <w:t>ACTIONS OR SUITS BY OR IN THE RIGHT OF THE CORPORATION.</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9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INDEMNIFICATION FOR EXPENSES OF SUCCESSFUL PARTY.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8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color w:val="auto"/>
        </w:rPr>
        <w:t>NOTIFICATION AND DEFENSE OF CLAIM.</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3" w:name="page34"/>
    <w:bookmarkEnd w:id="3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w:t>
      </w:r>
    </w:p>
    <w:p>
      <w:pPr>
        <w:spacing w:after="0" w:line="6" w:lineRule="exact"/>
        <w:rPr>
          <w:sz w:val="20"/>
          <w:szCs w:val="20"/>
          <w:color w:val="auto"/>
        </w:rPr>
      </w:pPr>
    </w:p>
    <w:p>
      <w:pPr>
        <w:ind w:left="4" w:hanging="4"/>
        <w:spacing w:after="0" w:line="253"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9"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ADVANCE OF EXPENSES.</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such advancement of expenses shall be made under this Article IX if it is determined (in the manner described in Section 9.6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34" w:name="page35"/>
    <w:bookmarkEnd w:id="34"/>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w:t>
      </w:r>
      <w:r>
        <w:rPr>
          <w:sz w:val="20"/>
          <w:szCs w:val="20"/>
          <w:color w:val="auto"/>
        </w:rPr>
        <w:tab/>
      </w:r>
      <w:r>
        <w:rPr>
          <w:rFonts w:ascii="Times New Roman" w:cs="Times New Roman" w:eastAsia="Times New Roman" w:hAnsi="Times New Roman"/>
          <w:sz w:val="17"/>
          <w:szCs w:val="17"/>
          <w:color w:val="auto"/>
        </w:rPr>
        <w:t>PROCEDURE FOR INDEMNIFICATION AND ADVANCEMENT OF EXPENSES.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 w:cs="Times New Roman" w:eastAsia="Times New Roman" w:hAnsi="Times New Roman"/>
          <w:sz w:val="18"/>
          <w:szCs w:val="18"/>
          <w:u w:val="single" w:color="auto"/>
          <w:color w:val="auto"/>
        </w:rPr>
        <w:t>disinterested directors</w:t>
      </w:r>
      <w:r>
        <w:rPr>
          <w:rFonts w:ascii="Times New Roman" w:cs="Times New Roman" w:eastAsia="Times New Roman" w:hAnsi="Times New Roman"/>
          <w:sz w:val="18"/>
          <w:szCs w:val="18"/>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REMEDIES.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9.8</w:t>
      </w:r>
      <w:r>
        <w:rPr>
          <w:sz w:val="20"/>
          <w:szCs w:val="20"/>
          <w:color w:val="auto"/>
        </w:rPr>
        <w:tab/>
      </w:r>
      <w:r>
        <w:rPr>
          <w:rFonts w:ascii="Times New Roman" w:cs="Times New Roman" w:eastAsia="Times New Roman" w:hAnsi="Times New Roman"/>
          <w:sz w:val="17"/>
          <w:szCs w:val="17"/>
          <w:color w:val="auto"/>
        </w:rPr>
        <w:t>LIMITATIONS.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8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SUBSEQUENT AMENDMENT.</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8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OTHER RIGHTS.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36" w:name="page37"/>
    <w:bookmarkEnd w:id="36"/>
    <w:p>
      <w:pPr>
        <w:ind w:left="440"/>
        <w:spacing w:after="0"/>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9.11</w:t>
      </w:r>
      <w:r>
        <w:rPr>
          <w:sz w:val="20"/>
          <w:szCs w:val="20"/>
          <w:color w:val="auto"/>
        </w:rPr>
        <w:tab/>
      </w:r>
      <w:r>
        <w:rPr>
          <w:rFonts w:ascii="Times New Roman" w:cs="Times New Roman" w:eastAsia="Times New Roman" w:hAnsi="Times New Roman"/>
          <w:sz w:val="17"/>
          <w:szCs w:val="17"/>
          <w:color w:val="auto"/>
        </w:rPr>
        <w:t>PARTIAL INDEMNIFICATION.</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8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INSURANCE.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color w:val="auto"/>
        </w:rPr>
        <w:t>SAVINGS CLAUSE.</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8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DEFINITIONS.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Terms used in this Article IX and defined in Section 145(h) and Section 145(i) of the DGCL shall have the respective meanings assigned to such terms in such Section 145(h) and Section 145(i).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 -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a majority in voting power of the outstanding shares of capital stock of the Corporation entitled to vote thereon.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1611630"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16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Announces Carsten Brunn, Ph.D., Named as Chairman of the Company’s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FREDERICK, Md., October 30, 2025 (GLOBE NEWSWIRE) -- Cartesian Therapeutics, Inc. (NASDAQ: RNAC) (the “Company”), a clinical-stage biotechnology company pioneering cell therapy for autoimmune diseases, today announced that Carsten Brunn, Ph.D., was named as Chairman of the Board of Directors, effective October 29, 2025. Dr. Brunn, who currently serves as the Company’s President and Chief Executive Officer and as a member of the Board, will succeed Carrie S. Cox, who is stepping down to focus on other responsibilities, including her recent appointment as Executive Chair of another publicly-traded company. In connection with Dr. Brunn’s assumption of the role of Chairman of the Board, Patrick Zenner, M.B.A., was named as Lead Independent Director of the Board.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“Carrie’s contributions as Chairman of the Board have been instrumental in advancing Descartes-08 to where it is today,” said Dr. Brunn. “We are grateful for her knowledge and guidance over the years, and we wish her the very best as she focuses on her other commitments.”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firmly believe that Cartesian is on the precipice of expanding the reach of potentially transformative cell therapies to autoimmune diseases, and it has been an honor to be a part of their exciting journey thus far,” said Ms. Cox. “With a deeply experienced team possessing a broad range of expertise across the entirety of the drug development continuum, I am confident that Cartesian is well positioned for continued success as they advance closer toward their first planned regulatory submission for Descartes-08 and ultimately, subject to approval, a successful commercial launch.”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Cartesian Therapeutics is a clinical-stage company pioneering cell therapy for the treatment of autoimmune diseases. The Company’s lead asset, Descartes-08, is a CAR-T in Phase 3 clinical development for patients with generalized myasthenia gravis and Phase 2 development for systemic lupus erythematosus, with a Phase 2 basket trial planned in additional autoimmune indications. The Company’s clinical-stage pipeline also includes Descartes-15, a next-generation, autologous anti-BCMA CAR-T currently being evaluated in a Phase 1 trial in patients with multiple myeloma. For more information, please visit </w:t>
      </w:r>
      <w:r>
        <w:rPr>
          <w:rFonts w:ascii="Times New Roman" w:cs="Times New Roman" w:eastAsia="Times New Roman" w:hAnsi="Times New Roman"/>
          <w:sz w:val="18"/>
          <w:szCs w:val="18"/>
          <w:u w:val="single" w:color="auto"/>
          <w:color w:val="auto"/>
        </w:rPr>
        <w:t>www.cartesiantherapeutics.com</w:t>
      </w:r>
      <w:r>
        <w:rPr>
          <w:rFonts w:ascii="Times New Roman" w:cs="Times New Roman" w:eastAsia="Times New Roman" w:hAnsi="Times New Roman"/>
          <w:sz w:val="18"/>
          <w:szCs w:val="18"/>
          <w:color w:val="auto"/>
        </w:rPr>
        <w:t xml:space="preserve"> or follow the Company on LinkedIn or X, formerly known as Twitter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428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28625"/>
                    </a:xfrm>
                    <a:prstGeom prst="rect">
                      <a:avLst/>
                    </a:prstGeom>
                    <a:noFill/>
                  </pic:spPr>
                </pic:pic>
              </a:graphicData>
            </a:graphic>
          </wp:anchor>
        </w:drawing>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multiple myeloma, or any other disease, the anticipated timing or the outcome of ongoing and planned clinical trials, studies and data readouts, including the Phase 3 AURORA trial of Descartes-08 in myasthenia gravis, the planned Phase 2 pediatric basket trial of Descartes-08 in juvenile dermatomyositis, juvenile systemic lupus erythematosus, juvenile myasthenia gravis, and anti-neutrophil cytoplasmic antibody-associated vasculitis, and the ongoing Phase 2 trial of Descartes-08 in systemic lupus erythematosus,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megan.leduc@cartesiantx.com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david.rosen@argotpartners.com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35"/>
    </w:lvl>
    <w:lvl w:ilvl="1">
      <w:lvlJc w:val="left"/>
      <w:lvlText w:val="(%2)"/>
      <w:numFmt w:val="lowerLetter"/>
      <w:start w:val="2"/>
    </w:lvl>
  </w:abstractNum>
  <w:abstractNum w:abstractNumId="2">
    <w:nsid w:val="DED7263"/>
    <w:multiLevelType w:val="hybridMultilevel"/>
    <w:lvl w:ilvl="0">
      <w:lvlJc w:val="left"/>
      <w:lvlText w:val="(%1)"/>
      <w:numFmt w:val="lowerLetter"/>
      <w:start w:val="3"/>
    </w:lvl>
    <w:lvl w:ilvl="1">
      <w:lvlJc w:val="left"/>
      <w:lvlText w:val="(%2)"/>
      <w:numFmt w:val="lowerRoman"/>
      <w:start w:val="1"/>
    </w:lvl>
  </w:abstractNum>
  <w:abstractNum w:abstractNumId="3">
    <w:nsid w:val="7FDCC233"/>
    <w:multiLevelType w:val="hybridMultilevel"/>
    <w:lvl w:ilvl="0">
      <w:lvlJc w:val="left"/>
      <w:lvlText w:val="(%1)"/>
      <w:numFmt w:val="lowerLetter"/>
      <w:start w:val="25"/>
    </w:lvl>
    <w:lvl w:ilvl="1">
      <w:lvlJc w:val="left"/>
      <w:lvlText w:val="%2"/>
      <w:numFmt w:val="lowerRoman"/>
      <w:start w:val="1"/>
    </w:lvl>
  </w:abstractNum>
  <w:abstractNum w:abstractNumId="4">
    <w:nsid w:val="1BEFD79F"/>
    <w:multiLevelType w:val="hybridMultilevel"/>
    <w:lvl w:ilvl="0">
      <w:lvlJc w:val="left"/>
      <w:lvlText w:val="(%1)"/>
      <w:numFmt w:val="upperLetter"/>
      <w:start w:val="5"/>
    </w:lvl>
  </w:abstractNum>
  <w:abstractNum w:abstractNumId="5">
    <w:nsid w:val="41A7C4C9"/>
    <w:multiLevelType w:val="hybridMultilevel"/>
    <w:lvl w:ilvl="0">
      <w:lvlJc w:val="left"/>
      <w:lvlText w:val="(%1)"/>
      <w:numFmt w:val="upperLetter"/>
      <w:start w:val="1"/>
    </w:lvl>
    <w:lvl w:ilvl="1">
      <w:lvlJc w:val="left"/>
      <w:lvlText w:val="(%2)"/>
      <w:numFmt w:val="lowerRoman"/>
      <w:start w:val="3"/>
    </w:lvl>
  </w:abstractNum>
  <w:abstractNum w:abstractNumId="6">
    <w:nsid w:val="6B68079A"/>
    <w:multiLevelType w:val="hybridMultilevel"/>
    <w:lvl w:ilvl="0">
      <w:lvlJc w:val="left"/>
      <w:lvlText w:val="%1"/>
      <w:numFmt w:val="decimal"/>
      <w:start w:val="1"/>
    </w:lvl>
    <w:lvl w:ilvl="1">
      <w:lvlJc w:val="left"/>
      <w:lvlText w:val="(%2)"/>
      <w:numFmt w:val="lowerLetter"/>
      <w:start w:val="4"/>
    </w:lvl>
  </w:abstractNum>
  <w:abstractNum w:abstractNumId="7">
    <w:nsid w:val="4E6AFB66"/>
    <w:multiLevelType w:val="hybridMultilevel"/>
    <w:lvl w:ilvl="0">
      <w:lvlJc w:val="left"/>
      <w:lvlText w:val="(%1)"/>
      <w:numFmt w:val="decimal"/>
      <w:start w:val="8"/>
    </w:lvl>
    <w:lvl w:ilvl="1">
      <w:lvlJc w:val="left"/>
      <w:lvlText w:val="(%2)"/>
      <w:numFmt w:val="lowerLetter"/>
      <w:start w:val="7"/>
    </w:lvl>
  </w:abstractNum>
  <w:abstractNum w:abstractNumId="8">
    <w:nsid w:val="25E45D32"/>
    <w:multiLevelType w:val="hybridMultilevel"/>
    <w:lvl w:ilvl="0">
      <w:lvlJc w:val="left"/>
      <w:lvlText w:val="(%1)"/>
      <w:numFmt w:val="lowerLetter"/>
      <w:start w:val="8"/>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3"/>
    </w:lvl>
    <w:lvl w:ilvl="1">
      <w:lvlJc w:val="left"/>
      <w:lvlText w:val="(%2)"/>
      <w:numFmt w:val="lowerRoman"/>
      <w:start w:val="1"/>
    </w:lvl>
  </w:abstractNum>
  <w:abstractNum w:abstractNumId="11">
    <w:nsid w:val="3F2DBA31"/>
    <w:multiLevelType w:val="hybridMultilevel"/>
    <w:lvl w:ilvl="0">
      <w:lvlJc w:val="left"/>
      <w:lvlText w:val="%1"/>
      <w:numFmt w:val="lowerLetter"/>
      <w:start w:val="1"/>
    </w:lvl>
    <w:lvl w:ilvl="1">
      <w:lvlJc w:val="left"/>
      <w:lvlText w:val="(%2)"/>
      <w:numFmt w:val="lowerRoman"/>
      <w:start w:val="4"/>
    </w:lvl>
  </w:abstractNum>
  <w:abstractNum w:abstractNumId="12">
    <w:nsid w:val="7C83E458"/>
    <w:multiLevelType w:val="hybridMultilevel"/>
    <w:lvl w:ilvl="0">
      <w:lvlJc w:val="left"/>
      <w:lvlText w:val="(%1)"/>
      <w:numFmt w:val="lowerLetter"/>
      <w:start w:val="4"/>
    </w:lvl>
    <w:lvl w:ilvl="1">
      <w:lvlJc w:val="left"/>
      <w:lvlText w:val="%2"/>
      <w:numFmt w:val="lowerRoman"/>
      <w:start w:val="1"/>
    </w:lvl>
  </w:abstractNum>
  <w:abstractNum w:abstractNumId="13">
    <w:nsid w:val="257130A3"/>
    <w:multiLevelType w:val="hybridMultilevel"/>
    <w:lvl w:ilvl="0">
      <w:lvlJc w:val="left"/>
      <w:lvlText w:val="(%1)"/>
      <w:numFmt w:val="lowerLetter"/>
      <w:start w:val="61"/>
    </w:lvl>
    <w:lvl w:ilvl="1">
      <w:lvlJc w:val="left"/>
      <w:lvlText w:val="(%2)"/>
      <w:numFmt w:val="lowerLetter"/>
      <w:start w:val="5"/>
    </w:lvl>
  </w:abstractNum>
  <w:abstractNum w:abstractNumId="14">
    <w:nsid w:val="62BBD95A"/>
    <w:multiLevelType w:val="hybridMultilevel"/>
    <w:lvl w:ilvl="0">
      <w:lvlJc w:val="left"/>
      <w:lvlText w:val="%1"/>
      <w:numFmt w:val="lowerLetter"/>
      <w:start w:val="1"/>
    </w:lvl>
    <w:lvl w:ilvl="1">
      <w:lvlJc w:val="left"/>
      <w:lvlText w:val="(%2)"/>
      <w:numFmt w:val="lowerLetter"/>
      <w:start w:val="6"/>
    </w:lvl>
  </w:abstractNum>
  <w:abstractNum w:abstractNumId="15">
    <w:nsid w:val="436C6125"/>
    <w:multiLevelType w:val="hybridMultilevel"/>
    <w:lvl w:ilvl="0">
      <w:lvlJc w:val="left"/>
      <w:lvlText w:val="(%1)"/>
      <w:numFmt w:val="lowerLetter"/>
      <w:start w:val="35"/>
    </w:lvl>
    <w:lvl w:ilvl="1">
      <w:lvlJc w:val="left"/>
      <w:lvlText w:val="(%2)"/>
      <w:numFmt w:val="lowerLetter"/>
      <w:start w:val="8"/>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3"/>
    </w:lvl>
  </w:abstractNum>
  <w:abstractNum w:abstractNumId="24">
    <w:nsid w:val="79838C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2025-10-30T06:22:59Z</dcterms:created>
  <dcterms:modified xsi:type="dcterms:W3CDTF">2025-10-30T06:22:59Z</dcterms:modified>
</cp:coreProperties>
</file>