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7"/>
                <w:szCs w:val="17"/>
                <w:color w:val="0000FF"/>
              </w:rPr>
              <w:t>12/15/2021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gridSpan w:val="2"/>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980" w:type="dxa"/>
            <w:vAlign w:val="bottom"/>
            <w:tcBorders>
              <w:bottom w:val="single" w:sz="8" w:color="2C2C2C"/>
            </w:tcBorders>
            <w:gridSpan w:val="3"/>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334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22"/>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4"/>
            <w:vMerge w:val="restart"/>
          </w:tcPr>
          <w:p>
            <w:pPr>
              <w:ind w:left="640"/>
              <w:spacing w:after="0"/>
              <w:rPr>
                <w:sz w:val="20"/>
                <w:szCs w:val="20"/>
                <w:color w:val="auto"/>
              </w:rPr>
            </w:pPr>
            <w:r>
              <w:rPr>
                <w:rFonts w:ascii="Arial" w:cs="Arial" w:eastAsia="Arial" w:hAnsi="Arial"/>
                <w:sz w:val="17"/>
                <w:szCs w:val="17"/>
                <w:color w:val="0000FF"/>
                <w:w w:val="98"/>
              </w:rPr>
              <w:t>12/15/2021</w:t>
            </w: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740" w:type="dxa"/>
            <w:vAlign w:val="bottom"/>
            <w:vMerge w:val="restart"/>
          </w:tcPr>
          <w:p>
            <w:pPr>
              <w:ind w:left="120"/>
              <w:spacing w:after="0"/>
              <w:rPr>
                <w:sz w:val="20"/>
                <w:szCs w:val="20"/>
                <w:color w:val="auto"/>
              </w:rPr>
            </w:pPr>
            <w:r>
              <w:rPr>
                <w:rFonts w:ascii="Arial" w:cs="Arial" w:eastAsia="Arial" w:hAnsi="Arial"/>
                <w:sz w:val="17"/>
                <w:szCs w:val="17"/>
                <w:color w:val="0000FF"/>
                <w:w w:val="97"/>
              </w:rPr>
              <w:t>211,190</w:t>
            </w:r>
          </w:p>
        </w:tc>
        <w:tc>
          <w:tcPr>
            <w:tcW w:w="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2.9883</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1"/>
              </w:rPr>
              <w:t>23,186,890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180" w:type="dxa"/>
            <w:vAlign w:val="bottom"/>
            <w:tcBorders>
              <w:bottom w:val="single" w:sz="8" w:color="2C2C2C"/>
            </w:tcBorders>
            <w:gridSpan w:val="5"/>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$2.95 to $3.00. The Reporting Person undertakes to provide upon request to the SEC staff, the Issuer, or any stockholder of the Issuer, full information regarding the number of shares purchased at each separate price within the range set forth in this footnote.</w:t>
      </w: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2021-12-17T15:40:54Z</dcterms:created>
  <dcterms:modified xsi:type="dcterms:W3CDTF">2021-12-17T15:40:54Z</dcterms:modified>
</cp:coreProperties>
</file>