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387" w:lineRule="exact"/>
        <w:rPr>
          <w:sz w:val="24"/>
          <w:szCs w:val="24"/>
          <w:color w:val="auto"/>
        </w:rPr>
      </w:pPr>
    </w:p>
    <w:p>
      <w:pPr>
        <w:ind w:left="3900" w:right="1540" w:hanging="3635"/>
        <w:spacing w:after="0" w:line="376" w:lineRule="auto"/>
        <w:tabs>
          <w:tab w:leader="none" w:pos="723"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2017</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98" w:lineRule="exact"/>
        <w:rPr>
          <w:sz w:val="24"/>
          <w:szCs w:val="24"/>
          <w:color w:val="auto"/>
        </w:rPr>
      </w:pPr>
    </w:p>
    <w:p>
      <w:pPr>
        <w:ind w:left="720" w:hanging="455"/>
        <w:spacing w:after="0"/>
        <w:tabs>
          <w:tab w:leader="none" w:pos="72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001-37798</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color w:val="auto"/>
        </w:rPr>
        <w:t>Selecta Biosciences, Inc.</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7" w:lineRule="exact"/>
        <w:rPr>
          <w:sz w:val="24"/>
          <w:szCs w:val="24"/>
          <w:color w:val="auto"/>
        </w:rPr>
      </w:pPr>
    </w:p>
    <w:tbl>
      <w:tblPr>
        <w:tblLayout w:type="fixed"/>
        <w:tblInd w:w="540" w:type="dxa"/>
        <w:tblCellMar>
          <w:top w:w="0" w:type="dxa"/>
          <w:left w:w="0" w:type="dxa"/>
          <w:bottom w:w="0" w:type="dxa"/>
          <w:right w:w="0" w:type="dxa"/>
        </w:tblCellMar>
      </w:tblPr>
      <w:tr>
        <w:trPr>
          <w:trHeight w:val="238"/>
        </w:trPr>
        <w:tc>
          <w:tcPr>
            <w:tcW w:w="45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92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26-1622110</w:t>
            </w:r>
          </w:p>
        </w:tc>
      </w:tr>
      <w:tr>
        <w:trPr>
          <w:trHeight w:val="270"/>
        </w:trPr>
        <w:tc>
          <w:tcPr>
            <w:tcW w:w="4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(State or Other Jurisdiction of Incorporation or Organization)</w:t>
            </w:r>
          </w:p>
        </w:tc>
        <w:tc>
          <w:tcPr>
            <w:tcW w:w="492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392"/>
        </w:trPr>
        <w:tc>
          <w:tcPr>
            <w:tcW w:w="45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480 Arsenal Way</w:t>
            </w:r>
          </w:p>
        </w:tc>
        <w:tc>
          <w:tcPr>
            <w:tcW w:w="4920" w:type="dxa"/>
            <w:vAlign w:val="bottom"/>
          </w:tcPr>
          <w:p>
            <w:pPr>
              <w:spacing w:after="0"/>
              <w:rPr>
                <w:sz w:val="24"/>
                <w:szCs w:val="24"/>
                <w:color w:val="auto"/>
              </w:rPr>
            </w:pPr>
          </w:p>
        </w:tc>
      </w:tr>
      <w:tr>
        <w:trPr>
          <w:trHeight w:val="270"/>
        </w:trPr>
        <w:tc>
          <w:tcPr>
            <w:tcW w:w="45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Watertown, MA</w:t>
            </w:r>
          </w:p>
        </w:tc>
        <w:tc>
          <w:tcPr>
            <w:tcW w:w="492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270"/>
        </w:trPr>
        <w:tc>
          <w:tcPr>
            <w:tcW w:w="45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920" w:type="dxa"/>
            <w:vAlign w:val="bottom"/>
          </w:tcPr>
          <w:p>
            <w:pPr>
              <w:jc w:val="center"/>
              <w:ind w:left="2190"/>
              <w:spacing w:after="0"/>
              <w:rPr>
                <w:sz w:val="20"/>
                <w:szCs w:val="20"/>
                <w:color w:val="auto"/>
              </w:rPr>
            </w:pPr>
            <w:r>
              <w:rPr>
                <w:rFonts w:ascii="Times New Roman" w:cs="Times New Roman" w:eastAsia="Times New Roman" w:hAnsi="Times New Roman"/>
                <w:sz w:val="18"/>
                <w:szCs w:val="18"/>
                <w:color w:val="auto"/>
              </w:rPr>
              <w:t>(Zip Code)</w:t>
            </w:r>
          </w:p>
        </w:tc>
      </w:tr>
      <w:tr>
        <w:trPr>
          <w:trHeight w:val="365"/>
        </w:trPr>
        <w:tc>
          <w:tcPr>
            <w:tcW w:w="4540" w:type="dxa"/>
            <w:vAlign w:val="bottom"/>
          </w:tcPr>
          <w:p>
            <w:pPr>
              <w:spacing w:after="0"/>
              <w:rPr>
                <w:sz w:val="24"/>
                <w:szCs w:val="24"/>
                <w:color w:val="auto"/>
              </w:rPr>
            </w:pPr>
          </w:p>
        </w:tc>
        <w:tc>
          <w:tcPr>
            <w:tcW w:w="4920" w:type="dxa"/>
            <w:vAlign w:val="bottom"/>
          </w:tcPr>
          <w:p>
            <w:pPr>
              <w:jc w:val="right"/>
              <w:ind w:right="3690"/>
              <w:spacing w:after="0"/>
              <w:rPr>
                <w:sz w:val="20"/>
                <w:szCs w:val="20"/>
                <w:color w:val="auto"/>
              </w:rPr>
            </w:pPr>
            <w:r>
              <w:rPr>
                <w:rFonts w:ascii="Times New Roman" w:cs="Times New Roman" w:eastAsia="Times New Roman" w:hAnsi="Times New Roman"/>
                <w:sz w:val="18"/>
                <w:szCs w:val="18"/>
                <w:b w:val="1"/>
                <w:bCs w:val="1"/>
                <w:color w:val="auto"/>
              </w:rPr>
              <w:t>617-923-1400</w:t>
            </w:r>
          </w:p>
        </w:tc>
      </w:tr>
    </w:tbl>
    <w:p>
      <w:pPr>
        <w:spacing w:after="0" w:line="1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5" w:lineRule="exact"/>
        <w:rPr>
          <w:sz w:val="24"/>
          <w:szCs w:val="24"/>
          <w:color w:val="auto"/>
        </w:rPr>
      </w:pPr>
    </w:p>
    <w:p>
      <w:pPr>
        <w:ind w:right="480"/>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229" w:right="239" w:bottom="1440" w:gutter="0" w:footer="0" w:header="0"/>
        </w:sectPr>
      </w:pPr>
    </w:p>
    <w:p>
      <w:pPr>
        <w:spacing w:after="0" w:line="101" w:lineRule="exact"/>
        <w:rPr>
          <w:sz w:val="24"/>
          <w:szCs w:val="24"/>
          <w:color w:val="auto"/>
        </w:rPr>
      </w:pPr>
    </w:p>
    <w:p>
      <w:pPr>
        <w:ind w:left="1920"/>
        <w:spacing w:after="0" w:line="184"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7320" w:space="720"/>
            <w:col w:w="3380"/>
          </w:cols>
          <w:pgMar w:left="240" w:top="229" w:right="239" w:bottom="1440" w:gutter="0" w:footer="0" w:header="0"/>
          <w:type w:val="continuous"/>
        </w:sectPr>
      </w:pPr>
    </w:p>
    <w:p>
      <w:pPr>
        <w:ind w:left="1960"/>
        <w:spacing w:after="0" w:line="184"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6980" w:space="720"/>
            <w:col w:w="3720"/>
          </w:cols>
          <w:pgMar w:left="240" w:top="229" w:right="239" w:bottom="1440" w:gutter="0" w:footer="0" w:header="0"/>
          <w:type w:val="continuous"/>
        </w:sectPr>
      </w:pPr>
    </w:p>
    <w:p>
      <w:pPr>
        <w:ind w:left="770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229" w:right="239" w:bottom="1440" w:gutter="0" w:footer="0" w:header="0"/>
          <w:type w:val="continuous"/>
        </w:sectPr>
      </w:pPr>
    </w:p>
    <w:p>
      <w:pPr>
        <w:spacing w:after="0" w:line="202" w:lineRule="exact"/>
        <w:rPr>
          <w:sz w:val="24"/>
          <w:szCs w:val="24"/>
          <w:color w:val="auto"/>
        </w:rPr>
      </w:pPr>
    </w:p>
    <w:p>
      <w:pPr>
        <w:ind w:right="1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right="222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May 5, 2017 the registrant had 18,581,202 shares of common stock, par value $0.0001 per share, outstanding.</w:t>
      </w:r>
    </w:p>
    <w:p>
      <w:pPr>
        <w:sectPr>
          <w:pgSz w:w="11900" w:h="16838" w:orient="portrait"/>
          <w:cols w:equalWidth="0" w:num="1">
            <w:col w:w="11420"/>
          </w:cols>
          <w:pgMar w:left="240" w:top="229"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46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817"/>
        </w:trPr>
        <w:tc>
          <w:tcPr>
            <w:tcW w:w="12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454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74"/>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6880" w:type="dxa"/>
            <w:vAlign w:val="bottom"/>
            <w:gridSpan w:val="6"/>
          </w:tcPr>
          <w:p>
            <w:pPr>
              <w:jc w:val="center"/>
              <w:ind w:right="4140"/>
              <w:spacing w:after="0"/>
              <w:rPr>
                <w:rFonts w:ascii="Times New Roman" w:cs="Times New Roman" w:eastAsia="Times New Roman" w:hAnsi="Times New Roman"/>
                <w:sz w:val="18"/>
                <w:szCs w:val="18"/>
                <w:color w:val="auto"/>
                <w:w w:val="99"/>
              </w:rPr>
            </w:pPr>
            <w:hyperlink w:anchor="page4">
              <w:r>
                <w:rPr>
                  <w:rFonts w:ascii="Times New Roman" w:cs="Times New Roman" w:eastAsia="Times New Roman" w:hAnsi="Times New Roman"/>
                  <w:sz w:val="18"/>
                  <w:szCs w:val="18"/>
                  <w:color w:val="auto"/>
                  <w:w w:val="99"/>
                </w:rPr>
                <w:t xml:space="preserve">Part </w:t>
              </w:r>
            </w:hyperlink>
            <w:r>
              <w:rPr>
                <w:rFonts w:ascii="Times New Roman" w:cs="Times New Roman" w:eastAsia="Times New Roman" w:hAnsi="Times New Roman"/>
                <w:sz w:val="18"/>
                <w:szCs w:val="18"/>
                <w:color w:val="auto"/>
                <w:w w:val="99"/>
              </w:rPr>
              <w:t>I. FINANCIAL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0"/>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2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Statements</w:t>
            </w:r>
          </w:p>
        </w:tc>
        <w:tc>
          <w:tcPr>
            <w:tcW w:w="2740" w:type="dxa"/>
            <w:vAlign w:val="bottom"/>
            <w:tcBorders>
              <w:top w:val="single" w:sz="8" w:color="auto"/>
            </w:tcBorders>
            <w:gridSpan w:val="5"/>
          </w:tcPr>
          <w:p>
            <w:pPr>
              <w:spacing w:after="0"/>
              <w:rPr>
                <w:sz w:val="24"/>
                <w:szCs w:val="24"/>
                <w:color w:val="auto"/>
              </w:rPr>
            </w:pPr>
          </w:p>
        </w:tc>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3</w:t>
              </w:r>
            </w:hyperlink>
          </w:p>
        </w:tc>
      </w:tr>
      <w:tr>
        <w:trPr>
          <w:trHeight w:val="547"/>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Consolidated Balance Sheets as of March 31, 2017 (unaudited) and December 31, 2016</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4">
              <w:r>
                <w:rPr>
                  <w:rFonts w:ascii="Times New Roman" w:cs="Times New Roman" w:eastAsia="Times New Roman" w:hAnsi="Times New Roman"/>
                  <w:sz w:val="18"/>
                  <w:szCs w:val="18"/>
                  <w:color w:val="0000EE"/>
                  <w:w w:val="88"/>
                </w:rPr>
                <w:t>3</w:t>
              </w:r>
            </w:hyperlink>
          </w:p>
        </w:tc>
      </w:tr>
      <w:tr>
        <w:trPr>
          <w:trHeight w:val="547"/>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Consolidated Statements of Operations and Comprehensive Loss for the Three Months ended March 31, 2017 and 2016</w:t>
            </w:r>
          </w:p>
        </w:tc>
        <w:tc>
          <w:tcPr>
            <w:tcW w:w="180" w:type="dxa"/>
            <w:vAlign w:val="bottom"/>
            <w:gridSpan w:val="2"/>
          </w:tcPr>
          <w:p>
            <w:pPr>
              <w:jc w:val="right"/>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4</w:t>
              </w:r>
            </w:hyperlink>
          </w:p>
        </w:tc>
      </w:tr>
      <w:tr>
        <w:trPr>
          <w:trHeight w:val="237"/>
        </w:trPr>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7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(unaudited)</w:t>
            </w:r>
          </w:p>
        </w:tc>
        <w:tc>
          <w:tcPr>
            <w:tcW w:w="80" w:type="dxa"/>
            <w:vAlign w:val="bottom"/>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r>
      <w:tr>
        <w:trPr>
          <w:trHeight w:val="527"/>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Consolidated Statements of Redeemable Convertible Preferred Stock and Stockholders' Equity (Deficit)</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6">
              <w:r>
                <w:rPr>
                  <w:rFonts w:ascii="Times New Roman" w:cs="Times New Roman" w:eastAsia="Times New Roman" w:hAnsi="Times New Roman"/>
                  <w:sz w:val="18"/>
                  <w:szCs w:val="18"/>
                  <w:color w:val="0000EE"/>
                  <w:w w:val="88"/>
                </w:rPr>
                <w:t>5</w:t>
              </w:r>
            </w:hyperlink>
          </w:p>
        </w:tc>
      </w:tr>
      <w:tr>
        <w:trPr>
          <w:trHeight w:val="547"/>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Consolidated Statements of Cash Flows for the Three Months ended March 31, 2017 and 2016 (unaudited)</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7">
              <w:r>
                <w:rPr>
                  <w:rFonts w:ascii="Times New Roman" w:cs="Times New Roman" w:eastAsia="Times New Roman" w:hAnsi="Times New Roman"/>
                  <w:sz w:val="18"/>
                  <w:szCs w:val="18"/>
                  <w:color w:val="0000EE"/>
                  <w:w w:val="88"/>
                </w:rPr>
                <w:t>6</w:t>
              </w:r>
            </w:hyperlink>
          </w:p>
        </w:tc>
      </w:tr>
      <w:tr>
        <w:trPr>
          <w:trHeight w:val="547"/>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7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Notes to Consolidated Financial Statements (unaudited)</w:t>
            </w: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Times New Roman" w:cs="Times New Roman" w:eastAsia="Times New Roman" w:hAnsi="Times New Roman"/>
                <w:sz w:val="18"/>
                <w:szCs w:val="18"/>
                <w:color w:val="0000EE"/>
                <w:w w:val="88"/>
              </w:rPr>
            </w:pPr>
            <w:hyperlink w:anchor="page8">
              <w:r>
                <w:rPr>
                  <w:rFonts w:ascii="Times New Roman" w:cs="Times New Roman" w:eastAsia="Times New Roman" w:hAnsi="Times New Roman"/>
                  <w:sz w:val="18"/>
                  <w:szCs w:val="18"/>
                  <w:color w:val="0000EE"/>
                  <w:w w:val="88"/>
                </w:rPr>
                <w:t>7</w:t>
              </w:r>
            </w:hyperlink>
          </w:p>
        </w:tc>
      </w:tr>
      <w:tr>
        <w:trPr>
          <w:trHeight w:val="547"/>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7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35">
              <w:r>
                <w:rPr>
                  <w:rFonts w:ascii="Times New Roman" w:cs="Times New Roman" w:eastAsia="Times New Roman" w:hAnsi="Times New Roman"/>
                  <w:sz w:val="18"/>
                  <w:szCs w:val="18"/>
                  <w:color w:val="0000EE"/>
                  <w:w w:val="88"/>
                </w:rPr>
                <w:t>33</w:t>
              </w:r>
            </w:hyperlink>
          </w:p>
        </w:tc>
      </w:tr>
      <w:tr>
        <w:trPr>
          <w:trHeight w:val="547"/>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97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41</w:t>
              </w:r>
            </w:hyperlink>
          </w:p>
        </w:tc>
      </w:tr>
      <w:tr>
        <w:trPr>
          <w:trHeight w:val="547"/>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97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Controls and Procedures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3">
              <w:r>
                <w:rPr>
                  <w:rFonts w:ascii="Times New Roman" w:cs="Times New Roman" w:eastAsia="Times New Roman" w:hAnsi="Times New Roman"/>
                  <w:sz w:val="18"/>
                  <w:szCs w:val="18"/>
                  <w:color w:val="0000EE"/>
                  <w:w w:val="88"/>
                </w:rPr>
                <w:t>41</w:t>
              </w:r>
            </w:hyperlink>
          </w:p>
        </w:tc>
      </w:tr>
      <w:tr>
        <w:trPr>
          <w:trHeight w:val="574"/>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720" w:type="dxa"/>
            <w:vAlign w:val="bottom"/>
            <w:gridSpan w:val="5"/>
          </w:tcPr>
          <w:p>
            <w:pPr>
              <w:jc w:val="center"/>
              <w:ind w:right="4300"/>
              <w:spacing w:after="0"/>
              <w:rPr>
                <w:sz w:val="20"/>
                <w:szCs w:val="20"/>
                <w:color w:val="auto"/>
              </w:rPr>
            </w:pPr>
            <w:r>
              <w:rPr>
                <w:rFonts w:ascii="Times New Roman" w:cs="Times New Roman" w:eastAsia="Times New Roman" w:hAnsi="Times New Roman"/>
                <w:sz w:val="18"/>
                <w:szCs w:val="18"/>
                <w:color w:val="auto"/>
                <w:w w:val="98"/>
              </w:rPr>
              <w:t>Part II. OTHER INFORMATION</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74"/>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3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Legal Proceedings</w:t>
            </w:r>
          </w:p>
        </w:tc>
        <w:tc>
          <w:tcPr>
            <w:tcW w:w="2420" w:type="dxa"/>
            <w:vAlign w:val="bottom"/>
            <w:tcBorders>
              <w:top w:val="single" w:sz="8" w:color="auto"/>
            </w:tcBorders>
            <w:gridSpan w:val="3"/>
          </w:tcPr>
          <w:p>
            <w:pPr>
              <w:spacing w:after="0"/>
              <w:rPr>
                <w:sz w:val="24"/>
                <w:szCs w:val="24"/>
                <w:color w:val="auto"/>
              </w:rPr>
            </w:pPr>
          </w:p>
        </w:tc>
        <w:tc>
          <w:tcPr>
            <w:tcW w:w="4300" w:type="dxa"/>
            <w:vAlign w:val="bottom"/>
            <w:gridSpan w:val="2"/>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4">
              <w:r>
                <w:rPr>
                  <w:rFonts w:ascii="Times New Roman" w:cs="Times New Roman" w:eastAsia="Times New Roman" w:hAnsi="Times New Roman"/>
                  <w:sz w:val="18"/>
                  <w:szCs w:val="18"/>
                  <w:color w:val="0000EE"/>
                  <w:w w:val="88"/>
                </w:rPr>
                <w:t>42</w:t>
              </w:r>
            </w:hyperlink>
          </w:p>
        </w:tc>
      </w:tr>
      <w:tr>
        <w:trPr>
          <w:trHeight w:val="574"/>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97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Risk Factors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44">
              <w:r>
                <w:rPr>
                  <w:rFonts w:ascii="Times New Roman" w:cs="Times New Roman" w:eastAsia="Times New Roman" w:hAnsi="Times New Roman"/>
                  <w:sz w:val="18"/>
                  <w:szCs w:val="18"/>
                  <w:color w:val="0000EE"/>
                  <w:w w:val="88"/>
                </w:rPr>
                <w:t>42</w:t>
              </w:r>
            </w:hyperlink>
          </w:p>
        </w:tc>
      </w:tr>
      <w:tr>
        <w:trPr>
          <w:trHeight w:val="547"/>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7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88">
              <w:r>
                <w:rPr>
                  <w:rFonts w:ascii="Times New Roman" w:cs="Times New Roman" w:eastAsia="Times New Roman" w:hAnsi="Times New Roman"/>
                  <w:sz w:val="18"/>
                  <w:szCs w:val="18"/>
                  <w:color w:val="0000EE"/>
                  <w:w w:val="88"/>
                </w:rPr>
                <w:t>83</w:t>
              </w:r>
            </w:hyperlink>
          </w:p>
        </w:tc>
      </w:tr>
      <w:tr>
        <w:trPr>
          <w:trHeight w:val="534"/>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97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88">
              <w:r>
                <w:rPr>
                  <w:rFonts w:ascii="Times New Roman" w:cs="Times New Roman" w:eastAsia="Times New Roman" w:hAnsi="Times New Roman"/>
                  <w:sz w:val="18"/>
                  <w:szCs w:val="18"/>
                  <w:color w:val="0000EE"/>
                  <w:w w:val="88"/>
                </w:rPr>
                <w:t>83</w:t>
              </w:r>
            </w:hyperlink>
          </w:p>
        </w:tc>
      </w:tr>
      <w:tr>
        <w:trPr>
          <w:trHeight w:val="534"/>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97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Mine Safety Disclosures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88">
              <w:r>
                <w:rPr>
                  <w:rFonts w:ascii="Times New Roman" w:cs="Times New Roman" w:eastAsia="Times New Roman" w:hAnsi="Times New Roman"/>
                  <w:sz w:val="18"/>
                  <w:szCs w:val="18"/>
                  <w:color w:val="0000EE"/>
                  <w:w w:val="88"/>
                </w:rPr>
                <w:t>83</w:t>
              </w:r>
            </w:hyperlink>
          </w:p>
        </w:tc>
      </w:tr>
      <w:tr>
        <w:trPr>
          <w:trHeight w:val="534"/>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5.</w:t>
            </w:r>
          </w:p>
        </w:tc>
        <w:tc>
          <w:tcPr>
            <w:tcW w:w="97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Other Information</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88">
              <w:r>
                <w:rPr>
                  <w:rFonts w:ascii="Times New Roman" w:cs="Times New Roman" w:eastAsia="Times New Roman" w:hAnsi="Times New Roman"/>
                  <w:sz w:val="18"/>
                  <w:szCs w:val="18"/>
                  <w:color w:val="0000EE"/>
                  <w:w w:val="88"/>
                </w:rPr>
                <w:t>83</w:t>
              </w:r>
            </w:hyperlink>
          </w:p>
        </w:tc>
      </w:tr>
      <w:tr>
        <w:trPr>
          <w:trHeight w:val="534"/>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976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Exhibits</w:t>
            </w:r>
          </w:p>
        </w:tc>
        <w:tc>
          <w:tcPr>
            <w:tcW w:w="180" w:type="dxa"/>
            <w:vAlign w:val="bottom"/>
            <w:tcBorders>
              <w:bottom w:val="single" w:sz="8" w:color="0000EE"/>
            </w:tcBorders>
            <w:gridSpan w:val="2"/>
          </w:tcPr>
          <w:p>
            <w:pPr>
              <w:jc w:val="right"/>
              <w:spacing w:after="0"/>
              <w:rPr>
                <w:rFonts w:ascii="Times New Roman" w:cs="Times New Roman" w:eastAsia="Times New Roman" w:hAnsi="Times New Roman"/>
                <w:sz w:val="18"/>
                <w:szCs w:val="18"/>
                <w:color w:val="0000EE"/>
                <w:w w:val="88"/>
              </w:rPr>
            </w:pPr>
            <w:hyperlink w:anchor="page89">
              <w:r>
                <w:rPr>
                  <w:rFonts w:ascii="Times New Roman" w:cs="Times New Roman" w:eastAsia="Times New Roman" w:hAnsi="Times New Roman"/>
                  <w:sz w:val="18"/>
                  <w:szCs w:val="18"/>
                  <w:color w:val="0000EE"/>
                  <w:w w:val="88"/>
                </w:rPr>
                <w:t>84</w:t>
              </w:r>
            </w:hyperlink>
          </w:p>
        </w:tc>
      </w:tr>
      <w:tr>
        <w:trPr>
          <w:trHeight w:val="588"/>
        </w:trPr>
        <w:tc>
          <w:tcPr>
            <w:tcW w:w="1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SIGNATURES</w:t>
            </w:r>
          </w:p>
        </w:tc>
        <w:tc>
          <w:tcPr>
            <w:tcW w:w="2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26"/>
        </w:trPr>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20" w:type="dxa"/>
            <w:vAlign w:val="bottom"/>
            <w:gridSpan w:val="4"/>
          </w:tcPr>
          <w:p>
            <w:pPr>
              <w:jc w:val="center"/>
              <w:ind w:left="319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108" w:right="2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0" w:lineRule="exact"/>
        <w:rPr>
          <w:sz w:val="20"/>
          <w:szCs w:val="20"/>
          <w:color w:val="auto"/>
        </w:rPr>
      </w:pPr>
    </w:p>
    <w:p>
      <w:pPr>
        <w:spacing w:after="0" w:line="245"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We intend such forward-looking statements to be covered by the safe harbor provisions for forward-looking statements contained in Section 27A of the Securities Act of 1933 and Section 21E of the Securities Exchange Act of 1934. All statements other than statements of historical facts contained in this Quarterly Report, including statements regarding our future results of operations and financial position, business strategy, prospective products, product approvals, research and development costs, timing and likelihood of success, and the plans and objectives of management for future operations and future results of anticipated products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200" w:lineRule="exact"/>
        <w:rPr>
          <w:sz w:val="20"/>
          <w:szCs w:val="20"/>
          <w:color w:val="auto"/>
        </w:rPr>
      </w:pPr>
    </w:p>
    <w:p>
      <w:pPr>
        <w:spacing w:after="0" w:line="205" w:lineRule="exact"/>
        <w:rPr>
          <w:sz w:val="20"/>
          <w:szCs w:val="20"/>
          <w:color w:val="auto"/>
        </w:rPr>
      </w:pPr>
    </w:p>
    <w:p>
      <w:pPr>
        <w:ind w:firstLine="405"/>
        <w:spacing w:after="0" w:line="255"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factors described under the sections in this Quarterly Report titled “Risk Factors” and “Management’s Discussion and Analysis of Financial Condition and Results of Operations” as well as the following:</w:t>
      </w:r>
    </w:p>
    <w:p>
      <w:pPr>
        <w:spacing w:after="0" w:line="200" w:lineRule="exact"/>
        <w:rPr>
          <w:sz w:val="20"/>
          <w:szCs w:val="20"/>
          <w:color w:val="auto"/>
        </w:rPr>
      </w:pPr>
    </w:p>
    <w:p>
      <w:pPr>
        <w:spacing w:after="0" w:line="205" w:lineRule="exact"/>
        <w:rPr>
          <w:sz w:val="20"/>
          <w:szCs w:val="20"/>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status as a development-stage company and our expectation to incur losses in the future;</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needs and our need to raise additional funds;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build a pipeline of product candidates and develop and commercialize drugs;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unproven approach to therapeutic intervention;</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timely and successfully complete those trials and receive necessary regulatory approvals;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our own manufacturing facilities and to receive or manufacture sufficient quantities of our product candidates;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existing or future collaborations or licenses;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and enforce our intellectual property rights;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state, and foreign regulatory requirements, including FDA regulation of our product candidates;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retain key executives and attract and retain qualified personnel; 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our growth.</w:t>
      </w:r>
    </w:p>
    <w:p>
      <w:pPr>
        <w:spacing w:after="0" w:line="200" w:lineRule="exact"/>
        <w:rPr>
          <w:sz w:val="20"/>
          <w:szCs w:val="20"/>
          <w:color w:val="auto"/>
        </w:rPr>
      </w:pPr>
    </w:p>
    <w:p>
      <w:pPr>
        <w:spacing w:after="0" w:line="241" w:lineRule="exact"/>
        <w:rPr>
          <w:sz w:val="20"/>
          <w:szCs w:val="20"/>
          <w:color w:val="auto"/>
        </w:rPr>
      </w:pPr>
    </w:p>
    <w:p>
      <w:pPr>
        <w:ind w:right="760" w:firstLine="405"/>
        <w:spacing w:after="0" w:line="282" w:lineRule="auto"/>
        <w:rPr>
          <w:sz w:val="20"/>
          <w:szCs w:val="20"/>
          <w:color w:val="auto"/>
        </w:rPr>
      </w:pPr>
      <w:r>
        <w:rPr>
          <w:rFonts w:ascii="Times New Roman" w:cs="Times New Roman" w:eastAsia="Times New Roman" w:hAnsi="Times New Roman"/>
          <w:sz w:val="18"/>
          <w:szCs w:val="18"/>
          <w:color w:val="auto"/>
        </w:rPr>
        <w:t>Moreover, we operate in an evolving environment. New risk factors and uncertainties may emerge from time to time, and it is not possible for management to predict all risk factors and uncertainties.</w:t>
      </w:r>
    </w:p>
    <w:p>
      <w:pPr>
        <w:spacing w:after="0" w:line="378"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ectPr>
          <w:pgSz w:w="11900" w:h="16838" w:orient="portrait"/>
          <w:cols w:equalWidth="0" w:num="1">
            <w:col w:w="11380"/>
          </w:cols>
          <w:pgMar w:left="240" w:top="12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40" w:top="121" w:right="2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 FINANCIAL INFORMATION</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Selecta Biosciences, Inc. and Subsidiaries</w:t>
      </w: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 and par value)</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6"/>
                <w:szCs w:val="16"/>
                <w:color w:val="auto"/>
              </w:rPr>
            </w:pP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75"/>
        </w:trPr>
        <w:tc>
          <w:tcPr>
            <w:tcW w:w="88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55"/>
        </w:trPr>
        <w:tc>
          <w:tcPr>
            <w:tcW w:w="88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assets:</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26,637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58,656</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Short-term deposits and investments</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41,885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25,485</w:t>
            </w: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Restricted cash</w:t>
            </w: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78</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Accounts receivable</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265"/>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2,820</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2,382</w:t>
            </w:r>
          </w:p>
        </w:tc>
        <w:tc>
          <w:tcPr>
            <w:tcW w:w="0" w:type="dxa"/>
            <w:vAlign w:val="bottom"/>
          </w:tcPr>
          <w:p>
            <w:pPr>
              <w:spacing w:after="0"/>
              <w:rPr>
                <w:sz w:val="1"/>
                <w:szCs w:val="1"/>
                <w:color w:val="auto"/>
              </w:rPr>
            </w:pPr>
          </w:p>
        </w:tc>
      </w:tr>
      <w:tr>
        <w:trPr>
          <w:trHeight w:val="21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current assets</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71,486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86,816</w:t>
            </w: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2,047</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Restricted cash and other deposits</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316</w:t>
            </w: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assets</w:t>
            </w:r>
          </w:p>
        </w:tc>
        <w:tc>
          <w:tcPr>
            <w:tcW w:w="18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122</w:t>
            </w:r>
          </w:p>
        </w:tc>
        <w:tc>
          <w:tcPr>
            <w:tcW w:w="0" w:type="dxa"/>
            <w:vAlign w:val="bottom"/>
          </w:tcPr>
          <w:p>
            <w:pPr>
              <w:spacing w:after="0"/>
              <w:rPr>
                <w:sz w:val="1"/>
                <w:szCs w:val="1"/>
                <w:color w:val="auto"/>
              </w:rPr>
            </w:pPr>
          </w:p>
        </w:tc>
      </w:tr>
      <w:tr>
        <w:trPr>
          <w:trHeight w:val="215"/>
        </w:trPr>
        <w:tc>
          <w:tcPr>
            <w:tcW w:w="88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assets</w:t>
            </w: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73,856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89,301</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8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Current liabilities:</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Accounts payable</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1,317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3,882</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Accrued expenses</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5,521</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3,921</w:t>
            </w: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Loans payable, current portion</w:t>
            </w: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4,519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4,067</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revenue, current portion</w:t>
            </w: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1,947</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1,836</w:t>
            </w:r>
          </w:p>
        </w:tc>
        <w:tc>
          <w:tcPr>
            <w:tcW w:w="0" w:type="dxa"/>
            <w:vAlign w:val="bottom"/>
          </w:tcPr>
          <w:p>
            <w:pPr>
              <w:spacing w:after="0"/>
              <w:rPr>
                <w:sz w:val="1"/>
                <w:szCs w:val="1"/>
                <w:color w:val="auto"/>
              </w:rPr>
            </w:pPr>
          </w:p>
        </w:tc>
      </w:tr>
      <w:tr>
        <w:trPr>
          <w:trHeight w:val="210"/>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80" w:type="dxa"/>
            <w:vAlign w:val="bottom"/>
          </w:tcPr>
          <w:p>
            <w:pPr>
              <w:spacing w:after="0"/>
              <w:rPr>
                <w:sz w:val="18"/>
                <w:szCs w:val="18"/>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13,304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13,706</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line="161" w:lineRule="exact"/>
              <w:rPr>
                <w:sz w:val="20"/>
                <w:szCs w:val="20"/>
                <w:color w:val="auto"/>
              </w:rPr>
            </w:pPr>
            <w:r>
              <w:rPr>
                <w:rFonts w:ascii="Times New Roman" w:cs="Times New Roman" w:eastAsia="Times New Roman" w:hAnsi="Times New Roman"/>
                <w:sz w:val="14"/>
                <w:szCs w:val="14"/>
                <w:color w:val="auto"/>
              </w:rPr>
              <w:t>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current liabilities:</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Deferred rent and lease incentive</w:t>
            </w: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222</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Loans payable, net of current portion</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6,867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7,977</w:t>
            </w:r>
          </w:p>
        </w:tc>
        <w:tc>
          <w:tcPr>
            <w:tcW w:w="0" w:type="dxa"/>
            <w:vAlign w:val="bottom"/>
          </w:tcPr>
          <w:p>
            <w:pPr>
              <w:spacing w:after="0"/>
              <w:rPr>
                <w:sz w:val="1"/>
                <w:szCs w:val="1"/>
                <w:color w:val="auto"/>
              </w:rPr>
            </w:pPr>
          </w:p>
        </w:tc>
      </w:tr>
      <w:tr>
        <w:trPr>
          <w:trHeight w:val="265"/>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Deferred revenue, net of current portion</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12,385</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12,439</w:t>
            </w:r>
          </w:p>
        </w:tc>
        <w:tc>
          <w:tcPr>
            <w:tcW w:w="0" w:type="dxa"/>
            <w:vAlign w:val="bottom"/>
          </w:tcPr>
          <w:p>
            <w:pPr>
              <w:spacing w:after="0"/>
              <w:rPr>
                <w:sz w:val="1"/>
                <w:szCs w:val="1"/>
                <w:color w:val="auto"/>
              </w:rPr>
            </w:pPr>
          </w:p>
        </w:tc>
      </w:tr>
      <w:tr>
        <w:trPr>
          <w:trHeight w:val="21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32,766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34,344</w:t>
            </w:r>
          </w:p>
        </w:tc>
        <w:tc>
          <w:tcPr>
            <w:tcW w:w="0" w:type="dxa"/>
            <w:vAlign w:val="bottom"/>
          </w:tcPr>
          <w:p>
            <w:pPr>
              <w:spacing w:after="0"/>
              <w:rPr>
                <w:sz w:val="1"/>
                <w:szCs w:val="1"/>
                <w:color w:val="auto"/>
              </w:rPr>
            </w:pPr>
          </w:p>
        </w:tc>
      </w:tr>
      <w:tr>
        <w:trPr>
          <w:trHeight w:val="24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Commitments and contingencies (Notes 8 and 13)</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Stockholders’ equity:</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8800" w:type="dxa"/>
            <w:vAlign w:val="bottom"/>
          </w:tcPr>
          <w:p>
            <w:pPr>
              <w:ind w:left="40"/>
              <w:spacing w:after="0" w:line="153" w:lineRule="exact"/>
              <w:rPr>
                <w:sz w:val="20"/>
                <w:szCs w:val="20"/>
                <w:color w:val="auto"/>
              </w:rPr>
            </w:pPr>
            <w:r>
              <w:rPr>
                <w:rFonts w:ascii="Times New Roman" w:cs="Times New Roman" w:eastAsia="Times New Roman" w:hAnsi="Times New Roman"/>
                <w:sz w:val="14"/>
                <w:szCs w:val="14"/>
                <w:color w:val="auto"/>
              </w:rPr>
              <w:t>Preferred stock, $0.0001 par value; 10,000,000 shares authorized; no shares issued and outstanding at March 31, 2017 and December 31, 2016,</w:t>
            </w:r>
          </w:p>
        </w:tc>
        <w:tc>
          <w:tcPr>
            <w:tcW w:w="180" w:type="dxa"/>
            <w:vAlign w:val="bottom"/>
          </w:tcPr>
          <w:p>
            <w:pPr>
              <w:spacing w:after="0"/>
              <w:rPr>
                <w:sz w:val="13"/>
                <w:szCs w:val="13"/>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11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respectively.</w:t>
            </w:r>
          </w:p>
        </w:tc>
        <w:tc>
          <w:tcPr>
            <w:tcW w:w="1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8800" w:type="dxa"/>
            <w:vAlign w:val="bottom"/>
            <w:shd w:val="clear" w:color="auto" w:fill="CCEEFF"/>
          </w:tcPr>
          <w:p>
            <w:pPr>
              <w:ind w:left="40"/>
              <w:spacing w:after="0" w:line="158" w:lineRule="exact"/>
              <w:rPr>
                <w:sz w:val="20"/>
                <w:szCs w:val="20"/>
                <w:color w:val="auto"/>
              </w:rPr>
            </w:pPr>
            <w:r>
              <w:rPr>
                <w:rFonts w:ascii="Times New Roman" w:cs="Times New Roman" w:eastAsia="Times New Roman" w:hAnsi="Times New Roman"/>
                <w:sz w:val="14"/>
                <w:szCs w:val="14"/>
                <w:color w:val="auto"/>
              </w:rPr>
              <w:t>Common stock, $0.0001 par value; 200,000,000 shares authorized; 18,552,385 and 18,438,742 shares issued and outstanding as of March 31, 2017 and</w:t>
            </w:r>
          </w:p>
        </w:tc>
        <w:tc>
          <w:tcPr>
            <w:tcW w:w="180" w:type="dxa"/>
            <w:vAlign w:val="bottom"/>
            <w:shd w:val="clear" w:color="auto" w:fill="CCEEFF"/>
          </w:tcPr>
          <w:p>
            <w:pPr>
              <w:spacing w:after="0"/>
              <w:rPr>
                <w:sz w:val="13"/>
                <w:szCs w:val="13"/>
                <w:color w:val="auto"/>
              </w:rPr>
            </w:pPr>
          </w:p>
        </w:tc>
        <w:tc>
          <w:tcPr>
            <w:tcW w:w="108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8"/>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December 31, 2016, respectively.</w:t>
            </w:r>
          </w:p>
        </w:tc>
        <w:tc>
          <w:tcPr>
            <w:tcW w:w="180" w:type="dxa"/>
            <w:vAlign w:val="bottom"/>
            <w:shd w:val="clear" w:color="auto" w:fill="CCEEFF"/>
          </w:tcPr>
          <w:p>
            <w:pPr>
              <w:spacing w:after="0"/>
              <w:rPr>
                <w:sz w:val="17"/>
                <w:szCs w:val="17"/>
                <w:color w:val="auto"/>
              </w:rPr>
            </w:pPr>
          </w:p>
        </w:tc>
        <w:tc>
          <w:tcPr>
            <w:tcW w:w="10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212,249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211,125</w:t>
            </w:r>
          </w:p>
        </w:tc>
        <w:tc>
          <w:tcPr>
            <w:tcW w:w="0" w:type="dxa"/>
            <w:vAlign w:val="bottom"/>
          </w:tcPr>
          <w:p>
            <w:pPr>
              <w:spacing w:after="0"/>
              <w:rPr>
                <w:sz w:val="1"/>
                <w:szCs w:val="1"/>
                <w:color w:val="auto"/>
              </w:rPr>
            </w:pP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Receivable from stock option exercises</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Accumulated deficit</w:t>
            </w:r>
          </w:p>
        </w:tc>
        <w:tc>
          <w:tcPr>
            <w:tcW w:w="18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(166,710)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(151,576)</w:t>
            </w:r>
          </w:p>
        </w:tc>
        <w:tc>
          <w:tcPr>
            <w:tcW w:w="0" w:type="dxa"/>
            <w:vAlign w:val="bottom"/>
          </w:tcPr>
          <w:p>
            <w:pPr>
              <w:spacing w:after="0"/>
              <w:rPr>
                <w:sz w:val="1"/>
                <w:szCs w:val="1"/>
                <w:color w:val="auto"/>
              </w:rPr>
            </w:pPr>
          </w:p>
        </w:tc>
      </w:tr>
      <w:tr>
        <w:trPr>
          <w:trHeight w:val="270"/>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8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(4,380)</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(4,518)</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41,090</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54,957</w:t>
            </w:r>
          </w:p>
        </w:tc>
        <w:tc>
          <w:tcPr>
            <w:tcW w:w="0" w:type="dxa"/>
            <w:vAlign w:val="bottom"/>
          </w:tcPr>
          <w:p>
            <w:pPr>
              <w:spacing w:after="0"/>
              <w:rPr>
                <w:sz w:val="1"/>
                <w:szCs w:val="1"/>
                <w:color w:val="auto"/>
              </w:rPr>
            </w:pPr>
          </w:p>
        </w:tc>
      </w:tr>
      <w:tr>
        <w:trPr>
          <w:trHeight w:val="215"/>
        </w:trPr>
        <w:tc>
          <w:tcPr>
            <w:tcW w:w="88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liabilities, redeemable convertible preferred stock and stockholders’ equity</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73,856</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89,301</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ectPr>
          <w:pgSz w:w="11900" w:h="16838" w:orient="portrait"/>
          <w:cols w:equalWidth="0" w:num="1">
            <w:col w:w="11420"/>
          </w:cols>
          <w:pgMar w:left="240" w:top="121" w:right="239" w:bottom="1440" w:gutter="0" w:footer="0" w:header="0"/>
        </w:sect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Selecta Biosciences, Inc. and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 and Comprehensive Loss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(Amounts in thousands, except share and per share data)</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55"/>
        </w:trPr>
        <w:tc>
          <w:tcPr>
            <w:tcW w:w="85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66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Grant and collaboration revenue</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137</w:t>
            </w:r>
          </w:p>
        </w:tc>
        <w:tc>
          <w:tcPr>
            <w:tcW w:w="10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2,088</w:t>
            </w:r>
          </w:p>
        </w:tc>
        <w:tc>
          <w:tcPr>
            <w:tcW w:w="0" w:type="dxa"/>
            <w:vAlign w:val="bottom"/>
          </w:tcPr>
          <w:p>
            <w:pPr>
              <w:spacing w:after="0"/>
              <w:rPr>
                <w:sz w:val="1"/>
                <w:szCs w:val="1"/>
                <w:color w:val="auto"/>
              </w:rPr>
            </w:pP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Operating expenses: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11,044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6,648</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3,875</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2,381</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14,919</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9,029</w:t>
            </w:r>
          </w:p>
        </w:tc>
        <w:tc>
          <w:tcPr>
            <w:tcW w:w="0" w:type="dxa"/>
            <w:vAlign w:val="bottom"/>
          </w:tcPr>
          <w:p>
            <w:pPr>
              <w:spacing w:after="0"/>
              <w:rPr>
                <w:sz w:val="1"/>
                <w:szCs w:val="1"/>
                <w:color w:val="auto"/>
              </w:rPr>
            </w:pPr>
          </w:p>
        </w:tc>
      </w:tr>
      <w:tr>
        <w:trPr>
          <w:trHeight w:val="25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Loss from operations</w:t>
            </w: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(14,782)</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(6,941)</w:t>
            </w:r>
          </w:p>
        </w:tc>
        <w:tc>
          <w:tcPr>
            <w:tcW w:w="0" w:type="dxa"/>
            <w:vAlign w:val="bottom"/>
          </w:tcPr>
          <w:p>
            <w:pPr>
              <w:spacing w:after="0"/>
              <w:rPr>
                <w:sz w:val="1"/>
                <w:szCs w:val="1"/>
                <w:color w:val="auto"/>
              </w:rPr>
            </w:pPr>
          </w:p>
        </w:tc>
      </w:tr>
      <w:tr>
        <w:trPr>
          <w:trHeight w:val="265"/>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Investment income</w:t>
            </w: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113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Foreign currency transaction gain (loss), net</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(165)</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0" w:type="dxa"/>
            <w:vAlign w:val="bottom"/>
          </w:tcPr>
          <w:p>
            <w:pPr>
              <w:spacing w:after="0"/>
              <w:rPr>
                <w:sz w:val="1"/>
                <w:szCs w:val="1"/>
                <w:color w:val="auto"/>
              </w:rPr>
            </w:pPr>
          </w:p>
        </w:tc>
      </w:tr>
      <w:tr>
        <w:trPr>
          <w:trHeight w:val="265"/>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2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(310)</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expense, net</w:t>
            </w:r>
          </w:p>
        </w:tc>
        <w:tc>
          <w:tcPr>
            <w:tcW w:w="2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26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(15,134)</w:t>
            </w:r>
          </w:p>
        </w:tc>
        <w:tc>
          <w:tcPr>
            <w:tcW w:w="10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(7,476)</w:t>
            </w:r>
          </w:p>
        </w:tc>
        <w:tc>
          <w:tcPr>
            <w:tcW w:w="0" w:type="dxa"/>
            <w:vAlign w:val="bottom"/>
          </w:tcPr>
          <w:p>
            <w:pPr>
              <w:spacing w:after="0"/>
              <w:rPr>
                <w:sz w:val="1"/>
                <w:szCs w:val="1"/>
                <w:color w:val="auto"/>
              </w:rPr>
            </w:pPr>
          </w:p>
        </w:tc>
      </w:tr>
      <w:tr>
        <w:trPr>
          <w:trHeight w:val="269"/>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Other comprehensive loss: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231</w:t>
            </w:r>
          </w:p>
        </w:tc>
        <w:tc>
          <w:tcPr>
            <w:tcW w:w="0" w:type="dxa"/>
            <w:vAlign w:val="bottom"/>
          </w:tcPr>
          <w:p>
            <w:pPr>
              <w:spacing w:after="0"/>
              <w:rPr>
                <w:sz w:val="1"/>
                <w:szCs w:val="1"/>
                <w:color w:val="auto"/>
              </w:rPr>
            </w:pPr>
          </w:p>
        </w:tc>
      </w:tr>
      <w:tr>
        <w:trPr>
          <w:trHeight w:val="198"/>
        </w:trPr>
        <w:tc>
          <w:tcPr>
            <w:tcW w:w="8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Unrealized gain (loss) on securities</w:t>
            </w:r>
          </w:p>
        </w:tc>
        <w:tc>
          <w:tcPr>
            <w:tcW w:w="260" w:type="dxa"/>
            <w:vAlign w:val="bottom"/>
            <w:shd w:val="clear" w:color="auto" w:fill="CCEEFF"/>
          </w:tcPr>
          <w:p>
            <w:pPr>
              <w:spacing w:after="0"/>
              <w:rPr>
                <w:sz w:val="17"/>
                <w:szCs w:val="17"/>
                <w:color w:val="auto"/>
              </w:rPr>
            </w:pPr>
          </w:p>
        </w:tc>
        <w:tc>
          <w:tcPr>
            <w:tcW w:w="11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73"/>
        </w:trPr>
        <w:tc>
          <w:tcPr>
            <w:tcW w:w="8580" w:type="dxa"/>
            <w:vAlign w:val="bottom"/>
            <w:shd w:val="clear" w:color="auto" w:fill="CCEEFF"/>
          </w:tcPr>
          <w:p>
            <w:pPr>
              <w:spacing w:after="0"/>
              <w:rPr>
                <w:sz w:val="6"/>
                <w:szCs w:val="6"/>
                <w:color w:val="auto"/>
              </w:rPr>
            </w:pPr>
          </w:p>
        </w:tc>
        <w:tc>
          <w:tcPr>
            <w:tcW w:w="260" w:type="dxa"/>
            <w:vAlign w:val="bottom"/>
            <w:tcBorders>
              <w:bottom w:val="single" w:sz="8" w:color="auto"/>
            </w:tcBorders>
            <w:shd w:val="clear" w:color="auto" w:fill="CCEEFF"/>
          </w:tcPr>
          <w:p>
            <w:pPr>
              <w:spacing w:after="0"/>
              <w:rPr>
                <w:sz w:val="6"/>
                <w:szCs w:val="6"/>
                <w:color w:val="auto"/>
              </w:rPr>
            </w:pPr>
          </w:p>
        </w:tc>
        <w:tc>
          <w:tcPr>
            <w:tcW w:w="11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40" w:type="dxa"/>
            <w:vAlign w:val="bottom"/>
            <w:tcBorders>
              <w:bottom w:val="single" w:sz="8" w:color="auto"/>
            </w:tcBorders>
            <w:shd w:val="clear" w:color="auto" w:fill="CCEEFF"/>
          </w:tcPr>
          <w:p>
            <w:pPr>
              <w:spacing w:after="0"/>
              <w:rPr>
                <w:sz w:val="6"/>
                <w:szCs w:val="6"/>
                <w:color w:val="auto"/>
              </w:rPr>
            </w:pPr>
          </w:p>
        </w:tc>
        <w:tc>
          <w:tcPr>
            <w:tcW w:w="92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Comprehensive loss</w:t>
            </w: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(14,996)</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(7,245)</w:t>
            </w:r>
          </w:p>
        </w:tc>
        <w:tc>
          <w:tcPr>
            <w:tcW w:w="0" w:type="dxa"/>
            <w:vAlign w:val="bottom"/>
          </w:tcPr>
          <w:p>
            <w:pPr>
              <w:spacing w:after="0"/>
              <w:rPr>
                <w:sz w:val="1"/>
                <w:szCs w:val="1"/>
                <w:color w:val="auto"/>
              </w:rPr>
            </w:pPr>
          </w:p>
        </w:tc>
      </w:tr>
      <w:tr>
        <w:trPr>
          <w:trHeight w:val="25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(15,134)</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(7,476)</w:t>
            </w:r>
          </w:p>
        </w:tc>
        <w:tc>
          <w:tcPr>
            <w:tcW w:w="0" w:type="dxa"/>
            <w:vAlign w:val="bottom"/>
          </w:tcPr>
          <w:p>
            <w:pPr>
              <w:spacing w:after="0"/>
              <w:rPr>
                <w:sz w:val="1"/>
                <w:szCs w:val="1"/>
                <w:color w:val="auto"/>
              </w:rPr>
            </w:pPr>
          </w:p>
        </w:tc>
      </w:tr>
      <w:tr>
        <w:trPr>
          <w:trHeight w:val="265"/>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Accretion of redeemable convertible preferred stock</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0" w:type="dxa"/>
            <w:vAlign w:val="bottom"/>
          </w:tcPr>
          <w:p>
            <w:pPr>
              <w:spacing w:after="0"/>
              <w:rPr>
                <w:sz w:val="1"/>
                <w:szCs w:val="1"/>
                <w:color w:val="auto"/>
              </w:rPr>
            </w:pPr>
          </w:p>
        </w:tc>
      </w:tr>
      <w:tr>
        <w:trPr>
          <w:trHeight w:val="255"/>
        </w:trPr>
        <w:tc>
          <w:tcPr>
            <w:tcW w:w="85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(15,134)</w:t>
            </w:r>
          </w:p>
        </w:tc>
        <w:tc>
          <w:tcPr>
            <w:tcW w:w="100" w:type="dxa"/>
            <w:vAlign w:val="bottom"/>
            <w:tcBorders>
              <w:top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(9,832)</w:t>
            </w:r>
          </w:p>
        </w:tc>
        <w:tc>
          <w:tcPr>
            <w:tcW w:w="0" w:type="dxa"/>
            <w:vAlign w:val="bottom"/>
          </w:tcPr>
          <w:p>
            <w:pPr>
              <w:spacing w:after="0"/>
              <w:rPr>
                <w:sz w:val="1"/>
                <w:szCs w:val="1"/>
                <w:color w:val="auto"/>
              </w:rPr>
            </w:pPr>
          </w:p>
        </w:tc>
      </w:tr>
      <w:tr>
        <w:trPr>
          <w:trHeight w:val="259"/>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 per share attributable to common stockholders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8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 and diluted</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(0.82)</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0" w:type="dxa"/>
            <w:vAlign w:val="bottom"/>
          </w:tcPr>
          <w:p>
            <w:pPr>
              <w:spacing w:after="0"/>
              <w:rPr>
                <w:sz w:val="1"/>
                <w:szCs w:val="1"/>
                <w:color w:val="auto"/>
              </w:rPr>
            </w:pPr>
          </w:p>
        </w:tc>
      </w:tr>
      <w:tr>
        <w:trPr>
          <w:trHeight w:val="259"/>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Weighted average common shares outstanding</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Basic and diluted</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18,474,227</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2,175,037</w:t>
            </w:r>
          </w:p>
        </w:tc>
        <w:tc>
          <w:tcPr>
            <w:tcW w:w="0" w:type="dxa"/>
            <w:vAlign w:val="bottom"/>
          </w:tcPr>
          <w:p>
            <w:pPr>
              <w:spacing w:after="0"/>
              <w:rPr>
                <w:sz w:val="1"/>
                <w:szCs w:val="1"/>
                <w:color w:val="auto"/>
              </w:rPr>
            </w:pPr>
          </w:p>
        </w:tc>
      </w:tr>
    </w:tbl>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21"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3" w:lineRule="exact"/>
        <w:rPr>
          <w:sz w:val="20"/>
          <w:szCs w:val="20"/>
          <w:color w:val="auto"/>
        </w:rPr>
      </w:pPr>
    </w:p>
    <w:p>
      <w:pPr>
        <w:jc w:val="center"/>
        <w:ind w:left="520"/>
        <w:spacing w:after="0"/>
        <w:rPr>
          <w:sz w:val="20"/>
          <w:szCs w:val="20"/>
          <w:color w:val="auto"/>
        </w:rPr>
      </w:pPr>
      <w:r>
        <w:rPr>
          <w:rFonts w:ascii="Times New Roman" w:cs="Times New Roman" w:eastAsia="Times New Roman" w:hAnsi="Times New Roman"/>
          <w:sz w:val="16"/>
          <w:szCs w:val="16"/>
          <w:b w:val="1"/>
          <w:bCs w:val="1"/>
          <w:color w:val="auto"/>
        </w:rPr>
        <w:t>Selecta Biosciences, Inc. and Subsidiaries</w:t>
      </w:r>
    </w:p>
    <w:p>
      <w:pPr>
        <w:spacing w:after="0" w:line="22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Consolidated Statements of Stockholders’ Equity</w:t>
      </w:r>
    </w:p>
    <w:p>
      <w:pPr>
        <w:spacing w:after="0" w:line="221"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6"/>
          <w:szCs w:val="16"/>
          <w:b w:val="1"/>
          <w:bCs w:val="1"/>
          <w:color w:val="auto"/>
        </w:rPr>
        <w:t>(Amounts in thousands, except share data)</w:t>
      </w:r>
    </w:p>
    <w:p>
      <w:pPr>
        <w:spacing w:after="0" w:line="22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ind w:right="1500"/>
        <w:spacing w:after="0"/>
        <w:rPr>
          <w:sz w:val="20"/>
          <w:szCs w:val="20"/>
          <w:color w:val="auto"/>
        </w:rPr>
      </w:pPr>
      <w:r>
        <w:rPr>
          <w:rFonts w:ascii="Times New Roman" w:cs="Times New Roman" w:eastAsia="Times New Roman" w:hAnsi="Times New Roman"/>
          <w:sz w:val="10"/>
          <w:szCs w:val="10"/>
          <w:b w:val="1"/>
          <w:bCs w:val="1"/>
          <w:color w:val="auto"/>
        </w:rPr>
        <w:t>Accumulated</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0"/>
          <w:szCs w:val="10"/>
          <w:color w:val="auto"/>
        </w:rPr>
        <w:t>Balance at December 31, 2016</w:t>
      </w:r>
    </w:p>
    <w:p>
      <w:pPr>
        <w:spacing w:after="0" w:line="155" w:lineRule="exact"/>
        <w:rPr>
          <w:sz w:val="20"/>
          <w:szCs w:val="20"/>
          <w:color w:val="auto"/>
        </w:rPr>
      </w:pPr>
    </w:p>
    <w:p>
      <w:pPr>
        <w:ind w:left="40"/>
        <w:spacing w:after="0" w:line="547" w:lineRule="auto"/>
        <w:rPr>
          <w:sz w:val="20"/>
          <w:szCs w:val="20"/>
          <w:color w:val="auto"/>
        </w:rPr>
      </w:pPr>
      <w:r>
        <w:rPr>
          <w:rFonts w:ascii="Times New Roman" w:cs="Times New Roman" w:eastAsia="Times New Roman" w:hAnsi="Times New Roman"/>
          <w:sz w:val="10"/>
          <w:szCs w:val="10"/>
          <w:color w:val="auto"/>
        </w:rPr>
        <w:t>Issuance of common stock under Employee Stock Purchase Plan Issuance of common stock upon exercise of options</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8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jc w:val="center"/>
              <w:ind w:left="51"/>
              <w:spacing w:after="0"/>
              <w:rPr>
                <w:sz w:val="20"/>
                <w:szCs w:val="20"/>
                <w:color w:val="auto"/>
              </w:rPr>
            </w:pPr>
            <w:r>
              <w:rPr>
                <w:rFonts w:ascii="Times New Roman" w:cs="Times New Roman" w:eastAsia="Times New Roman" w:hAnsi="Times New Roman"/>
                <w:sz w:val="10"/>
                <w:szCs w:val="10"/>
                <w:b w:val="1"/>
                <w:bCs w:val="1"/>
                <w:color w:val="auto"/>
                <w:w w:val="96"/>
              </w:rPr>
              <w:t>Additional</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left="231"/>
              <w:spacing w:after="0"/>
              <w:rPr>
                <w:sz w:val="20"/>
                <w:szCs w:val="20"/>
                <w:color w:val="auto"/>
              </w:rPr>
            </w:pPr>
            <w:r>
              <w:rPr>
                <w:rFonts w:ascii="Times New Roman" w:cs="Times New Roman" w:eastAsia="Times New Roman" w:hAnsi="Times New Roman"/>
                <w:sz w:val="10"/>
                <w:szCs w:val="10"/>
                <w:b w:val="1"/>
                <w:bCs w:val="1"/>
                <w:color w:val="auto"/>
              </w:rPr>
              <w:t>Stock</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6"/>
              </w:rPr>
              <w:t>other</w:t>
            </w: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288"/>
        </w:trPr>
        <w:tc>
          <w:tcPr>
            <w:tcW w:w="1780" w:type="dxa"/>
            <w:vAlign w:val="bottom"/>
            <w:tcBorders>
              <w:bottom w:val="single" w:sz="8" w:color="auto"/>
            </w:tcBorders>
            <w:gridSpan w:val="2"/>
          </w:tcPr>
          <w:p>
            <w:pPr>
              <w:jc w:val="right"/>
              <w:ind w:right="351"/>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jc w:val="center"/>
              <w:ind w:left="51"/>
              <w:spacing w:after="0" w:line="115" w:lineRule="exact"/>
              <w:rPr>
                <w:sz w:val="20"/>
                <w:szCs w:val="20"/>
                <w:color w:val="auto"/>
              </w:rPr>
            </w:pPr>
            <w:r>
              <w:rPr>
                <w:rFonts w:ascii="Times New Roman" w:cs="Times New Roman" w:eastAsia="Times New Roman" w:hAnsi="Times New Roman"/>
                <w:sz w:val="10"/>
                <w:szCs w:val="10"/>
                <w:b w:val="1"/>
                <w:bCs w:val="1"/>
                <w:color w:val="auto"/>
              </w:rPr>
              <w:t>paid</w:t>
            </w:r>
            <w:r>
              <w:rPr>
                <w:rFonts w:ascii="MS PGothic" w:cs="MS PGothic" w:eastAsia="MS PGothic" w:hAnsi="MS PGothic"/>
                <w:sz w:val="10"/>
                <w:szCs w:val="10"/>
                <w:color w:val="auto"/>
                <w:strike w:val="1"/>
              </w:rPr>
              <w:t>‑</w:t>
            </w:r>
            <w:r>
              <w:rPr>
                <w:rFonts w:ascii="Times New Roman" w:cs="Times New Roman" w:eastAsia="Times New Roman" w:hAnsi="Times New Roman"/>
                <w:sz w:val="10"/>
                <w:szCs w:val="10"/>
                <w:b w:val="1"/>
                <w:bCs w:val="1"/>
                <w:color w:val="auto"/>
              </w:rPr>
              <w:t>In</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center"/>
              <w:ind w:left="251"/>
              <w:spacing w:after="0"/>
              <w:rPr>
                <w:sz w:val="20"/>
                <w:szCs w:val="20"/>
                <w:color w:val="auto"/>
              </w:rPr>
            </w:pPr>
            <w:r>
              <w:rPr>
                <w:rFonts w:ascii="Times New Roman" w:cs="Times New Roman" w:eastAsia="Times New Roman" w:hAnsi="Times New Roman"/>
                <w:sz w:val="10"/>
                <w:szCs w:val="10"/>
                <w:b w:val="1"/>
                <w:bCs w:val="1"/>
                <w:color w:val="auto"/>
                <w:w w:val="95"/>
              </w:rPr>
              <w:t>option</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60" w:type="dxa"/>
            <w:vAlign w:val="bottom"/>
          </w:tcPr>
          <w:p>
            <w:pPr>
              <w:spacing w:after="0"/>
              <w:rPr>
                <w:sz w:val="24"/>
                <w:szCs w:val="24"/>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6"/>
              </w:rPr>
              <w:t>comprehensive</w:t>
            </w:r>
          </w:p>
        </w:tc>
        <w:tc>
          <w:tcPr>
            <w:tcW w:w="180" w:type="dxa"/>
            <w:vAlign w:val="bottom"/>
          </w:tcPr>
          <w:p>
            <w:pPr>
              <w:spacing w:after="0"/>
              <w:rPr>
                <w:sz w:val="24"/>
                <w:szCs w:val="24"/>
                <w:color w:val="auto"/>
              </w:rPr>
            </w:pPr>
          </w:p>
        </w:tc>
        <w:tc>
          <w:tcPr>
            <w:tcW w:w="940" w:type="dxa"/>
            <w:vAlign w:val="bottom"/>
          </w:tcPr>
          <w:p>
            <w:pPr>
              <w:jc w:val="right"/>
              <w:ind w:right="211"/>
              <w:spacing w:after="0"/>
              <w:rPr>
                <w:sz w:val="20"/>
                <w:szCs w:val="20"/>
                <w:color w:val="auto"/>
              </w:rPr>
            </w:pPr>
            <w:r>
              <w:rPr>
                <w:rFonts w:ascii="Times New Roman" w:cs="Times New Roman" w:eastAsia="Times New Roman" w:hAnsi="Times New Roman"/>
                <w:sz w:val="10"/>
                <w:szCs w:val="10"/>
                <w:b w:val="1"/>
                <w:bCs w:val="1"/>
                <w:color w:val="auto"/>
              </w:rPr>
              <w:t>Stockholders’</w:t>
            </w:r>
          </w:p>
        </w:tc>
      </w:tr>
      <w:tr>
        <w:trPr>
          <w:trHeight w:val="233"/>
        </w:trPr>
        <w:tc>
          <w:tcPr>
            <w:tcW w:w="880" w:type="dxa"/>
            <w:vAlign w:val="bottom"/>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900" w:type="dxa"/>
            <w:vAlign w:val="bottom"/>
          </w:tcPr>
          <w:p>
            <w:pPr>
              <w:jc w:val="right"/>
              <w:ind w:right="51"/>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jc w:val="center"/>
              <w:ind w:left="51"/>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center"/>
              <w:ind w:left="251"/>
              <w:spacing w:after="0"/>
              <w:rPr>
                <w:sz w:val="20"/>
                <w:szCs w:val="20"/>
                <w:color w:val="auto"/>
              </w:rPr>
            </w:pPr>
            <w:r>
              <w:rPr>
                <w:rFonts w:ascii="Times New Roman" w:cs="Times New Roman" w:eastAsia="Times New Roman" w:hAnsi="Times New Roman"/>
                <w:sz w:val="10"/>
                <w:szCs w:val="10"/>
                <w:b w:val="1"/>
                <w:bCs w:val="1"/>
                <w:color w:val="auto"/>
                <w:w w:val="96"/>
              </w:rPr>
              <w:t>receivable</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0"/>
                <w:szCs w:val="10"/>
                <w:b w:val="1"/>
                <w:bCs w:val="1"/>
                <w:color w:val="auto"/>
              </w:rPr>
              <w:t>deficit</w:t>
            </w:r>
          </w:p>
        </w:tc>
        <w:tc>
          <w:tcPr>
            <w:tcW w:w="16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89"/>
              </w:rPr>
              <w:t>loss</w:t>
            </w:r>
          </w:p>
        </w:tc>
        <w:tc>
          <w:tcPr>
            <w:tcW w:w="180" w:type="dxa"/>
            <w:vAlign w:val="bottom"/>
          </w:tcPr>
          <w:p>
            <w:pPr>
              <w:spacing w:after="0"/>
              <w:rPr>
                <w:sz w:val="20"/>
                <w:szCs w:val="20"/>
                <w:color w:val="auto"/>
              </w:rPr>
            </w:pPr>
          </w:p>
        </w:tc>
        <w:tc>
          <w:tcPr>
            <w:tcW w:w="940" w:type="dxa"/>
            <w:vAlign w:val="bottom"/>
          </w:tcPr>
          <w:p>
            <w:pPr>
              <w:jc w:val="right"/>
              <w:ind w:right="371"/>
              <w:spacing w:after="0"/>
              <w:rPr>
                <w:sz w:val="20"/>
                <w:szCs w:val="20"/>
                <w:color w:val="auto"/>
              </w:rPr>
            </w:pPr>
            <w:r>
              <w:rPr>
                <w:rFonts w:ascii="Times New Roman" w:cs="Times New Roman" w:eastAsia="Times New Roman" w:hAnsi="Times New Roman"/>
                <w:sz w:val="10"/>
                <w:szCs w:val="10"/>
                <w:b w:val="1"/>
                <w:bCs w:val="1"/>
                <w:color w:val="auto"/>
              </w:rPr>
              <w:t>Equity</w:t>
            </w:r>
          </w:p>
        </w:tc>
      </w:tr>
      <w:tr>
        <w:trPr>
          <w:trHeight w:val="24"/>
        </w:trPr>
        <w:tc>
          <w:tcPr>
            <w:tcW w:w="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13"/>
        </w:trPr>
        <w:tc>
          <w:tcPr>
            <w:tcW w:w="8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18,438,742</w:t>
            </w:r>
          </w:p>
        </w:tc>
        <w:tc>
          <w:tcPr>
            <w:tcW w:w="900" w:type="dxa"/>
            <w:vAlign w:val="bottom"/>
          </w:tcPr>
          <w:p>
            <w:pPr>
              <w:jc w:val="right"/>
              <w:ind w:right="731"/>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w:t>
            </w:r>
          </w:p>
        </w:tc>
        <w:tc>
          <w:tcPr>
            <w:tcW w:w="120" w:type="dxa"/>
            <w:vAlign w:val="bottom"/>
          </w:tcPr>
          <w:p>
            <w:pPr>
              <w:spacing w:after="0"/>
              <w:rPr>
                <w:sz w:val="18"/>
                <w:szCs w:val="18"/>
                <w:color w:val="auto"/>
              </w:rPr>
            </w:pPr>
          </w:p>
        </w:tc>
        <w:tc>
          <w:tcPr>
            <w:tcW w:w="220" w:type="dxa"/>
            <w:vAlign w:val="bottom"/>
          </w:tcPr>
          <w:p>
            <w:pPr>
              <w:jc w:val="right"/>
              <w:ind w:right="91"/>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gridSpan w:val="2"/>
          </w:tcPr>
          <w:p>
            <w:pPr>
              <w:jc w:val="right"/>
              <w:ind w:right="71"/>
              <w:spacing w:after="0"/>
              <w:rPr>
                <w:sz w:val="20"/>
                <w:szCs w:val="20"/>
                <w:color w:val="auto"/>
              </w:rPr>
            </w:pPr>
            <w:r>
              <w:rPr>
                <w:rFonts w:ascii="Times New Roman" w:cs="Times New Roman" w:eastAsia="Times New Roman" w:hAnsi="Times New Roman"/>
                <w:sz w:val="10"/>
                <w:szCs w:val="10"/>
                <w:color w:val="auto"/>
              </w:rPr>
              <w:t>211,125</w:t>
            </w:r>
          </w:p>
        </w:tc>
        <w:tc>
          <w:tcPr>
            <w:tcW w:w="120" w:type="dxa"/>
            <w:vAlign w:val="bottom"/>
          </w:tcPr>
          <w:p>
            <w:pPr>
              <w:spacing w:after="0"/>
              <w:rPr>
                <w:sz w:val="18"/>
                <w:szCs w:val="18"/>
                <w:color w:val="auto"/>
              </w:rPr>
            </w:pPr>
          </w:p>
        </w:tc>
        <w:tc>
          <w:tcPr>
            <w:tcW w:w="840" w:type="dxa"/>
            <w:vAlign w:val="bottom"/>
          </w:tcPr>
          <w:p>
            <w:pPr>
              <w:jc w:val="right"/>
              <w:ind w:right="711"/>
              <w:spacing w:after="0"/>
              <w:rPr>
                <w:sz w:val="20"/>
                <w:szCs w:val="20"/>
                <w:color w:val="auto"/>
              </w:rPr>
            </w:pPr>
            <w:r>
              <w:rPr>
                <w:rFonts w:ascii="Times New Roman" w:cs="Times New Roman" w:eastAsia="Times New Roman" w:hAnsi="Times New Roman"/>
                <w:sz w:val="10"/>
                <w:szCs w:val="10"/>
                <w:color w:val="auto"/>
              </w:rPr>
              <w:t>$</w:t>
            </w:r>
          </w:p>
        </w:tc>
        <w:tc>
          <w:tcPr>
            <w:tcW w:w="30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(75)</w:t>
            </w:r>
          </w:p>
        </w:tc>
        <w:tc>
          <w:tcPr>
            <w:tcW w:w="100" w:type="dxa"/>
            <w:vAlign w:val="bottom"/>
          </w:tcPr>
          <w:p>
            <w:pPr>
              <w:spacing w:after="0"/>
              <w:rPr>
                <w:sz w:val="18"/>
                <w:szCs w:val="18"/>
                <w:color w:val="auto"/>
              </w:rPr>
            </w:pPr>
          </w:p>
        </w:tc>
        <w:tc>
          <w:tcPr>
            <w:tcW w:w="1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(151,576)</w:t>
            </w:r>
          </w:p>
        </w:tc>
        <w:tc>
          <w:tcPr>
            <w:tcW w:w="120" w:type="dxa"/>
            <w:vAlign w:val="bottom"/>
          </w:tcPr>
          <w:p>
            <w:pPr>
              <w:spacing w:after="0"/>
              <w:rPr>
                <w:sz w:val="18"/>
                <w:szCs w:val="18"/>
                <w:color w:val="auto"/>
              </w:rPr>
            </w:pPr>
          </w:p>
        </w:tc>
        <w:tc>
          <w:tcPr>
            <w:tcW w:w="16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w w:val="79"/>
              </w:rPr>
              <w:t>$</w:t>
            </w: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0"/>
                <w:szCs w:val="10"/>
                <w:color w:val="auto"/>
              </w:rPr>
              <w:t>(4,518)</w:t>
            </w:r>
          </w:p>
        </w:tc>
        <w:tc>
          <w:tcPr>
            <w:tcW w:w="100" w:type="dxa"/>
            <w:vAlign w:val="bottom"/>
          </w:tcPr>
          <w:p>
            <w:pPr>
              <w:spacing w:after="0"/>
              <w:rPr>
                <w:sz w:val="18"/>
                <w:szCs w:val="18"/>
                <w:color w:val="auto"/>
              </w:rPr>
            </w:pPr>
          </w:p>
        </w:tc>
        <w:tc>
          <w:tcPr>
            <w:tcW w:w="18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54,957</w:t>
            </w:r>
          </w:p>
        </w:tc>
      </w:tr>
      <w:tr>
        <w:trPr>
          <w:trHeight w:val="24"/>
        </w:trPr>
        <w:tc>
          <w:tcPr>
            <w:tcW w:w="8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0"/>
        </w:trPr>
        <w:tc>
          <w:tcPr>
            <w:tcW w:w="8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90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840" w:type="dxa"/>
            <w:vAlign w:val="bottom"/>
          </w:tcPr>
          <w:p>
            <w:pPr>
              <w:spacing w:after="0"/>
              <w:rPr>
                <w:sz w:val="17"/>
                <w:szCs w:val="17"/>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17"/>
                <w:szCs w:val="17"/>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17"/>
                <w:szCs w:val="17"/>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w:t>
            </w:r>
          </w:p>
        </w:tc>
      </w:tr>
      <w:tr>
        <w:trPr>
          <w:trHeight w:val="270"/>
        </w:trPr>
        <w:tc>
          <w:tcPr>
            <w:tcW w:w="8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113,643</w:t>
            </w:r>
          </w:p>
        </w:tc>
        <w:tc>
          <w:tcPr>
            <w:tcW w:w="900" w:type="dxa"/>
            <w:vAlign w:val="bottom"/>
          </w:tcPr>
          <w:p>
            <w:pPr>
              <w:spacing w:after="0"/>
              <w:rPr>
                <w:sz w:val="23"/>
                <w:szCs w:val="23"/>
                <w:color w:val="auto"/>
              </w:rPr>
            </w:pPr>
          </w:p>
        </w:tc>
        <w:tc>
          <w:tcPr>
            <w:tcW w:w="44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2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431</w:t>
            </w: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0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6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180" w:type="dxa"/>
            <w:vAlign w:val="bottom"/>
          </w:tcPr>
          <w:p>
            <w:pPr>
              <w:spacing w:after="0"/>
              <w:rPr>
                <w:sz w:val="23"/>
                <w:szCs w:val="23"/>
                <w:color w:val="auto"/>
              </w:rPr>
            </w:pPr>
          </w:p>
        </w:tc>
        <w:tc>
          <w:tcPr>
            <w:tcW w:w="94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436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-1962785</wp:posOffset>
            </wp:positionH>
            <wp:positionV relativeFrom="paragraph">
              <wp:posOffset>-498475</wp:posOffset>
            </wp:positionV>
            <wp:extent cx="7246620" cy="1714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-1962785</wp:posOffset>
            </wp:positionH>
            <wp:positionV relativeFrom="paragraph">
              <wp:posOffset>-155575</wp:posOffset>
            </wp:positionV>
            <wp:extent cx="724662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26" w:lineRule="exact"/>
        <w:rPr>
          <w:sz w:val="20"/>
          <w:szCs w:val="20"/>
          <w:color w:val="auto"/>
        </w:rPr>
      </w:pPr>
    </w:p>
    <w:p>
      <w:pPr>
        <w:sectPr>
          <w:pgSz w:w="11900" w:h="16838" w:orient="portrait"/>
          <w:cols w:equalWidth="0" w:num="2">
            <w:col w:w="2600" w:space="500"/>
            <w:col w:w="832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100" w:type="dxa"/>
            <w:vAlign w:val="bottom"/>
          </w:tcPr>
          <w:p>
            <w:pPr>
              <w:ind w:left="40"/>
              <w:spacing w:after="0" w:line="115" w:lineRule="exact"/>
              <w:rPr>
                <w:sz w:val="20"/>
                <w:szCs w:val="20"/>
                <w:color w:val="auto"/>
              </w:rPr>
            </w:pPr>
            <w:r>
              <w:rPr>
                <w:rFonts w:ascii="Times New Roman" w:cs="Times New Roman" w:eastAsia="Times New Roman" w:hAnsi="Times New Roman"/>
                <w:sz w:val="10"/>
                <w:szCs w:val="10"/>
                <w:color w:val="auto"/>
              </w:rPr>
              <w:t>Stock</w:t>
            </w:r>
            <w:r>
              <w:rPr>
                <w:rFonts w:ascii="MS PGothic" w:cs="MS PGothic" w:eastAsia="MS PGothic" w:hAnsi="MS PGothic"/>
                <w:sz w:val="10"/>
                <w:szCs w:val="10"/>
                <w:color w:val="auto"/>
              </w:rPr>
              <w:t>‑</w:t>
            </w:r>
            <w:r>
              <w:rPr>
                <w:rFonts w:ascii="Times New Roman" w:cs="Times New Roman" w:eastAsia="Times New Roman" w:hAnsi="Times New Roman"/>
                <w:sz w:val="10"/>
                <w:szCs w:val="10"/>
                <w:color w:val="auto"/>
              </w:rPr>
              <w:t>based compensation expense</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spacing w:after="0"/>
              <w:rPr>
                <w:sz w:val="13"/>
                <w:szCs w:val="13"/>
                <w:color w:val="auto"/>
              </w:rPr>
            </w:pPr>
          </w:p>
        </w:tc>
        <w:tc>
          <w:tcPr>
            <w:tcW w:w="76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693</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spacing w:after="0"/>
              <w:rPr>
                <w:sz w:val="13"/>
                <w:szCs w:val="13"/>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693</w:t>
            </w:r>
          </w:p>
        </w:tc>
      </w:tr>
      <w:tr>
        <w:trPr>
          <w:trHeight w:val="257"/>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Currency translation adjustment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71"/>
              <w:spacing w:after="0"/>
              <w:rPr>
                <w:sz w:val="20"/>
                <w:szCs w:val="20"/>
                <w:color w:val="auto"/>
              </w:rPr>
            </w:pPr>
            <w:r>
              <w:rPr>
                <w:rFonts w:ascii="Times New Roman" w:cs="Times New Roman" w:eastAsia="Times New Roman" w:hAnsi="Times New Roman"/>
                <w:sz w:val="10"/>
                <w:szCs w:val="10"/>
                <w:color w:val="auto"/>
              </w:rPr>
              <w:t>123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123</w:t>
            </w:r>
          </w:p>
        </w:tc>
      </w:tr>
      <w:tr>
        <w:trPr>
          <w:trHeight w:val="246"/>
        </w:trPr>
        <w:tc>
          <w:tcPr>
            <w:tcW w:w="31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Unrealized gains (losses) on securities</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spacing w:after="0"/>
              <w:rPr>
                <w:sz w:val="21"/>
                <w:szCs w:val="21"/>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Pr>
          <w:p>
            <w:pPr>
              <w:spacing w:after="0"/>
              <w:rPr>
                <w:sz w:val="21"/>
                <w:szCs w:val="21"/>
                <w:color w:val="auto"/>
              </w:rPr>
            </w:pPr>
          </w:p>
        </w:tc>
        <w:tc>
          <w:tcPr>
            <w:tcW w:w="720" w:type="dxa"/>
            <w:vAlign w:val="bottom"/>
          </w:tcPr>
          <w:p>
            <w:pPr>
              <w:jc w:val="right"/>
              <w:ind w:right="71"/>
              <w:spacing w:after="0"/>
              <w:rPr>
                <w:sz w:val="20"/>
                <w:szCs w:val="20"/>
                <w:color w:val="auto"/>
              </w:rPr>
            </w:pPr>
            <w:r>
              <w:rPr>
                <w:rFonts w:ascii="Times New Roman" w:cs="Times New Roman" w:eastAsia="Times New Roman" w:hAnsi="Times New Roman"/>
                <w:sz w:val="10"/>
                <w:szCs w:val="10"/>
                <w:color w:val="auto"/>
              </w:rPr>
              <w:t>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20" w:type="dxa"/>
            <w:vAlign w:val="bottom"/>
          </w:tcPr>
          <w:p>
            <w:pPr>
              <w:jc w:val="right"/>
              <w:ind w:right="51"/>
              <w:spacing w:after="0"/>
              <w:rPr>
                <w:sz w:val="20"/>
                <w:szCs w:val="20"/>
                <w:color w:val="auto"/>
              </w:rPr>
            </w:pPr>
            <w:r>
              <w:rPr>
                <w:rFonts w:ascii="Times New Roman" w:cs="Times New Roman" w:eastAsia="Times New Roman" w:hAnsi="Times New Roman"/>
                <w:sz w:val="10"/>
                <w:szCs w:val="10"/>
                <w:color w:val="auto"/>
              </w:rPr>
              <w:t>15</w:t>
            </w:r>
          </w:p>
        </w:tc>
      </w:tr>
      <w:tr>
        <w:trPr>
          <w:trHeight w:val="24"/>
        </w:trPr>
        <w:tc>
          <w:tcPr>
            <w:tcW w:w="3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31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0"/>
                <w:szCs w:val="10"/>
                <w:color w:val="auto"/>
              </w:rPr>
              <w:t>Net loss</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0"/>
                <w:szCs w:val="10"/>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(15,134)</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0"/>
                <w:szCs w:val="10"/>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0"/>
                <w:szCs w:val="10"/>
                <w:color w:val="auto"/>
              </w:rPr>
              <w:t>(15,134)</w:t>
            </w:r>
          </w:p>
        </w:tc>
      </w:tr>
      <w:tr>
        <w:trPr>
          <w:trHeight w:val="231"/>
        </w:trPr>
        <w:tc>
          <w:tcPr>
            <w:tcW w:w="3100" w:type="dxa"/>
            <w:vAlign w:val="bottom"/>
          </w:tcPr>
          <w:p>
            <w:pPr>
              <w:ind w:left="40"/>
              <w:spacing w:after="0"/>
              <w:rPr>
                <w:sz w:val="20"/>
                <w:szCs w:val="20"/>
                <w:color w:val="auto"/>
              </w:rPr>
            </w:pPr>
            <w:r>
              <w:rPr>
                <w:rFonts w:ascii="Times New Roman" w:cs="Times New Roman" w:eastAsia="Times New Roman" w:hAnsi="Times New Roman"/>
                <w:sz w:val="10"/>
                <w:szCs w:val="10"/>
                <w:color w:val="auto"/>
              </w:rPr>
              <w:t>Balance at March 31, 2017</w:t>
            </w:r>
          </w:p>
        </w:tc>
        <w:tc>
          <w:tcPr>
            <w:tcW w:w="8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0"/>
                <w:szCs w:val="10"/>
                <w:color w:val="auto"/>
              </w:rPr>
              <w:t>18,552,385</w:t>
            </w:r>
          </w:p>
        </w:tc>
        <w:tc>
          <w:tcPr>
            <w:tcW w:w="5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color w:val="auto"/>
              </w:rPr>
              <w:t>1</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top w:val="single" w:sz="8" w:color="auto"/>
              <w:bottom w:val="single" w:sz="8" w:color="auto"/>
            </w:tcBorders>
          </w:tcPr>
          <w:p>
            <w:pPr>
              <w:jc w:val="right"/>
              <w:ind w:right="71"/>
              <w:spacing w:after="0"/>
              <w:rPr>
                <w:sz w:val="20"/>
                <w:szCs w:val="20"/>
                <w:color w:val="auto"/>
              </w:rPr>
            </w:pPr>
            <w:r>
              <w:rPr>
                <w:rFonts w:ascii="Times New Roman" w:cs="Times New Roman" w:eastAsia="Times New Roman" w:hAnsi="Times New Roman"/>
                <w:sz w:val="10"/>
                <w:szCs w:val="10"/>
                <w:color w:val="auto"/>
              </w:rPr>
              <w:t>212,249</w:t>
            </w:r>
          </w:p>
        </w:tc>
        <w:tc>
          <w:tcPr>
            <w:tcW w:w="120" w:type="dxa"/>
            <w:vAlign w:val="bottom"/>
          </w:tcPr>
          <w:p>
            <w:pPr>
              <w:spacing w:after="0"/>
              <w:rPr>
                <w:sz w:val="20"/>
                <w:szCs w:val="20"/>
                <w:color w:val="auto"/>
              </w:rPr>
            </w:pPr>
          </w:p>
        </w:tc>
        <w:tc>
          <w:tcPr>
            <w:tcW w:w="480" w:type="dxa"/>
            <w:vAlign w:val="bottom"/>
            <w:tcBorders>
              <w:top w:val="single" w:sz="8" w:color="auto"/>
              <w:bottom w:val="single" w:sz="8" w:color="auto"/>
            </w:tcBorders>
          </w:tcPr>
          <w:p>
            <w:pPr>
              <w:jc w:val="right"/>
              <w:ind w:right="351"/>
              <w:spacing w:after="0"/>
              <w:rPr>
                <w:sz w:val="20"/>
                <w:szCs w:val="20"/>
                <w:color w:val="auto"/>
              </w:rPr>
            </w:pPr>
            <w:r>
              <w:rPr>
                <w:rFonts w:ascii="Times New Roman" w:cs="Times New Roman" w:eastAsia="Times New Roman" w:hAnsi="Times New Roman"/>
                <w:sz w:val="10"/>
                <w:szCs w:val="10"/>
                <w:color w:val="auto"/>
              </w:rPr>
              <w:t>$</w:t>
            </w:r>
          </w:p>
        </w:tc>
        <w:tc>
          <w:tcPr>
            <w:tcW w:w="6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rPr>
              <w:t>(70)</w:t>
            </w:r>
          </w:p>
        </w:tc>
        <w:tc>
          <w:tcPr>
            <w:tcW w:w="10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0"/>
                <w:szCs w:val="10"/>
                <w:color w:val="auto"/>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rPr>
              <w:t>(166,710)</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0"/>
                <w:szCs w:val="10"/>
                <w:color w:val="auto"/>
                <w:w w:val="79"/>
              </w:rPr>
              <w:t>$</w:t>
            </w:r>
          </w:p>
        </w:tc>
        <w:tc>
          <w:tcPr>
            <w:tcW w:w="720" w:type="dxa"/>
            <w:vAlign w:val="bottom"/>
            <w:tcBorders>
              <w:top w:val="single" w:sz="8" w:color="auto"/>
              <w:bottom w:val="single" w:sz="8" w:color="auto"/>
            </w:tcBorders>
          </w:tcPr>
          <w:p>
            <w:pPr>
              <w:jc w:val="right"/>
              <w:ind w:right="31"/>
              <w:spacing w:after="0"/>
              <w:rPr>
                <w:sz w:val="20"/>
                <w:szCs w:val="20"/>
                <w:color w:val="auto"/>
              </w:rPr>
            </w:pPr>
            <w:r>
              <w:rPr>
                <w:rFonts w:ascii="Times New Roman" w:cs="Times New Roman" w:eastAsia="Times New Roman" w:hAnsi="Times New Roman"/>
                <w:sz w:val="10"/>
                <w:szCs w:val="10"/>
                <w:color w:val="auto"/>
              </w:rPr>
              <w:t>(4,380)</w:t>
            </w:r>
          </w:p>
        </w:tc>
        <w:tc>
          <w:tcPr>
            <w:tcW w:w="10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0"/>
                <w:szCs w:val="10"/>
                <w:color w:val="auto"/>
              </w:rPr>
              <w:t>$</w:t>
            </w:r>
          </w:p>
        </w:tc>
        <w:tc>
          <w:tcPr>
            <w:tcW w:w="720" w:type="dxa"/>
            <w:vAlign w:val="bottom"/>
            <w:tcBorders>
              <w:top w:val="single" w:sz="8" w:color="auto"/>
              <w:bottom w:val="single" w:sz="8" w:color="auto"/>
            </w:tcBorders>
          </w:tcPr>
          <w:p>
            <w:pPr>
              <w:jc w:val="right"/>
              <w:ind w:right="51"/>
              <w:spacing w:after="0"/>
              <w:rPr>
                <w:sz w:val="20"/>
                <w:szCs w:val="20"/>
                <w:color w:val="auto"/>
              </w:rPr>
            </w:pPr>
            <w:r>
              <w:rPr>
                <w:rFonts w:ascii="Times New Roman" w:cs="Times New Roman" w:eastAsia="Times New Roman" w:hAnsi="Times New Roman"/>
                <w:sz w:val="10"/>
                <w:szCs w:val="10"/>
                <w:color w:val="auto"/>
              </w:rPr>
              <w:t>41,090</w:t>
            </w:r>
          </w:p>
        </w:tc>
      </w:tr>
      <w:tr>
        <w:trPr>
          <w:trHeight w:val="20"/>
        </w:trPr>
        <w:tc>
          <w:tcPr>
            <w:tcW w:w="3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r>
        <w:rPr>
          <w:rFonts w:ascii="Times New Roman" w:cs="Times New Roman" w:eastAsia="Times New Roman" w:hAnsi="Times New Roman"/>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121" w:right="2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363"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16"/>
          <w:szCs w:val="16"/>
          <w:b w:val="1"/>
          <w:bCs w:val="1"/>
          <w:color w:val="auto"/>
        </w:rPr>
        <w:t>Selecta Biosciences, Inc. and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2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(Amounts in thousands)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5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196"/>
        </w:trPr>
        <w:tc>
          <w:tcPr>
            <w:tcW w:w="8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20" w:type="dxa"/>
            <w:vAlign w:val="bottom"/>
          </w:tcPr>
          <w:p>
            <w:pPr>
              <w:spacing w:after="0"/>
              <w:rPr>
                <w:sz w:val="17"/>
                <w:szCs w:val="17"/>
                <w:color w:val="auto"/>
              </w:rPr>
            </w:pP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5"/>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(15,134)</w:t>
            </w:r>
          </w:p>
        </w:tc>
        <w:tc>
          <w:tcPr>
            <w:tcW w:w="100" w:type="dxa"/>
            <w:vAlign w:val="bottom"/>
          </w:tcPr>
          <w:p>
            <w:pPr>
              <w:spacing w:after="0"/>
              <w:rPr>
                <w:sz w:val="23"/>
                <w:szCs w:val="23"/>
                <w:color w:val="auto"/>
              </w:rPr>
            </w:pPr>
          </w:p>
        </w:tc>
        <w:tc>
          <w:tcPr>
            <w:tcW w:w="44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(7,476)</w:t>
            </w: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5"/>
        </w:trPr>
        <w:tc>
          <w:tcPr>
            <w:tcW w:w="8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Depreciation</w:t>
            </w: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175</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178</w:t>
            </w:r>
          </w:p>
        </w:tc>
      </w:tr>
      <w:tr>
        <w:trPr>
          <w:trHeight w:val="275"/>
        </w:trPr>
        <w:tc>
          <w:tcPr>
            <w:tcW w:w="8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Amortization of premiums and accretion of discounts on investments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65"/>
        </w:trPr>
        <w:tc>
          <w:tcPr>
            <w:tcW w:w="8580" w:type="dxa"/>
            <w:vAlign w:val="bottom"/>
          </w:tcPr>
          <w:p>
            <w:pPr>
              <w:ind w:left="260"/>
              <w:spacing w:after="0" w:line="161" w:lineRule="exact"/>
              <w:rPr>
                <w:sz w:val="20"/>
                <w:szCs w:val="20"/>
                <w:color w:val="auto"/>
              </w:rPr>
            </w:pPr>
            <w:r>
              <w:rPr>
                <w:rFonts w:ascii="Times New Roman" w:cs="Times New Roman" w:eastAsia="Times New Roman" w:hAnsi="Times New Roman"/>
                <w:sz w:val="14"/>
                <w:szCs w:val="14"/>
                <w:color w:val="auto"/>
              </w:rPr>
              <w:t>Stock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based compensation expense</w:t>
            </w: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693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282</w:t>
            </w:r>
          </w:p>
        </w:tc>
      </w:tr>
      <w:tr>
        <w:trPr>
          <w:trHeight w:val="275"/>
        </w:trPr>
        <w:tc>
          <w:tcPr>
            <w:tcW w:w="8580" w:type="dxa"/>
            <w:vAlign w:val="bottom"/>
            <w:shd w:val="clear" w:color="auto" w:fill="CCEEFF"/>
          </w:tcPr>
          <w:p>
            <w:pPr>
              <w:ind w:left="260"/>
              <w:spacing w:after="0" w:line="161" w:lineRule="exact"/>
              <w:rPr>
                <w:sz w:val="20"/>
                <w:szCs w:val="20"/>
                <w:color w:val="auto"/>
              </w:rPr>
            </w:pPr>
            <w:r>
              <w:rPr>
                <w:rFonts w:ascii="Times New Roman" w:cs="Times New Roman" w:eastAsia="Times New Roman" w:hAnsi="Times New Roman"/>
                <w:sz w:val="14"/>
                <w:szCs w:val="14"/>
                <w:color w:val="auto"/>
              </w:rPr>
              <w:t>Non</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cash interest expense</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w:t>
            </w:r>
          </w:p>
        </w:tc>
      </w:tr>
      <w:tr>
        <w:trPr>
          <w:trHeight w:val="265"/>
        </w:trPr>
        <w:tc>
          <w:tcPr>
            <w:tcW w:w="8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Change in fair value of redeemable convertible preferred stock warrant</w:t>
            </w:r>
          </w:p>
        </w:tc>
        <w:tc>
          <w:tcPr>
            <w:tcW w:w="26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20</w:t>
            </w:r>
          </w:p>
        </w:tc>
      </w:tr>
      <w:tr>
        <w:trPr>
          <w:trHeight w:val="275"/>
        </w:trPr>
        <w:tc>
          <w:tcPr>
            <w:tcW w:w="8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5"/>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w:t>
            </w:r>
          </w:p>
        </w:tc>
      </w:tr>
      <w:tr>
        <w:trPr>
          <w:trHeight w:val="27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Prepaid expenses and other assets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(316)</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265"/>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Restricted cash and other deposits</w:t>
            </w:r>
          </w:p>
        </w:tc>
        <w:tc>
          <w:tcPr>
            <w:tcW w:w="2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w:t>
            </w:r>
          </w:p>
        </w:tc>
      </w:tr>
      <w:tr>
        <w:trPr>
          <w:trHeight w:val="275"/>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(2,589)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w:t>
            </w:r>
          </w:p>
        </w:tc>
      </w:tr>
      <w:tr>
        <w:trPr>
          <w:trHeight w:val="265"/>
        </w:trPr>
        <w:tc>
          <w:tcPr>
            <w:tcW w:w="858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Deferred revenue</w:t>
            </w:r>
          </w:p>
        </w:tc>
        <w:tc>
          <w:tcPr>
            <w:tcW w:w="260" w:type="dxa"/>
            <w:vAlign w:val="bottom"/>
          </w:tcPr>
          <w:p>
            <w:pPr>
              <w:spacing w:after="0"/>
              <w:rPr>
                <w:sz w:val="23"/>
                <w:szCs w:val="23"/>
                <w:color w:val="auto"/>
              </w:rPr>
            </w:pP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386</w:t>
            </w:r>
          </w:p>
        </w:tc>
      </w:tr>
      <w:tr>
        <w:trPr>
          <w:trHeight w:val="270"/>
        </w:trPr>
        <w:tc>
          <w:tcPr>
            <w:tcW w:w="858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1,413</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w:t>
            </w:r>
          </w:p>
        </w:tc>
      </w:tr>
      <w:tr>
        <w:trPr>
          <w:trHeight w:val="250"/>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6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(15,319)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(10,166)</w:t>
            </w: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193"/>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Purchase of short term investments</w:t>
            </w:r>
          </w:p>
        </w:tc>
        <w:tc>
          <w:tcPr>
            <w:tcW w:w="260" w:type="dxa"/>
            <w:vAlign w:val="bottom"/>
          </w:tcPr>
          <w:p>
            <w:pPr>
              <w:spacing w:after="0"/>
              <w:rPr>
                <w:sz w:val="16"/>
                <w:szCs w:val="16"/>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(16,474)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(3,412)</w:t>
            </w:r>
          </w:p>
        </w:tc>
      </w:tr>
      <w:tr>
        <w:trPr>
          <w:trHeight w:val="78"/>
        </w:trPr>
        <w:tc>
          <w:tcPr>
            <w:tcW w:w="8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26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2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250"/>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60" w:type="dxa"/>
            <w:vAlign w:val="bottom"/>
          </w:tcPr>
          <w:p>
            <w:pPr>
              <w:spacing w:after="0"/>
              <w:rPr>
                <w:sz w:val="21"/>
                <w:szCs w:val="21"/>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(16,532)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(3,555)</w:t>
            </w: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65"/>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Principle payments on loan payable</w:t>
            </w:r>
          </w:p>
        </w:tc>
        <w:tc>
          <w:tcPr>
            <w:tcW w:w="2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Deferred IPO costs paid</w:t>
            </w:r>
          </w:p>
        </w:tc>
        <w:tc>
          <w:tcPr>
            <w:tcW w:w="26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(1,684)</w:t>
            </w:r>
          </w:p>
        </w:tc>
      </w:tr>
      <w:tr>
        <w:trPr>
          <w:trHeight w:val="265"/>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436</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r>
      <w:tr>
        <w:trPr>
          <w:trHeight w:val="250"/>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2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w:t>
            </w:r>
          </w:p>
        </w:tc>
      </w:tr>
      <w:tr>
        <w:trPr>
          <w:trHeight w:val="250"/>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112</w:t>
            </w:r>
          </w:p>
        </w:tc>
      </w:tr>
      <w:tr>
        <w:trPr>
          <w:trHeight w:val="25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decrease in cash and cash equivalents</w:t>
            </w:r>
          </w:p>
        </w:tc>
        <w:tc>
          <w:tcPr>
            <w:tcW w:w="26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(32,019)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(15,286)</w:t>
            </w:r>
          </w:p>
        </w:tc>
      </w:tr>
      <w:tr>
        <w:trPr>
          <w:trHeight w:val="265"/>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58,656</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32,337</w:t>
            </w:r>
          </w:p>
        </w:tc>
      </w:tr>
      <w:tr>
        <w:trPr>
          <w:trHeight w:val="25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26,637</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6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17,051</w:t>
            </w:r>
          </w:p>
        </w:tc>
      </w:tr>
      <w:tr>
        <w:trPr>
          <w:trHeight w:val="259"/>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paid during the year for:</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243</w:t>
            </w:r>
          </w:p>
        </w:tc>
      </w:tr>
      <w:tr>
        <w:trPr>
          <w:trHeight w:val="260"/>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Supplemental noncash investing and financing activities:</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Purchase of property and equipment not yet paid</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Accrued dividends and accretion of preferred stock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Unrealized gain on marketable securities</w:t>
      </w:r>
    </w:p>
    <w:p>
      <w:pPr>
        <w:spacing w:after="0" w:line="20" w:lineRule="exact"/>
        <w:rPr>
          <w:sz w:val="20"/>
          <w:szCs w:val="20"/>
          <w:color w:val="auto"/>
        </w:rPr>
      </w:pPr>
      <w:r>
        <w:rPr>
          <w:sz w:val="20"/>
          <w:szCs w:val="20"/>
          <w:color w:val="auto"/>
        </w:rPr>
        <w:br w:type="column"/>
      </w:r>
    </w:p>
    <w:p>
      <w:pPr>
        <w:spacing w:after="0" w:line="62" w:lineRule="exact"/>
        <w:rPr>
          <w:sz w:val="20"/>
          <w:szCs w:val="20"/>
          <w:color w:val="auto"/>
        </w:rPr>
      </w:pPr>
    </w:p>
    <w:p>
      <w:pPr>
        <w:spacing w:after="0"/>
        <w:tabs>
          <w:tab w:leader="none" w:pos="1000" w:val="left"/>
          <w:tab w:leader="none" w:pos="1480" w:val="left"/>
          <w:tab w:leader="none" w:pos="25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125</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1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4"/>
          <w:szCs w:val="14"/>
          <w:color w:val="auto"/>
        </w:rPr>
        <w:t>—2,356</w:t>
      </w:r>
    </w:p>
    <w:p>
      <w:pPr>
        <w:spacing w:after="0" w:line="109" w:lineRule="exact"/>
        <w:rPr>
          <w:sz w:val="20"/>
          <w:szCs w:val="20"/>
          <w:color w:val="auto"/>
        </w:rPr>
      </w:pPr>
    </w:p>
    <w:p>
      <w:pPr>
        <w:spacing w:after="0"/>
        <w:tabs>
          <w:tab w:leader="none" w:pos="1080" w:val="left"/>
          <w:tab w:leader="none" w:pos="1480" w:val="left"/>
          <w:tab w:leader="none" w:pos="2540" w:val="left"/>
        </w:tabs>
        <w:rPr>
          <w:sz w:val="20"/>
          <w:szCs w:val="20"/>
          <w:color w:val="auto"/>
        </w:rPr>
      </w:pP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15</w:t>
      </w:r>
      <w:r>
        <w:rPr>
          <w:sz w:val="20"/>
          <w:szCs w:val="20"/>
          <w:color w:val="auto"/>
        </w:rPr>
        <w:tab/>
      </w:r>
      <w:r>
        <w:rPr>
          <w:rFonts w:ascii="Times New Roman" w:cs="Times New Roman" w:eastAsia="Times New Roman" w:hAnsi="Times New Roman"/>
          <w:sz w:val="14"/>
          <w:szCs w:val="14"/>
          <w:color w:val="auto"/>
        </w:rPr>
        <w:t>$</w:t>
      </w:r>
      <w:r>
        <w:rPr>
          <w:sz w:val="20"/>
          <w:szCs w:val="20"/>
          <w:color w:val="auto"/>
        </w:rPr>
        <w:tab/>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ectPr>
          <w:pgSz w:w="11900" w:h="16838" w:orient="portrait"/>
          <w:cols w:equalWidth="0" w:num="2">
            <w:col w:w="7880" w:space="720"/>
            <w:col w:w="2820"/>
          </w:cols>
          <w:pgMar w:left="240" w:top="121" w:right="239" w:bottom="1440" w:gutter="0" w:footer="0" w:header="0"/>
          <w:type w:val="continuous"/>
        </w:sectPr>
      </w:pP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r>
        <w:rPr>
          <w:rFonts w:ascii="Times New Roman" w:cs="Times New Roman" w:eastAsia="Times New Roman" w:hAnsi="Times New Roman"/>
          <w:sz w:val="16"/>
          <w:szCs w:val="16"/>
          <w:b w:val="1"/>
          <w:bCs w:val="1"/>
          <w:color w:val="auto"/>
        </w:rPr>
        <w:t>.</w:t>
      </w: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Selecta Biosciences, Inc. and Subsidiaries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(Year Ended December 31, 2016 and Unaudited Three Months Ended March 31, 2017 and 2016)</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200" w:lineRule="exact"/>
        <w:rPr>
          <w:sz w:val="20"/>
          <w:szCs w:val="20"/>
          <w:color w:val="auto"/>
        </w:rPr>
      </w:pPr>
    </w:p>
    <w:p>
      <w:pPr>
        <w:spacing w:after="0" w:line="24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Selecta Biosciences, Inc. (the “Company”) was incorporated in Delaware on December 10, 2007, and is based in Watertown, Massachusetts. The Company is a biopharmaceutical company dedicated to developing the first generation of nanoparticle immunomodulatory drugs for the treatment and prevention of human diseases. Since inception, the Company has devoted its efforts principally to research and development of its technology and product candidates, recruiting management and technical staff, acquiring operating assets, and raising capital.</w:t>
      </w:r>
    </w:p>
    <w:p>
      <w:pPr>
        <w:spacing w:after="0" w:line="396"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 is subject to risks common to companies in the biotechnology industry including, but not limited to, new technological innovations, protection of proprietary technology, dependence on key personnel, compliance with government regulations and the need to obtain additional financing.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40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Company’s product candidates are in development.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 In addition, the Company is dependent upon the services of its employees and consultants.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21, 2016 the Company completed an initial public offering (the "IPO") of its common stock and issued and sold 5,000,000 shares of common stock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 price to the public of $14.00 per share for net proceeds of $60.8 million after deducting underwriting discounts and commissions and offering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expenses. On July 25, 2016, 289,633 additional shares of the Company’s common stock were sold to the underwriters pursuant to the exercise of their option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purchase additional shares of common stock at a price to the public of $14.00 per share resulting in additional net proceeds of approximately $3.7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deducting underwriting discounts, commissions and offering expenses, bringing the total IPO net proceeds to $64.5 million. Upon the closing of the IPO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27, 2016, all outstanding shares of the Company’s convertible preferred stock automatically converted into 10,126,118 shares of the Company’s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In addition, at this time, the warrants to purchase shares of the Company’s Series D and Series E convertible preferred stock were converted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into warrants to purchase shares of the Company’s common stock.</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200" w:lineRule="exact"/>
        <w:rPr>
          <w:sz w:val="20"/>
          <w:szCs w:val="20"/>
          <w:color w:val="auto"/>
        </w:rPr>
      </w:pPr>
    </w:p>
    <w:p>
      <w:pPr>
        <w:spacing w:after="0" w:line="24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for the three months ended March 31, 2017 and 2016 have been prepared by the Company, pursuant to the rules and regulations of the Securities and Exchange Commission (the “SEC”) for interim financial statements. Certain information and footnote disclosures normally included in financial statements prepared in accordance with accounting principles generally accepted in the United States of America (“GAAP”) have been condensed or omitted pursuant to such rules and regulations. However, the Company believes that the disclosures are adequate to make the information presented not misleading. These consolidated financial statements should be read in conjunction with the Company’s audited consolidated financial statements and the notes thereto for the year ended December 31, 2016 included in the Company’s Annual Report on Form 10-K that was filed with the SEC on March 28, 2017, which we refer to as the 2016 Annual Report on Form 10-K.</w:t>
      </w:r>
    </w:p>
    <w:p>
      <w:pPr>
        <w:spacing w:after="0" w:line="200" w:lineRule="exact"/>
        <w:rPr>
          <w:sz w:val="20"/>
          <w:szCs w:val="20"/>
          <w:color w:val="auto"/>
        </w:rPr>
      </w:pPr>
    </w:p>
    <w:p>
      <w:pPr>
        <w:spacing w:after="0" w:line="205"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unaudited interim financial statements have been prepared on the same basis as the audited consolidated financial statements. In the opinion of management, the accompanying unaudited interim consolidated financial statements contain all adjustments which are necessary for a fair statement of the Company’s financial position as of March 31, 2017 and consolidated results of operations and cash flows for the three months ended March 31, 2017. Such adjustments are of a normal and recurring nature. The results of operations for the three months ended March 31, 2017 are not necessarily indicative of the results of operations that may be expected for the year ending December 31, 2017.</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121" w:right="2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00" w:lineRule="exact"/>
        <w:rPr>
          <w:sz w:val="20"/>
          <w:szCs w:val="20"/>
          <w:color w:val="auto"/>
        </w:rPr>
      </w:pPr>
    </w:p>
    <w:p>
      <w:pPr>
        <w:spacing w:after="0" w:line="24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has incurred losses since inception and negative cash flows from operating activities. As of March 31, 2017 and December 31, 2016, the Company had an accumulated deficit of $166.7 million and $151.6 million, respectively. The Company’s cash and cash equivalents as of March 31, 2017 and December 31, 2016, includes $2.2 million and $2.4 million of unrestricted cash held by its Russian subsidiary. The future success of the Company is dependent upon its ability to obtain additional capital through issuances of equity and debt securities and from collaboration and grant agreements in order to further the development of its technology and product candidates, and ultimately upon its ability to attain profitable operations. There can be no assurance that the Company will be able to obtain the necessary financing to successfully develop and market its product candidates or attain profitability.</w:t>
      </w:r>
    </w:p>
    <w:p>
      <w:pPr>
        <w:spacing w:after="0" w:line="188"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Based on the current operating plan, we expect that our cash, cash equivalents, short-term investments and restricted cash as of March 31, 2017, will fund our operating expenses and capital expenditure requirements into mid-year 2018. We have based this estimate on assumptions that may prove to be wrong, and we could use our capital resources sooner than we currently expect. Additionally, the process of testing product candidates in clinical trials is costly, and the timing of progress in these trials is uncertain. Because our product candidates are in various stages of clinical and preclinical development and the outcome of these efforts is uncertain, we cannot estimate the actual amounts necessary to successfully complete the development and commercialization of our product candidates or whether, or when, we may achieve profitability.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 and Indemnifications</w:t>
      </w:r>
    </w:p>
    <w:p>
      <w:pPr>
        <w:spacing w:after="0" w:line="200" w:lineRule="exact"/>
        <w:rPr>
          <w:sz w:val="20"/>
          <w:szCs w:val="20"/>
          <w:color w:val="auto"/>
        </w:rPr>
      </w:pPr>
    </w:p>
    <w:p>
      <w:pPr>
        <w:spacing w:after="0" w:line="24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As permitted under Delaware law, the Company indemnifies its officers, directors, consultants and employees for certain events or occurrences that happen by reason of the relationship with, or position held at, the Company. Through March 31, 2017, the Company had not experienced any losses related to these indemnification obligations, and no claims were outstanding. The Company does not expect significant claims related to these indemnification obligations and, consequently, concluded that the fair value of these obligations is negligible, and no related reserves were established.</w:t>
      </w:r>
    </w:p>
    <w:p>
      <w:pPr>
        <w:spacing w:after="0" w:line="392" w:lineRule="exact"/>
        <w:rPr>
          <w:sz w:val="20"/>
          <w:szCs w:val="20"/>
          <w:color w:val="auto"/>
        </w:rPr>
      </w:pPr>
    </w:p>
    <w:p>
      <w:pPr>
        <w:ind w:right="7860" w:firstLine="8"/>
        <w:spacing w:after="0" w:line="753" w:lineRule="auto"/>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Principles of Consolidation</w:t>
      </w:r>
    </w:p>
    <w:p>
      <w:pPr>
        <w:spacing w:after="0" w:line="2"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its wholly owned subsidiaries, Selecta RUS, LLC (“Selecta (RUS)”), a Russian limited liability corporation, and Selecta Biosciences Security Corporation, a Massachusetts Security Corporation. All significant intercompany accounts and transactions have been eliminated.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200" w:lineRule="exact"/>
        <w:rPr>
          <w:sz w:val="20"/>
          <w:szCs w:val="20"/>
          <w:color w:val="auto"/>
        </w:rPr>
      </w:pPr>
    </w:p>
    <w:p>
      <w:pPr>
        <w:spacing w:after="0" w:line="24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functional currency of Selecta (RUS) is the Russian ruble. Assets and liabilities of Selecta (RUS) are translated at period-end exchange rates, while revenues and expenses are translated at average exchange rates for the period. Translation gains and losses are reflected in accumulated other comprehensive loss within stockholders’ deficit. Foreign currency transaction gains or losses are reflected in the consolidated statements of operations and comprehensive loss.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00" w:lineRule="exact"/>
        <w:rPr>
          <w:sz w:val="20"/>
          <w:szCs w:val="20"/>
          <w:color w:val="auto"/>
        </w:rPr>
      </w:pPr>
    </w:p>
    <w:p>
      <w:pPr>
        <w:spacing w:after="0" w:line="24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the Company’s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The Company’s management considers many factors in selecting appropriate financial accounting policies and controls, and bases its estimates on historical experience and other market-specific or other relevant assumptions that it believes to be reasonable under the circumstances. In preparing these consolidated financial statements, management used significant estimates in the following areas, among others: revenue recognition, the fair value of common stock and other equity instruments, accounting for stock-based compensation, income taxes, collectability of accounts receivable, useful lives of long-lived assets, accrued expenses, and accounting for project development. The Company assesses the above estimates on an ongoing basis; however, actual results could materially differ from those estimates.</w:t>
      </w:r>
    </w:p>
    <w:p>
      <w:pPr>
        <w:spacing w:after="0" w:line="200" w:lineRule="exact"/>
        <w:rPr>
          <w:sz w:val="20"/>
          <w:szCs w:val="20"/>
          <w:color w:val="auto"/>
        </w:rPr>
      </w:pPr>
    </w:p>
    <w:p>
      <w:pPr>
        <w:spacing w:after="0" w:line="20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management made significant estimates and assumptions in determining the fair value of its common stock for those periods reported prior to the completion of the IPO. The Company utilized various valuation methodologies in accordance with the framework of the 2004 American Institute of Certified Public Accountants’ Technical Practice Aid, Valuation of Privately-</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Held Company Equity Securities Issued as Compensation, to estimate the fair value of its common stock. Each valuation methodology included estimates and assumptions that require the Company’s judgment. These estimates and assumptions included a number of objective and subjective factors, including external market conditions affecting the biotechnology industry sector, the prices at which the Company sold shares of preferred stock, the superior rights and preferences of securities senior to the Company’s common stock at the time and the likelihood of achieving a liquidity event, such as an initial public offering or sale. Significant changes to the key assumptions used in the valuations could result in different fair values of common stock at each valuation date.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200" w:lineRule="exact"/>
        <w:rPr>
          <w:sz w:val="20"/>
          <w:szCs w:val="20"/>
          <w:color w:val="auto"/>
        </w:rPr>
      </w:pPr>
    </w:p>
    <w:p>
      <w:pPr>
        <w:spacing w:after="0" w:line="2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separate discrete financial information is available for evaluation by the chief operating decision maker, the Company’s Chief Executive Officer, in making decisions regarding resource allocation and assessing performance. The Company views its operations and manages its business in one operating segment, the research and development of nanoparticle immunomodulatory drugs for the treatment and prevention of human diseases.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200" w:lineRule="exact"/>
        <w:rPr>
          <w:sz w:val="20"/>
          <w:szCs w:val="20"/>
          <w:color w:val="auto"/>
        </w:rPr>
      </w:pPr>
    </w:p>
    <w:p>
      <w:pPr>
        <w:spacing w:after="0" w:line="245"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connection with the initial public offering, the Company’s Board of Directors and stockholders approved a one-for-3.9 reverse stock split of the Company’s common stock. The reverse stock split became effective June 7, 2016. All share and per share amounts presented have been retroactively adjusted for all periods presented to give effect to this reverse stock split, including reclassifying an amount equal to the reduction in par value of common stock to additional paid-in capital.</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Equivalents and Short Term Investments</w:t>
      </w:r>
    </w:p>
    <w:p>
      <w:pPr>
        <w:spacing w:after="0" w:line="200" w:lineRule="exact"/>
        <w:rPr>
          <w:sz w:val="20"/>
          <w:szCs w:val="20"/>
          <w:color w:val="auto"/>
        </w:rPr>
      </w:pPr>
    </w:p>
    <w:p>
      <w:pPr>
        <w:spacing w:after="0" w:line="245" w:lineRule="exact"/>
        <w:rPr>
          <w:sz w:val="20"/>
          <w:szCs w:val="20"/>
          <w:color w:val="auto"/>
        </w:rPr>
      </w:pPr>
    </w:p>
    <w:p>
      <w:pPr>
        <w:ind w:right="260"/>
        <w:spacing w:after="0" w:line="220" w:lineRule="exact"/>
        <w:rPr>
          <w:sz w:val="20"/>
          <w:szCs w:val="20"/>
          <w:color w:val="auto"/>
        </w:rPr>
      </w:pPr>
      <w:r>
        <w:rPr>
          <w:rFonts w:ascii="Times New Roman" w:cs="Times New Roman" w:eastAsia="Times New Roman" w:hAnsi="Times New Roman"/>
          <w:sz w:val="18"/>
          <w:szCs w:val="18"/>
          <w:color w:val="auto"/>
        </w:rPr>
        <w:t>Cash equivalents include all highly liquid investments maturing within 90 days from the date of purchase. Investments consist of securities with remaining maturities greater than 90 days when purchased. The Company classifies these investments as available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and records them at fair value in the accompanying consolidated balance sheets. Unrealized gains or losses are included in accumulated other comprehensive income (loss). Premiums or discounts from par value are amortized to investment income over the life of the underlying investment.</w:t>
      </w:r>
    </w:p>
    <w:p>
      <w:pPr>
        <w:spacing w:after="0" w:line="200" w:lineRule="exact"/>
        <w:rPr>
          <w:sz w:val="20"/>
          <w:szCs w:val="20"/>
          <w:color w:val="auto"/>
        </w:rPr>
      </w:pPr>
    </w:p>
    <w:p>
      <w:pPr>
        <w:spacing w:after="0" w:line="2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as part of its cash management strategy, may invest in reverse repurchase agreements. All reverse repurchase agreements are tri-party and have maturities of three months or less at the time of investment. These agreements are collateralized by U.S. treasury securities for an amount no less than 102% of their value.</w:t>
      </w:r>
    </w:p>
    <w:p>
      <w:pPr>
        <w:spacing w:after="0" w:line="39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the reporting periods, there were no realized gains or losses on sales of investments, and no investments were adjusted for other than temporary declines in fair value.</w:t>
      </w:r>
    </w:p>
    <w:p>
      <w:pPr>
        <w:spacing w:after="0" w:line="36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Concentrations of Credit Risk and Off</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Balance Sheet Risk</w:t>
      </w:r>
    </w:p>
    <w:p>
      <w:pPr>
        <w:spacing w:after="0" w:line="200" w:lineRule="exact"/>
        <w:rPr>
          <w:sz w:val="20"/>
          <w:szCs w:val="20"/>
          <w:color w:val="auto"/>
        </w:rPr>
      </w:pPr>
    </w:p>
    <w:p>
      <w:pPr>
        <w:spacing w:after="0" w:line="27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primarily of cash, cash equivalents, and accounts receivable. Cash and cash equivalents are deposited with federally insured financial institutions in the United States and may, at times, exceed federally insured limits. Management believes that the financial institutions that hold the Company’s deposits are financially credit worthy and, accordingly, minimal risk exists with respect to those balances. Generally, these deposits may be redeemed upon demand and therefore bear minimal interest rate risk. As an integral part of operating its Russian subsidiary, the Company also maintains cash in Russian bank accounts in denominations of both Russian rubles and U.S. dollars. As of March 31, 2017, the Company maintained approximately $2.3 million in Russian bank accounts, of which $2.2 million was held in U.S. dollars.</w:t>
      </w:r>
    </w:p>
    <w:p>
      <w:pPr>
        <w:spacing w:after="0" w:line="200" w:lineRule="exact"/>
        <w:rPr>
          <w:sz w:val="20"/>
          <w:szCs w:val="20"/>
          <w:color w:val="auto"/>
        </w:rPr>
      </w:pPr>
    </w:p>
    <w:p>
      <w:pPr>
        <w:spacing w:after="0" w:line="204" w:lineRule="exact"/>
        <w:rPr>
          <w:sz w:val="20"/>
          <w:szCs w:val="20"/>
          <w:color w:val="auto"/>
        </w:rPr>
      </w:pPr>
    </w:p>
    <w:p>
      <w:pPr>
        <w:ind w:right="180"/>
        <w:spacing w:after="0" w:line="222" w:lineRule="exact"/>
        <w:rPr>
          <w:sz w:val="20"/>
          <w:szCs w:val="20"/>
          <w:color w:val="auto"/>
        </w:rPr>
      </w:pPr>
      <w:r>
        <w:rPr>
          <w:rFonts w:ascii="Times New Roman" w:cs="Times New Roman" w:eastAsia="Times New Roman" w:hAnsi="Times New Roman"/>
          <w:sz w:val="18"/>
          <w:szCs w:val="18"/>
          <w:color w:val="auto"/>
        </w:rPr>
        <w:t>The Company has minimal credit risk as the majority of accounts receivable relates to amounts due under a government sponsored grant, collaboration with large pharmaceutical companies or grants from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known and supported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profit organizations. The Company did not have any off balance sheet arrangements as of March 31, 2017 and December 31, 2016.</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00" w:lineRule="exact"/>
        <w:rPr>
          <w:sz w:val="20"/>
          <w:szCs w:val="20"/>
          <w:color w:val="auto"/>
        </w:rPr>
      </w:pPr>
    </w:p>
    <w:p>
      <w:pPr>
        <w:spacing w:after="0" w:line="217" w:lineRule="exact"/>
        <w:rPr>
          <w:sz w:val="20"/>
          <w:szCs w:val="20"/>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The Company’s financial instruments consist mainly of cash equivalents,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investments, restricted cash, accounts receivable, accounts payable, loans payable, common stock warrants, and redeemable convertible preferred stock warrants. The</w:t>
      </w:r>
    </w:p>
    <w:p>
      <w:pPr>
        <w:sectPr>
          <w:pgSz w:w="11900" w:h="16838" w:orient="portrait"/>
          <w:cols w:equalWidth="0" w:num="1">
            <w:col w:w="11420"/>
          </w:cols>
          <w:pgMar w:left="240" w:top="121" w:right="239" w:bottom="765"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1" w:right="239" w:bottom="765"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carrying amounts of cash equivalents, short term investments, restricted cash, accounts receivable, and accounts payable approximate their estimated fair value due to their short term maturities. The carrying amount of loans payable approximates their estimated fair value due to the consistency between the prevailing market rates in effect and the effective interest rate of 11.6% for the debt arrangement.</w:t>
      </w:r>
    </w:p>
    <w:p>
      <w:pPr>
        <w:spacing w:after="0" w:line="392" w:lineRule="exact"/>
        <w:rPr>
          <w:sz w:val="20"/>
          <w:szCs w:val="20"/>
          <w:color w:val="auto"/>
        </w:rPr>
      </w:pPr>
    </w:p>
    <w:p>
      <w:pPr>
        <w:ind w:right="260"/>
        <w:spacing w:after="0" w:line="220" w:lineRule="exact"/>
        <w:rPr>
          <w:sz w:val="20"/>
          <w:szCs w:val="20"/>
          <w:color w:val="auto"/>
        </w:rPr>
      </w:pPr>
      <w:r>
        <w:rPr>
          <w:rFonts w:ascii="Times New Roman" w:cs="Times New Roman" w:eastAsia="Times New Roman" w:hAnsi="Times New Roman"/>
          <w:sz w:val="18"/>
          <w:szCs w:val="18"/>
          <w:color w:val="auto"/>
        </w:rPr>
        <w:t>Accounting standards define fair value as the price that would be received to sell an asset or paid to transfer a liability in an orderly transaction between market participants at the measurement date. A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level hierarchy is used to prioritize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are described below:</w:t>
      </w:r>
    </w:p>
    <w:p>
      <w:pPr>
        <w:spacing w:after="0" w:line="200" w:lineRule="exact"/>
        <w:rPr>
          <w:sz w:val="20"/>
          <w:szCs w:val="20"/>
          <w:color w:val="auto"/>
        </w:rPr>
      </w:pPr>
    </w:p>
    <w:p>
      <w:pPr>
        <w:spacing w:after="0" w:line="215" w:lineRule="exact"/>
        <w:rPr>
          <w:sz w:val="20"/>
          <w:szCs w:val="20"/>
          <w:color w:val="auto"/>
        </w:rPr>
      </w:pPr>
    </w:p>
    <w:p>
      <w:pPr>
        <w:ind w:left="660" w:right="240"/>
        <w:spacing w:after="0" w:line="284" w:lineRule="auto"/>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—Level 1 inputs are quoted prices in active markets for identical assets or liabilities that the reporting entity has the ability to access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spacing w:after="0" w:line="374" w:lineRule="exact"/>
        <w:rPr>
          <w:sz w:val="20"/>
          <w:szCs w:val="20"/>
          <w:color w:val="auto"/>
        </w:rPr>
      </w:pPr>
    </w:p>
    <w:p>
      <w:pPr>
        <w:ind w:left="660" w:right="140"/>
        <w:spacing w:after="0" w:line="267"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indirectly. If the asset or liability has a specified (contractual) term, a Level 2 input must be observable for substantially the full term of the asset or liability.</w:t>
      </w:r>
    </w:p>
    <w:p>
      <w:pPr>
        <w:spacing w:after="0" w:line="390" w:lineRule="exact"/>
        <w:rPr>
          <w:sz w:val="20"/>
          <w:szCs w:val="20"/>
          <w:color w:val="auto"/>
        </w:rPr>
      </w:pPr>
    </w:p>
    <w:p>
      <w:pPr>
        <w:ind w:left="660" w:right="100"/>
        <w:spacing w:after="0" w:line="284" w:lineRule="auto"/>
        <w:rPr>
          <w:sz w:val="20"/>
          <w:szCs w:val="20"/>
          <w:color w:val="auto"/>
        </w:rPr>
      </w:pPr>
      <w:r>
        <w:rPr>
          <w:rFonts w:ascii="Times New Roman" w:cs="Times New Roman" w:eastAsia="Times New Roman" w:hAnsi="Times New Roman"/>
          <w:sz w:val="18"/>
          <w:szCs w:val="18"/>
          <w:i w:val="1"/>
          <w:iCs w:val="1"/>
          <w:color w:val="auto"/>
        </w:rPr>
        <w:t>Level 3</w:t>
      </w:r>
      <w:r>
        <w:rPr>
          <w:rFonts w:ascii="Times New Roman" w:cs="Times New Roman" w:eastAsia="Times New Roman" w:hAnsi="Times New Roman"/>
          <w:sz w:val="18"/>
          <w:szCs w:val="18"/>
          <w:color w:val="auto"/>
        </w:rPr>
        <w:t>—Level 3 inputs are unobservable inputs for the asset or liability in which there is little, if any, market activity for the asset or liability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 date.</w:t>
      </w:r>
    </w:p>
    <w:p>
      <w:pPr>
        <w:spacing w:after="0" w:line="3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To the extent that a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 The fair value of the Company's loan payable was determined using Level 3 inputs.</w:t>
      </w:r>
    </w:p>
    <w:p>
      <w:pPr>
        <w:spacing w:after="0" w:line="367" w:lineRule="exact"/>
        <w:rPr>
          <w:sz w:val="20"/>
          <w:szCs w:val="20"/>
          <w:color w:val="auto"/>
        </w:rPr>
      </w:pPr>
    </w:p>
    <w:p>
      <w:pPr>
        <w:ind w:right="160"/>
        <w:spacing w:after="0" w:line="224" w:lineRule="exact"/>
        <w:rPr>
          <w:sz w:val="20"/>
          <w:szCs w:val="20"/>
          <w:color w:val="auto"/>
        </w:rPr>
      </w:pPr>
      <w:r>
        <w:rPr>
          <w:rFonts w:ascii="Times New Roman" w:cs="Times New Roman" w:eastAsia="Times New Roman" w:hAnsi="Times New Roman"/>
          <w:sz w:val="18"/>
          <w:szCs w:val="18"/>
          <w:color w:val="auto"/>
        </w:rPr>
        <w:t>Fair value is a market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measure considered from the perspective of a market participant rather than an entity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measure. Therefore, even when market assumptions are not readily available, the Company’s own assumptions are set to reflect those that market participants would use in pricing the asset or liability at the measurement date. The Company uses prices and inputs that are current as of the measurement date, including during periods of market dislocation. In periods of market dislocation, the observability of prices and inputs may change for many instruments. This condition could cause an instrument to be reclassified within levels in the fair value hierarchy. There were no transfers within the fair value hierarchy during the three months ended March 31, 2017 or the year ended December 31, 2016.</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00" w:lineRule="exact"/>
        <w:rPr>
          <w:sz w:val="20"/>
          <w:szCs w:val="20"/>
          <w:color w:val="auto"/>
        </w:rPr>
      </w:pPr>
    </w:p>
    <w:p>
      <w:pPr>
        <w:spacing w:after="0" w:line="217" w:lineRule="exact"/>
        <w:rPr>
          <w:sz w:val="20"/>
          <w:szCs w:val="20"/>
          <w:color w:val="auto"/>
        </w:rPr>
      </w:pPr>
    </w:p>
    <w:p>
      <w:pPr>
        <w:ind w:right="140"/>
        <w:spacing w:after="0" w:line="226" w:lineRule="exact"/>
        <w:rPr>
          <w:sz w:val="20"/>
          <w:szCs w:val="20"/>
          <w:color w:val="auto"/>
        </w:rPr>
      </w:pPr>
      <w:r>
        <w:rPr>
          <w:rFonts w:ascii="Times New Roman" w:cs="Times New Roman" w:eastAsia="Times New Roman" w:hAnsi="Times New Roman"/>
          <w:sz w:val="18"/>
          <w:szCs w:val="18"/>
          <w:color w:val="auto"/>
        </w:rPr>
        <w:t>Property and equipment are recorded at cost and depreciated using the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method over the estimated useful lives of the respective assets, generally seven years for furniture, five years for equipment and three years for computer and office equipment. Leasehold improvements are amortized over their useful life or the life of the lease, whichever is shorter. Major additions and betterments are capitalized. Maintenance and repairs, which do not improve or extend the life of the respective assets, are charged to operations as incurred. Costs incurred for construction in progress are recorded as assets and are not amortized until the construction is substantially complete and the assets are ready for their intended use.</w:t>
      </w:r>
    </w:p>
    <w:p>
      <w:pPr>
        <w:spacing w:after="0" w:line="38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Impairment of Long</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Lived Assets</w:t>
      </w:r>
    </w:p>
    <w:p>
      <w:pPr>
        <w:spacing w:after="0" w:line="200" w:lineRule="exact"/>
        <w:rPr>
          <w:sz w:val="20"/>
          <w:szCs w:val="20"/>
          <w:color w:val="auto"/>
        </w:rPr>
      </w:pPr>
    </w:p>
    <w:p>
      <w:pPr>
        <w:spacing w:after="0" w:line="241" w:lineRule="exact"/>
        <w:rPr>
          <w:sz w:val="20"/>
          <w:szCs w:val="20"/>
          <w:color w:val="auto"/>
        </w:rPr>
      </w:pPr>
    </w:p>
    <w:p>
      <w:pPr>
        <w:ind w:right="140"/>
        <w:spacing w:after="0" w:line="224" w:lineRule="exact"/>
        <w:rPr>
          <w:sz w:val="20"/>
          <w:szCs w:val="20"/>
          <w:color w:val="auto"/>
        </w:rPr>
      </w:pPr>
      <w:r>
        <w:rPr>
          <w:rFonts w:ascii="Times New Roman" w:cs="Times New Roman" w:eastAsia="Times New Roman" w:hAnsi="Times New Roman"/>
          <w:sz w:val="18"/>
          <w:szCs w:val="18"/>
          <w:color w:val="auto"/>
        </w:rPr>
        <w:t>The Company periodically evaluates its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lived assets for potential impairment. Impairment is assessed when there is evidence that events or changes in circumstances indicate that the carrying amount of an asset may not be recovered. Recoverability of these assets is assessed based on undiscounted expected future cash flows from the assets, considering a number of factors, including past operating results, budgets and economic projections, market trends, and product development cycles. Impairment in the carrying value of each asset is assessed when the undiscounted expected future cash flows derived from the asset are less than their carrying value. The Company did not recognize any impairment charges during the three months ended March 31, 2017 and March 31, 2016.</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00" w:lineRule="exact"/>
        <w:rPr>
          <w:sz w:val="20"/>
          <w:szCs w:val="20"/>
          <w:color w:val="auto"/>
        </w:rPr>
      </w:pPr>
    </w:p>
    <w:p>
      <w:pPr>
        <w:spacing w:after="0" w:line="245"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Debt issuance costs and fees paid to lenders are recorded as a direct deduction from the face amount of the related debt. Debt issuance costs are accounted for as additional debt discount and are amortized over the term of the related debt using the interest method and recorded as interest expense. Costs and fees paid to third parties are expensed as incurred.</w:t>
      </w:r>
    </w:p>
    <w:p>
      <w:pPr>
        <w:sectPr>
          <w:pgSz w:w="11900" w:h="16838" w:orient="portrait"/>
          <w:cols w:equalWidth="0" w:num="1">
            <w:col w:w="11400"/>
          </w:cols>
          <w:pgMar w:left="240" w:top="121" w:right="259" w:bottom="765"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00"/>
          </w:cols>
          <w:pgMar w:left="240" w:top="121" w:right="259" w:bottom="765"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net of tax, were as follows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20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Foreign exchange translation</w:t>
            </w:r>
          </w:p>
        </w:tc>
        <w:tc>
          <w:tcPr>
            <w:tcW w:w="120" w:type="dxa"/>
            <w:vAlign w:val="bottom"/>
          </w:tcPr>
          <w:p>
            <w:pPr>
              <w:spacing w:after="0"/>
              <w:rPr>
                <w:sz w:val="13"/>
                <w:szCs w:val="13"/>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Unrealized gains (losses) on</w:t>
            </w:r>
          </w:p>
        </w:tc>
        <w:tc>
          <w:tcPr>
            <w:tcW w:w="240" w:type="dxa"/>
            <w:vAlign w:val="bottom"/>
          </w:tcPr>
          <w:p>
            <w:pPr>
              <w:spacing w:after="0"/>
              <w:rPr>
                <w:sz w:val="13"/>
                <w:szCs w:val="13"/>
                <w:color w:val="auto"/>
              </w:rPr>
            </w:pPr>
          </w:p>
        </w:tc>
        <w:tc>
          <w:tcPr>
            <w:tcW w:w="168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Accumulated other</w:t>
            </w:r>
          </w:p>
        </w:tc>
      </w:tr>
      <w:tr>
        <w:trPr>
          <w:trHeight w:val="195"/>
        </w:trPr>
        <w:tc>
          <w:tcPr>
            <w:tcW w:w="5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16"/>
                <w:szCs w:val="16"/>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192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comprehensive income (loss)</w:t>
            </w:r>
          </w:p>
        </w:tc>
      </w:tr>
      <w:tr>
        <w:trPr>
          <w:trHeight w:val="255"/>
        </w:trPr>
        <w:tc>
          <w:tcPr>
            <w:tcW w:w="538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at December 31, 2016</w:t>
            </w: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(4,482)</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(4,518)</w:t>
            </w:r>
          </w:p>
        </w:tc>
      </w:tr>
      <w:tr>
        <w:trPr>
          <w:trHeight w:val="265"/>
        </w:trPr>
        <w:tc>
          <w:tcPr>
            <w:tcW w:w="53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Other comprehensive gain (loss) during the period</w:t>
            </w:r>
          </w:p>
        </w:tc>
        <w:tc>
          <w:tcPr>
            <w:tcW w:w="3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138</w:t>
            </w:r>
          </w:p>
        </w:tc>
      </w:tr>
      <w:tr>
        <w:trPr>
          <w:trHeight w:val="242"/>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Balance at March 31, 2017</w:t>
            </w:r>
          </w:p>
        </w:tc>
        <w:tc>
          <w:tcPr>
            <w:tcW w:w="360" w:type="dxa"/>
            <w:vAlign w:val="bottom"/>
            <w:tcBorders>
              <w:bottom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(4,359)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(4,380)</w:t>
            </w:r>
          </w:p>
        </w:tc>
      </w:tr>
      <w:tr>
        <w:trPr>
          <w:trHeight w:val="20"/>
        </w:trPr>
        <w:tc>
          <w:tcPr>
            <w:tcW w:w="5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Comprehensive income (loss) is the total net earnings and all other non-owner changes in equity. Except for net income and unrealized gains and losses on available-for-sale securities and foreign exchange translation adjustments, the Company does not have any transactions or other economic events that qualify as comprehensive income (loss). There were no reclassifications out of accumulated other comprehensive income or loss as well as no tax effect for the period presented.</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00" w:lineRule="exact"/>
        <w:rPr>
          <w:sz w:val="20"/>
          <w:szCs w:val="20"/>
          <w:color w:val="auto"/>
        </w:rPr>
      </w:pPr>
    </w:p>
    <w:p>
      <w:pPr>
        <w:spacing w:after="0" w:line="24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 xml:space="preserve">The Company’s revenue is primarily generated from research grants in both the United States and Russia, and, prior to its termination, a license and research collaboration agreement with Sanofi. The Company recognizes revenue in accordance with ASC Topic 605,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Accordingly, revenue is recognized when all of the following criteria are met:</w:t>
      </w:r>
    </w:p>
    <w:p>
      <w:pPr>
        <w:spacing w:after="0" w:line="392" w:lineRule="exact"/>
        <w:rPr>
          <w:sz w:val="20"/>
          <w:szCs w:val="20"/>
          <w:color w:val="auto"/>
        </w:rPr>
      </w:pPr>
    </w:p>
    <w:p>
      <w:pPr>
        <w:ind w:left="240" w:hanging="232"/>
        <w:spacing w:after="0"/>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Persuasive evidence of an arrangement exists;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has occurred or services have been rendered;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seller’s price to the buyer is fixed or determinable; 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Collectability is reasonably assured.</w:t>
      </w:r>
    </w:p>
    <w:p>
      <w:pPr>
        <w:spacing w:after="0" w:line="200" w:lineRule="exact"/>
        <w:rPr>
          <w:sz w:val="20"/>
          <w:szCs w:val="20"/>
          <w:color w:val="auto"/>
        </w:rPr>
      </w:pPr>
    </w:p>
    <w:p>
      <w:pPr>
        <w:spacing w:after="0" w:line="241"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Amounts received prior to satisfying the revenue recognition criteria are recognized as deferred revenue in the Company’s consolidated balance sheets. Amounts expected to be recognized as revenue within the 12 months following the balance sheet date are classified as deferred revenue, current portion. Amounts not expected to be recognized as revenue within the 12 months following the balance sheet date are classified as deferred revenue, net of current portion.</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Revenue</w:t>
      </w:r>
    </w:p>
    <w:p>
      <w:pPr>
        <w:spacing w:after="0" w:line="22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 enters into collaborative arrangements for the development and commercialization of product candidates utilizing Company’s Synthetic Vaccine Particles (SVP™) technology. The terms of these agreements contain multiple deliverables which may include (i) licenses, or options to obtain licenses, to our technology platforms, (ii) rights to future technological improvements, (iii) research and development activities to be performed on behalf of the collaborative partner or as part of the collaboration, (iv) the manufacture of pre-clinical or clinical materials for the collaborative partner, and (v) options to acquire licenses for additional therapeutic areas. Payments to the Company under these agreements may include nonrefundable license fees, option fees, exercise fees, payments for research and development activities, payments for the manufacture of preclinical or clinical materials, payments based upon the achievement of certain milestones and royalties on product sales.</w:t>
      </w:r>
    </w:p>
    <w:p>
      <w:pPr>
        <w:spacing w:after="0" w:line="32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When evaluating multiple element arrangements such as the agreements discussed in Note 13, the Company considers whether the deliverables under the arrangement represent separate units of accounting. This evaluation requires subjective determinations and requires management to make judgments about the individual deliverables and whether such deliverables are separable from the other aspects of the contractual relationship. In determining the units of accounting, management evaluates certain criteria, including whether the deliverables have standalone value, based on the consideration of the relevant facts and circumstances for each arrangement. The consideration received is allocated among the separate units of accounting using the relative selling price method, and the applicable revenue recognition criteria are applied to each of the separate units.</w:t>
      </w:r>
    </w:p>
    <w:p>
      <w:pPr>
        <w:spacing w:after="0" w:line="159" w:lineRule="exact"/>
        <w:rPr>
          <w:sz w:val="20"/>
          <w:szCs w:val="20"/>
          <w:color w:val="auto"/>
        </w:rPr>
      </w:pPr>
    </w:p>
    <w:p>
      <w:pPr>
        <w:ind w:right="260"/>
        <w:spacing w:after="0" w:line="228" w:lineRule="exact"/>
        <w:rPr>
          <w:sz w:val="20"/>
          <w:szCs w:val="20"/>
          <w:color w:val="auto"/>
        </w:rPr>
      </w:pPr>
      <w:r>
        <w:rPr>
          <w:rFonts w:ascii="Times New Roman" w:cs="Times New Roman" w:eastAsia="Times New Roman" w:hAnsi="Times New Roman"/>
          <w:sz w:val="18"/>
          <w:szCs w:val="18"/>
          <w:color w:val="auto"/>
        </w:rPr>
        <w:t>The Company determines the estimated selling price for deliverables within each agreement using vendor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objective evidence (“VSOE”) of selling price, if available,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evidence (“TPE”) of selling price if VSOE is not available, or best estimate of selling price if neither VSOE nor TPE is available. Determining the best estimate of selling price for a deliverable requires significant judgment. Since the Company is a clinical stage company without a marketable product, and currently there</w:t>
      </w:r>
    </w:p>
    <w:p>
      <w:pPr>
        <w:sectPr>
          <w:pgSz w:w="11900" w:h="16838" w:orient="portrait"/>
          <w:cols w:equalWidth="0" w:num="1">
            <w:col w:w="11420"/>
          </w:cols>
          <w:pgMar w:left="240" w:top="121" w:right="239" w:bottom="819"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121" w:right="239" w:bottom="819"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40"/>
        <w:spacing w:after="0" w:line="220" w:lineRule="exact"/>
        <w:rPr>
          <w:sz w:val="20"/>
          <w:szCs w:val="20"/>
          <w:color w:val="auto"/>
        </w:rPr>
      </w:pPr>
      <w:r>
        <w:rPr>
          <w:rFonts w:ascii="Times New Roman" w:cs="Times New Roman" w:eastAsia="Times New Roman" w:hAnsi="Times New Roman"/>
          <w:sz w:val="18"/>
          <w:szCs w:val="18"/>
          <w:color w:val="auto"/>
        </w:rPr>
        <w:t>is no technologically comparative product on the market, to determine either VSOE or TPE, the Company has used its best estimate of selling price to estimate the selling price for licenses and deliverables related to the Company’s proprietary technology. Under the circumstances, the Company considers market conditions as well as entity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factors, including those factors contemplated in negotiating the agreements, estimated development costs, probability of success and the time needed to commercialize a product candidate pursuant to the license. In validating the Company’s best estimate of selling price, the Company evaluates whether changes in the key assumptions used to determine the best estimate of selling price will have a significant effect on the allocation of arrangement consideration between multiple deliverables.</w:t>
      </w:r>
    </w:p>
    <w:p>
      <w:pPr>
        <w:spacing w:after="0" w:line="198"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Options for future deliverables are considered substantive if, at the inception of the arrangement, the Company is at risk as to whether the collaboration partner will choose to exercise the option. Factors that the Company considers in evaluating whether an option is substantive include the overall objective of the arrangement, the benefit the collaborator might obtain from the arrangement without exercising the option, the cost to exercise the option and the likelihood that the option will be exercised. When an option is considered substantive and there is no significant incremental discount, the option is not considered a deliverable in the arrangement and no consideration is allocated to it. Conversely, when an option is not considered substantive or it is considered substantive but is priced at an incremental discount, it would be considered a deliverable at the inception of the arrangement and a corresponding amount would be included in the initial consideration.</w:t>
      </w:r>
    </w:p>
    <w:p>
      <w:pPr>
        <w:spacing w:after="0" w:line="189" w:lineRule="exact"/>
        <w:rPr>
          <w:sz w:val="20"/>
          <w:szCs w:val="20"/>
          <w:color w:val="auto"/>
        </w:rPr>
      </w:pPr>
    </w:p>
    <w:p>
      <w:pPr>
        <w:ind w:right="60"/>
        <w:spacing w:after="0" w:line="219" w:lineRule="exact"/>
        <w:rPr>
          <w:sz w:val="20"/>
          <w:szCs w:val="20"/>
          <w:color w:val="auto"/>
        </w:rPr>
      </w:pPr>
      <w:r>
        <w:rPr>
          <w:rFonts w:ascii="Times New Roman" w:cs="Times New Roman" w:eastAsia="Times New Roman" w:hAnsi="Times New Roman"/>
          <w:sz w:val="18"/>
          <w:szCs w:val="18"/>
          <w:color w:val="auto"/>
        </w:rPr>
        <w:t>The Company may receive upfront payments when licensing its intellectual property in conjunction with a manufacturing or a research and development agreement. When management believes the license to its intellectual property does not have stand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alone value from the other deliverables to be provided in the arrangement, the Company generally recognizes revenue attributed to the license over the Company’s contractual or estimated performance period. When management believes the license to its intellectual property has stand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alone value, the Company generally recognizes revenue attributed to the license upon delivery. The periods over which revenue should be recognized are subject to estimates by management and may change over the course of the research and development agreement. Such a change could have a material impact on the amount of revenue the Company records in future periods. Payments or reimbursements resulting from the Company’s deliveries of manufactured products and research and development efforts are recognized as the services are performed.</w:t>
      </w:r>
    </w:p>
    <w:p>
      <w:pPr>
        <w:spacing w:after="0" w:line="1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inception of each agreement that includes milestone payments, the Company evaluates whether each milestone is substantive and at risk to both parties on the basis of the contingent nature of the milestone, specifically reviewing factors such as the scientific and other risks that must be overcome to achieve the milestone, whether the milestone consideration is reasonable relative to all deliverables and payment terms, as well as the level of effort and investment required. Revenues from milestones, if they are nonrefundable and deemed substantive, are recognized upon successful accomplishment of the milestones. Milestones that are not considered substantive are accounted for as license payments and recognized over the remaining period of performance.</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Agreements</w:t>
      </w:r>
    </w:p>
    <w:p>
      <w:pPr>
        <w:spacing w:after="0" w:line="200" w:lineRule="exact"/>
        <w:rPr>
          <w:sz w:val="20"/>
          <w:szCs w:val="20"/>
          <w:color w:val="auto"/>
        </w:rPr>
      </w:pPr>
    </w:p>
    <w:p>
      <w:pPr>
        <w:spacing w:after="0" w:line="245" w:lineRule="exact"/>
        <w:rPr>
          <w:sz w:val="20"/>
          <w:szCs w:val="20"/>
          <w:color w:val="auto"/>
        </w:rPr>
      </w:pPr>
    </w:p>
    <w:p>
      <w:pPr>
        <w:spacing w:after="0" w:line="222" w:lineRule="exact"/>
        <w:rPr>
          <w:sz w:val="20"/>
          <w:szCs w:val="20"/>
          <w:color w:val="auto"/>
        </w:rPr>
      </w:pPr>
      <w:r>
        <w:rPr>
          <w:rFonts w:ascii="Times New Roman" w:cs="Times New Roman" w:eastAsia="Times New Roman" w:hAnsi="Times New Roman"/>
          <w:sz w:val="18"/>
          <w:szCs w:val="18"/>
          <w:color w:val="auto"/>
        </w:rPr>
        <w:t>Grant revenue is generally recognized as the related research and development work is performed. Grant arrangements frequently include payment milestones which the Company has judged to be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substantive milestones as they are typically entitled to receive payment regardless of the outcome of the research work. Revenue under such arrangements is recognized using a proportional performance method, but not in excess of cash actually received.</w:t>
      </w:r>
    </w:p>
    <w:p>
      <w:pPr>
        <w:spacing w:after="0" w:line="200" w:lineRule="exact"/>
        <w:rPr>
          <w:sz w:val="20"/>
          <w:szCs w:val="20"/>
          <w:color w:val="auto"/>
        </w:rPr>
      </w:pPr>
    </w:p>
    <w:p>
      <w:pPr>
        <w:spacing w:after="0" w:line="215"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Amounts received prior to satisfying the above revenue recognition criteria are recorded as deferred revenue in the accompanying consolidated balance sheets.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00" w:lineRule="exact"/>
        <w:rPr>
          <w:sz w:val="20"/>
          <w:szCs w:val="20"/>
          <w:color w:val="auto"/>
        </w:rPr>
      </w:pPr>
    </w:p>
    <w:p>
      <w:pPr>
        <w:spacing w:after="0" w:line="245" w:lineRule="exact"/>
        <w:rPr>
          <w:sz w:val="20"/>
          <w:szCs w:val="20"/>
          <w:color w:val="auto"/>
        </w:rPr>
      </w:pPr>
    </w:p>
    <w:p>
      <w:pPr>
        <w:jc w:val="both"/>
        <w:ind w:right="360"/>
        <w:spacing w:after="0" w:line="261" w:lineRule="auto"/>
        <w:rPr>
          <w:sz w:val="20"/>
          <w:szCs w:val="20"/>
          <w:color w:val="auto"/>
        </w:rPr>
      </w:pPr>
      <w:r>
        <w:rPr>
          <w:rFonts w:ascii="Times New Roman" w:cs="Times New Roman" w:eastAsia="Times New Roman" w:hAnsi="Times New Roman"/>
          <w:sz w:val="18"/>
          <w:szCs w:val="18"/>
          <w:color w:val="auto"/>
        </w:rPr>
        <w:t>Costs incurred in the research and development of the Company’s products are expensed as incurred. Research and development expenses include costs incurred in performing research and development activities, including salaries and benefits, facilities cost, overhead costs, contract services, supplies and other outside costs.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Clinical Trial Costs</w:t>
      </w:r>
    </w:p>
    <w:p>
      <w:pPr>
        <w:spacing w:after="0" w:line="200" w:lineRule="exact"/>
        <w:rPr>
          <w:sz w:val="20"/>
          <w:szCs w:val="20"/>
          <w:color w:val="auto"/>
        </w:rPr>
      </w:pPr>
    </w:p>
    <w:p>
      <w:pPr>
        <w:spacing w:after="0" w:line="245"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Clinical trial costs are a component of research and development expenses. The Company accrues and expenses clinical trial activities performed by third parties based on an evaluation of the progress to completion of specific tasks using data such as patient enrollment, clinical site activation, and other information provided to the Company by its vendors.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00"/>
          </w:cols>
          <w:pgMar w:left="240" w:top="121" w:right="25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00" w:lineRule="exact"/>
        <w:rPr>
          <w:sz w:val="20"/>
          <w:szCs w:val="20"/>
          <w:color w:val="auto"/>
        </w:rPr>
      </w:pPr>
    </w:p>
    <w:p>
      <w:pPr>
        <w:spacing w:after="0" w:line="245" w:lineRule="exact"/>
        <w:rPr>
          <w:sz w:val="20"/>
          <w:szCs w:val="20"/>
          <w:color w:val="auto"/>
        </w:rPr>
      </w:pPr>
    </w:p>
    <w:p>
      <w:pPr>
        <w:jc w:val="both"/>
        <w:ind w:right="80"/>
        <w:spacing w:after="0" w:line="229" w:lineRule="exact"/>
        <w:rPr>
          <w:sz w:val="20"/>
          <w:szCs w:val="20"/>
          <w:color w:val="auto"/>
        </w:rPr>
      </w:pPr>
      <w:r>
        <w:rPr>
          <w:rFonts w:ascii="Times New Roman" w:cs="Times New Roman" w:eastAsia="Times New Roman" w:hAnsi="Times New Roman"/>
          <w:sz w:val="17"/>
          <w:szCs w:val="17"/>
          <w:color w:val="auto"/>
        </w:rPr>
        <w:t>The Company provides deferred tax assets and liabilities for the expected future tax consequences of temporary differences between the Company’s financial statement carrying amounts and the tax bases of assets and liabilities using enacted tax rates expected to be in effect in the years in which the differences are expected to reverse. A valuation allowance is provided to reduce the deferred tax assets to the amount that will more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likely</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than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not be realized.</w:t>
      </w:r>
    </w:p>
    <w:p>
      <w:pPr>
        <w:spacing w:after="0" w:line="396" w:lineRule="exact"/>
        <w:rPr>
          <w:sz w:val="20"/>
          <w:szCs w:val="20"/>
          <w:color w:val="auto"/>
        </w:rPr>
      </w:pPr>
    </w:p>
    <w:p>
      <w:pPr>
        <w:ind w:right="120"/>
        <w:spacing w:after="0" w:line="220" w:lineRule="exact"/>
        <w:rPr>
          <w:sz w:val="20"/>
          <w:szCs w:val="20"/>
          <w:color w:val="auto"/>
        </w:rPr>
      </w:pPr>
      <w:r>
        <w:rPr>
          <w:rFonts w:ascii="Times New Roman" w:cs="Times New Roman" w:eastAsia="Times New Roman" w:hAnsi="Times New Roman"/>
          <w:sz w:val="18"/>
          <w:szCs w:val="18"/>
          <w:color w:val="auto"/>
        </w:rPr>
        <w:t>The Company determines whether it is more likely than not that a tax position will be sustained upon examination. If it is not more likely than not that a position will be sustained, none of the benefit attributable to the position is recognized. The tax benefit to be recognized for any tax position that meets the more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likely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not recognition threshold is calculated as the largest amount that is more than 50% likely of being realized upon resolution of the contingency. The Company accounts for interest and penalties related to uncertain tax positions as part of its provision for income taxes. To date, the Company has not incurred interest and penalties related to uncertain tax positions. Should such costs be incurred, they would be classified as a component of income tax expense.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00" w:lineRule="exact"/>
        <w:rPr>
          <w:sz w:val="20"/>
          <w:szCs w:val="20"/>
          <w:color w:val="auto"/>
        </w:rPr>
      </w:pPr>
    </w:p>
    <w:p>
      <w:pPr>
        <w:spacing w:after="0" w:line="24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Prior to the completion of the IPO, the Company classified Preferred Stock as temporary equity and initially records it at the original issuance price, net of issuance costs and discounts. The carrying value is accreted up to the redemption value over the earliest redemption period. The carrying value is also adjusted for dividends expected to be paid upon redemption or liquidation according to the preferred stock terms on each balance sheet date.</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00" w:lineRule="exact"/>
        <w:rPr>
          <w:sz w:val="20"/>
          <w:szCs w:val="20"/>
          <w:color w:val="auto"/>
        </w:rPr>
      </w:pPr>
    </w:p>
    <w:p>
      <w:pPr>
        <w:spacing w:after="0" w:line="245" w:lineRule="exact"/>
        <w:rPr>
          <w:sz w:val="20"/>
          <w:szCs w:val="20"/>
          <w:color w:val="auto"/>
        </w:rPr>
      </w:pPr>
    </w:p>
    <w:p>
      <w:pPr>
        <w:spacing w:after="0" w:line="222" w:lineRule="exact"/>
        <w:rPr>
          <w:sz w:val="20"/>
          <w:szCs w:val="20"/>
          <w:color w:val="auto"/>
        </w:rPr>
      </w:pPr>
      <w:r>
        <w:rPr>
          <w:rFonts w:ascii="Times New Roman" w:cs="Times New Roman" w:eastAsia="Times New Roman" w:hAnsi="Times New Roman"/>
          <w:sz w:val="18"/>
          <w:szCs w:val="18"/>
          <w:color w:val="auto"/>
        </w:rPr>
        <w:t>The Company has issued common stock warrants and redeemable convertible preferred stock warrants to investors and lenders. Common stock warrants are classified as a component of permanent equity because they are freestanding financial instruments that are legally detachable and separately exercisable from other debt and equity instruments, are contingently exercisable, do not embody an obligation for the Company to repurchase its own shares, and permit the holders to receive a fixed number of common shares upon exercise. In addition, such warrants require physical settlement and do not provide any guarantee of value or return. Common stock warrants are initially recorded at their issuance date fair value and are not subsequently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measured. These warrants are valued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w:t>
      </w:r>
    </w:p>
    <w:p>
      <w:pPr>
        <w:spacing w:after="0" w:line="39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Redeemable convertible preferred stock warrants are classified as a liability and are initially recorded at their fair value and re-measured on each subsequent balance sheet date while the warrants are outstanding. Changes in fair value are recorded in interest expense, net in the accompanying consolidated statements of operations and comprehensive loss. The redeemable convertible warrants are valued using Black-Scholes.</w:t>
      </w:r>
    </w:p>
    <w:p>
      <w:pPr>
        <w:spacing w:after="0" w:line="39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connection with the automatic conversion of the Company’s convertible preferred stock, which occurred upon the closing of the IPO on June 27, 2016, the preferred stock warrants became warrants to purchase common stock. The Company performed the final mark to market adjustment on the preferred stock warrant using the fair value of the underlying common shares of $14.00 per share on June 27, 2016 and recorded the change in fair value in other income (expense), net in the consolidated statement of operations and comprehensive loss. The preferred stock warrant liability was then reclassified to additional paid-in-capital as the preferred stock warrants became warrants to purchase common stock.</w:t>
      </w:r>
    </w:p>
    <w:p>
      <w:pPr>
        <w:spacing w:after="0" w:line="37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Stock</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Based Compensation</w:t>
      </w:r>
    </w:p>
    <w:p>
      <w:pPr>
        <w:spacing w:after="0" w:line="200" w:lineRule="exact"/>
        <w:rPr>
          <w:sz w:val="20"/>
          <w:szCs w:val="20"/>
          <w:color w:val="auto"/>
        </w:rPr>
      </w:pPr>
    </w:p>
    <w:p>
      <w:pPr>
        <w:spacing w:after="0" w:line="241" w:lineRule="exact"/>
        <w:rPr>
          <w:sz w:val="20"/>
          <w:szCs w:val="20"/>
          <w:color w:val="auto"/>
        </w:rPr>
      </w:pPr>
    </w:p>
    <w:p>
      <w:pPr>
        <w:ind w:right="40"/>
        <w:spacing w:after="0" w:line="224" w:lineRule="exact"/>
        <w:rPr>
          <w:sz w:val="20"/>
          <w:szCs w:val="20"/>
          <w:color w:val="auto"/>
        </w:rPr>
      </w:pPr>
      <w:r>
        <w:rPr>
          <w:rFonts w:ascii="Times New Roman" w:cs="Times New Roman" w:eastAsia="Times New Roman" w:hAnsi="Times New Roman"/>
          <w:sz w:val="18"/>
          <w:szCs w:val="18"/>
          <w:color w:val="auto"/>
        </w:rPr>
        <w:t>The Company accounts for all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granted to employees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employees using a fair value method.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awarded to employees is measured at the grant date fair value and is recognized over the requisite service period of the awards, usually the vesting period,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net of estimated forfeitures.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awarded 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employees are subject to revaluation over their vesting terms. The Company reduces recorded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for estimated forfeitures. To the extent that actual forfeitures differ from the Company’s estimates, the differences are recorded as a cumulative adjustment in the period the estimates were adjusted.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recognized in the financial statements is based on awards that are ultimately expected to vest.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200" w:lineRule="exact"/>
        <w:rPr>
          <w:sz w:val="20"/>
          <w:szCs w:val="20"/>
          <w:color w:val="auto"/>
        </w:rPr>
      </w:pPr>
    </w:p>
    <w:p>
      <w:pPr>
        <w:spacing w:after="0" w:line="245" w:lineRule="exact"/>
        <w:rPr>
          <w:sz w:val="20"/>
          <w:szCs w:val="20"/>
          <w:color w:val="auto"/>
        </w:rPr>
      </w:pPr>
    </w:p>
    <w:p>
      <w:pPr>
        <w:ind w:right="380"/>
        <w:spacing w:after="0" w:line="222" w:lineRule="exact"/>
        <w:rPr>
          <w:sz w:val="20"/>
          <w:szCs w:val="20"/>
          <w:color w:val="auto"/>
        </w:rPr>
      </w:pPr>
      <w:r>
        <w:rPr>
          <w:rFonts w:ascii="Times New Roman" w:cs="Times New Roman" w:eastAsia="Times New Roman" w:hAnsi="Times New Roman"/>
          <w:sz w:val="18"/>
          <w:szCs w:val="18"/>
          <w:color w:val="auto"/>
        </w:rPr>
        <w:t>Comprehensive loss is defined as the change in the equity of a business entity during a period from transactions and other events and circumstances from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owner sources. It includes all changes in equity during a period except those resulting from investments by owners and distributions to owners. Comprehensive loss consists of both: (i) all components of net loss and</w:t>
      </w:r>
    </w:p>
    <w:p>
      <w:pPr>
        <w:sectPr>
          <w:pgSz w:w="11900" w:h="16838" w:orient="portrait"/>
          <w:cols w:equalWidth="0" w:num="1">
            <w:col w:w="11420"/>
          </w:cols>
          <w:pgMar w:left="240" w:top="121" w:right="239" w:bottom="981"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121" w:right="239" w:bottom="981"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160" w:firstLine="8"/>
        <w:spacing w:after="0" w:line="282" w:lineRule="auto"/>
        <w:tabs>
          <w:tab w:leader="none" w:pos="26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components of comprehensive loss other than net loss, referred to as other comprehensive loss. For all periods presented, other comprehensive loss is comprised of foreign currency translation adjustments and the unrealized gains and losses on investments.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200" w:lineRule="exact"/>
        <w:rPr>
          <w:sz w:val="20"/>
          <w:szCs w:val="20"/>
          <w:color w:val="auto"/>
        </w:rPr>
      </w:pPr>
    </w:p>
    <w:p>
      <w:pPr>
        <w:spacing w:after="0" w:line="245" w:lineRule="exact"/>
        <w:rPr>
          <w:sz w:val="20"/>
          <w:szCs w:val="20"/>
          <w:color w:val="auto"/>
        </w:rPr>
      </w:pPr>
    </w:p>
    <w:p>
      <w:pPr>
        <w:ind w:right="60"/>
        <w:spacing w:after="0" w:line="224" w:lineRule="exact"/>
        <w:rPr>
          <w:sz w:val="20"/>
          <w:szCs w:val="20"/>
          <w:color w:val="auto"/>
        </w:rPr>
      </w:pPr>
      <w:r>
        <w:rPr>
          <w:rFonts w:ascii="Times New Roman" w:cs="Times New Roman" w:eastAsia="Times New Roman" w:hAnsi="Times New Roman"/>
          <w:sz w:val="18"/>
          <w:szCs w:val="18"/>
          <w:color w:val="auto"/>
        </w:rPr>
        <w:t>The Company has reported losses since inception and has computed basic net loss per share attributable to common stockholders by dividing net loss attributable to common stockholders by the weighted average number of common shares outstanding for the period. The Company has computed diluted net loss per common share after giving consideration to all potentially dilutive common shares, including stock options, convertible preferred stock, and warrants outstanding during the period except where the effect of including such securities would be antidilutive. Because the Company has reported net losses since inception, these potential common shares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and basic and diluted loss per share have been the same.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Rent</w:t>
      </w:r>
    </w:p>
    <w:p>
      <w:pPr>
        <w:spacing w:after="0" w:line="200" w:lineRule="exact"/>
        <w:rPr>
          <w:sz w:val="20"/>
          <w:szCs w:val="20"/>
          <w:color w:val="auto"/>
        </w:rPr>
      </w:pPr>
    </w:p>
    <w:p>
      <w:pPr>
        <w:spacing w:after="0" w:line="217" w:lineRule="exact"/>
        <w:rPr>
          <w:sz w:val="20"/>
          <w:szCs w:val="20"/>
          <w:color w:val="auto"/>
        </w:rPr>
      </w:pPr>
    </w:p>
    <w:p>
      <w:pPr>
        <w:ind w:right="440"/>
        <w:spacing w:after="0" w:line="239" w:lineRule="exact"/>
        <w:rPr>
          <w:sz w:val="20"/>
          <w:szCs w:val="20"/>
          <w:color w:val="auto"/>
        </w:rPr>
      </w:pPr>
      <w:r>
        <w:rPr>
          <w:rFonts w:ascii="Times New Roman" w:cs="Times New Roman" w:eastAsia="Times New Roman" w:hAnsi="Times New Roman"/>
          <w:sz w:val="18"/>
          <w:szCs w:val="18"/>
          <w:color w:val="auto"/>
        </w:rPr>
        <w:t>Rent expense and lease incentives from operating leases are recognized on a straight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line basis over the lease term. The difference between rent expense recognized and rental payments is recorded as deferred rent in the accompanying consolidated balance sheets.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Liabilities</w:t>
      </w:r>
    </w:p>
    <w:p>
      <w:pPr>
        <w:spacing w:after="0" w:line="200" w:lineRule="exact"/>
        <w:rPr>
          <w:sz w:val="20"/>
          <w:szCs w:val="20"/>
          <w:color w:val="auto"/>
        </w:rPr>
      </w:pPr>
    </w:p>
    <w:p>
      <w:pPr>
        <w:spacing w:after="0" w:line="24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 xml:space="preserve">The Company accounts for its contingent liabilities in accordance with ASC No. 450,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A provision is recorded when it is both probable that a liability has been incurred and the amount of the loss can be reasonably estimated. With respect to legal matters, provisions are reviewed and adjusted to reflect the impact of negotiations, estimated settlements, legal rulings, advice of legal counsel and other information and events pertaining to a particular matter. As of March 31, 2017 and December 31, 2016, the Company was not a party to any litigation that could have a material adverse effect on the Company’s business, financial position, results of operations or cash flows.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0" w:lineRule="exact"/>
        <w:rPr>
          <w:sz w:val="20"/>
          <w:szCs w:val="20"/>
          <w:color w:val="auto"/>
        </w:rPr>
      </w:pPr>
    </w:p>
    <w:p>
      <w:pPr>
        <w:spacing w:after="0" w:line="24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the Company adopts as of the specified effective date. Unless otherwise discussed below, the Company does not believe that the impact of recently issued standards that are not yet effective will have a material impact on the Company's financial position or results of operations upon adoption.</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 which amends the guidance for revenue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recognition to replace numerous industry- specific requirements. ASU 2014-09 implements a five-step process for customer contract revenue recognition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focuses on transfer of control, as opposed to transfer of risk and rewards. ASU 2014-09 also requires enhanced disclosures regarding the nature,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timing, and uncertainty of revenues and cash flows from contracts with customers. Other major provisions include ensuring the time value of money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considered in the transaction price, and allowing estimates of variable consideration to be recognized before contingencies are resolved in certain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circumstances. The guidance permits two methods of adoption: retrospectively to each prior reporting period presented (full retrospective method),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retrospectively with the cumulative effect of initially applying the guidance recognized at the date of initial application (modified retrospective method).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amendments in ASU 2014-09 are effective for reporting periods beginning after December 15, 2017. Early adoption is permitted, but not before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15, 2016. The new standard will be effective for us beginning December 31, 2018, and adoption as of the original effective date of January 1, 2018.</w:t>
      </w:r>
    </w:p>
    <w:p>
      <w:pPr>
        <w:spacing w:after="0" w:line="200" w:lineRule="exact"/>
        <w:rPr>
          <w:sz w:val="20"/>
          <w:szCs w:val="20"/>
          <w:color w:val="auto"/>
        </w:rPr>
      </w:pPr>
    </w:p>
    <w:p>
      <w:pPr>
        <w:spacing w:after="0" w:line="22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initiated an assessment of the potential changes from adopting ASU 2014-09 and is in the process of evaluating whether the expected effect of these changes is material to its financial statements. The assessment includes identifying and analyzing the impact of the standard by reviewing the Company's current accounting policies and practices to identify potential differences that would result from applying the requirements of the new standard to each revenue contract associated with all of the Company's revenue streams. As of March 31, 2017, the Company had one revenue contract that would require assessment under ASU 2014-09. The Company plans to adopt the new standard effective January 1, 2018 using the modified retrospective method. The Company continues to monitor additional changes, modifications, clarifications or interpretations being undertaken by the FASB, which may impact the Company’s current conclusions.</w:t>
      </w:r>
    </w:p>
    <w:p>
      <w:pPr>
        <w:spacing w:after="0" w:line="200" w:lineRule="exact"/>
        <w:rPr>
          <w:sz w:val="20"/>
          <w:szCs w:val="20"/>
          <w:color w:val="auto"/>
        </w:rPr>
      </w:pPr>
    </w:p>
    <w:p>
      <w:pPr>
        <w:spacing w:after="0" w:line="203" w:lineRule="exact"/>
        <w:rPr>
          <w:sz w:val="20"/>
          <w:szCs w:val="20"/>
          <w:color w:val="auto"/>
        </w:rPr>
      </w:pPr>
    </w:p>
    <w:p>
      <w:pPr>
        <w:ind w:right="120"/>
        <w:spacing w:after="0" w:line="267" w:lineRule="auto"/>
        <w:rPr>
          <w:sz w:val="20"/>
          <w:szCs w:val="20"/>
          <w:color w:val="auto"/>
        </w:rPr>
      </w:pPr>
      <w:r>
        <w:rPr>
          <w:rFonts w:ascii="Times New Roman" w:cs="Times New Roman" w:eastAsia="Times New Roman" w:hAnsi="Times New Roman"/>
          <w:sz w:val="18"/>
          <w:szCs w:val="18"/>
          <w:color w:val="auto"/>
        </w:rPr>
        <w:t xml:space="preserve">In February 2016, FASB issued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(“ASU 2016-02”). ASU 2016-02 requires a lessee to separate the lease components from the non-lease components in a contract and recognize in the statement of financial position a liability to make lease payments (the lease liability) and a right-of-use asset representing its right to use the underlying asset for the lease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121" w:right="2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term. It also aligns lease accounting for lessors with the revenue recognition guidance in ASU 2014-09. ASU 2016-02 is effective for fiscal years beginning after December 15, 2018, including interim periods within those fiscal years. The Company is currently evaluating the effect of the adoption of this guidance on its consolidated financial statements.</w:t>
      </w:r>
    </w:p>
    <w:p>
      <w:pPr>
        <w:spacing w:after="0" w:line="390" w:lineRule="exact"/>
        <w:rPr>
          <w:sz w:val="20"/>
          <w:szCs w:val="20"/>
          <w:color w:val="auto"/>
        </w:rPr>
      </w:pPr>
    </w:p>
    <w:p>
      <w:pPr>
        <w:jc w:val="both"/>
        <w:ind w:right="40"/>
        <w:spacing w:after="0" w:line="259" w:lineRule="auto"/>
        <w:rPr>
          <w:sz w:val="20"/>
          <w:szCs w:val="20"/>
          <w:color w:val="auto"/>
        </w:rPr>
      </w:pPr>
      <w:r>
        <w:rPr>
          <w:rFonts w:ascii="Times New Roman" w:cs="Times New Roman" w:eastAsia="Times New Roman" w:hAnsi="Times New Roman"/>
          <w:sz w:val="18"/>
          <w:szCs w:val="18"/>
          <w:color w:val="auto"/>
        </w:rPr>
        <w:t xml:space="preserve">In March 2016, the FASB issued ASU No. 2016-9, </w:t>
      </w:r>
      <w:r>
        <w:rPr>
          <w:rFonts w:ascii="Times New Roman" w:cs="Times New Roman" w:eastAsia="Times New Roman" w:hAnsi="Times New Roman"/>
          <w:sz w:val="18"/>
          <w:szCs w:val="18"/>
          <w:i w:val="1"/>
          <w:iCs w:val="1"/>
          <w:color w:val="auto"/>
        </w:rPr>
        <w:t>Improvements to Employee Share-Based Payment Accounting</w:t>
      </w:r>
      <w:r>
        <w:rPr>
          <w:rFonts w:ascii="Times New Roman" w:cs="Times New Roman" w:eastAsia="Times New Roman" w:hAnsi="Times New Roman"/>
          <w:sz w:val="18"/>
          <w:szCs w:val="18"/>
          <w:color w:val="auto"/>
        </w:rPr>
        <w:t xml:space="preserve"> (“ASU 2016-9”), which simplifies several aspects of accounting for share-based payment transactions including the income tax consequences, classification of awards as either equity or liabilities, the estimation of forfeitures, shares withheld for taxes and classification on the statement of cash flows. This guidance is effective for the Company on January 1, 2017 and early adoption was permitted. The Company adopted ASU 2016-09 during the first fiscal quarter ended on March 31, 2017. As part of the adoption of this guidance the Company will continue to use estimated forfeitures in its calculation of stock-based compensation expense.</w:t>
      </w:r>
    </w:p>
    <w:p>
      <w:pPr>
        <w:spacing w:after="0" w:line="39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excess tax benefits and tax deficiencies from stock-based compensation awards accounted for under ASC 718 are recognized as income tax benefit or expense, respectively, in the statements of operations. The income tax related items had no effect on the current period presentation as the Company maintains a full valuation allowance against its deferred tax assets. In addition, excess tax benefits for share-based payments are presented as an operating activity in the statements of cash flows rather than financing activity. The changes have been applied prospectively in accordance with the ASU and prior periods have not been adjusted. As a result of the adoption, the net operating losses deferred tax assets will increase by $0.3 million and will be offset by a corresponding increase in the valuation allowance.</w:t>
      </w:r>
    </w:p>
    <w:p>
      <w:pPr>
        <w:spacing w:after="0" w:line="186"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In August 2016, the FASB issued ASU No. 2016-15, </w:t>
      </w:r>
      <w:r>
        <w:rPr>
          <w:rFonts w:ascii="Times New Roman" w:cs="Times New Roman" w:eastAsia="Times New Roman" w:hAnsi="Times New Roman"/>
          <w:sz w:val="18"/>
          <w:szCs w:val="18"/>
          <w:i w:val="1"/>
          <w:iCs w:val="1"/>
          <w:color w:val="auto"/>
        </w:rPr>
        <w:t>Statements of Cash Flows - Classifications of Certain Cash Receipts and Cash Payments</w:t>
      </w:r>
      <w:r>
        <w:rPr>
          <w:rFonts w:ascii="Times New Roman" w:cs="Times New Roman" w:eastAsia="Times New Roman" w:hAnsi="Times New Roman"/>
          <w:sz w:val="18"/>
          <w:szCs w:val="18"/>
          <w:color w:val="auto"/>
        </w:rPr>
        <w:t xml:space="preserve"> ("ASU 2016-15"), to clarify how companies present and classify certain cash receipts and cash payments in the statement of cash flows. This guidance is effective for annual reporting periods beginning after December 15, 2017, including interim periods within that reporting period, with early adoption permitted. The Company is currently evaluating the effect of the adoption of this guidance on its consolidated financial statements.</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November 2016, the FASB issued ASU No. 2016-18, S</w:t>
      </w:r>
      <w:r>
        <w:rPr>
          <w:rFonts w:ascii="Times New Roman" w:cs="Times New Roman" w:eastAsia="Times New Roman" w:hAnsi="Times New Roman"/>
          <w:sz w:val="18"/>
          <w:szCs w:val="18"/>
          <w:i w:val="1"/>
          <w:iCs w:val="1"/>
          <w:color w:val="auto"/>
        </w:rPr>
        <w:t>tatement of Cash Flows, Restricted Cash</w:t>
      </w:r>
      <w:r>
        <w:rPr>
          <w:rFonts w:ascii="Times New Roman" w:cs="Times New Roman" w:eastAsia="Times New Roman" w:hAnsi="Times New Roman"/>
          <w:sz w:val="18"/>
          <w:szCs w:val="18"/>
          <w:color w:val="auto"/>
        </w:rPr>
        <w:t xml:space="preserve"> ("ASU 2016-18"). This guidance requires that a statement of cash flows explain the total change during the period of cash, cash equivalents, and amounts generally described as restricted cash or restricted cash equivalents. Amounts described as restricted cash and restricted cash equivalents should be included with cash and cash equivalents when reconciling the beginning of period and end of period to total amounts shown on the statement of cash flows. This guidance is effective for annual reporting periods beginning after December 15, 2017, including interim periods within that reporting period, with early adoption permitted. Upon implementation of ASU</w:t>
      </w:r>
    </w:p>
    <w:p>
      <w:pPr>
        <w:spacing w:after="0" w:line="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2016-18 the Company will present $0.4 million in the Consolidated Statements of Cash Flows in the "Cash and cash equivalents at beginning of period". The Company is currently evaluating the effect of the adoption of this guidance on its consolidated financial statements.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Available-for-Sale Marketable Securities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2017 and December 31, 2016, the Company’s available-for-sale marketable securities consisted of debt securities issued by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government and corporate debt securities.</w:t>
      </w:r>
    </w:p>
    <w:p>
      <w:pPr>
        <w:spacing w:after="0" w:line="200" w:lineRule="exact"/>
        <w:rPr>
          <w:sz w:val="20"/>
          <w:szCs w:val="20"/>
          <w:color w:val="auto"/>
        </w:rPr>
      </w:pPr>
    </w:p>
    <w:p>
      <w:pPr>
        <w:spacing w:after="0" w:line="223"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tables summarize the Company’s available-for-sale marketable securities by major type of security as of March 31, 2017 and December 31, 2016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6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2"/>
                <w:szCs w:val="12"/>
                <w:color w:val="auto"/>
              </w:rPr>
            </w:pPr>
          </w:p>
        </w:tc>
        <w:tc>
          <w:tcPr>
            <w:tcW w:w="132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2"/>
                <w:szCs w:val="12"/>
                <w:color w:val="auto"/>
              </w:rPr>
            </w:pPr>
          </w:p>
        </w:tc>
        <w:tc>
          <w:tcPr>
            <w:tcW w:w="1200" w:type="dxa"/>
            <w:vAlign w:val="bottom"/>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95"/>
        </w:trPr>
        <w:tc>
          <w:tcPr>
            <w:tcW w:w="55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55"/>
        </w:trPr>
        <w:tc>
          <w:tcPr>
            <w:tcW w:w="5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U.S. Treasury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55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Corporate bonds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41,206</w:t>
            </w:r>
          </w:p>
        </w:tc>
        <w:tc>
          <w:tcPr>
            <w:tcW w:w="2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41,185</w:t>
            </w:r>
          </w:p>
        </w:tc>
        <w:tc>
          <w:tcPr>
            <w:tcW w:w="0" w:type="dxa"/>
            <w:vAlign w:val="bottom"/>
          </w:tcPr>
          <w:p>
            <w:pPr>
              <w:spacing w:after="0"/>
              <w:rPr>
                <w:sz w:val="1"/>
                <w:szCs w:val="1"/>
                <w:color w:val="auto"/>
              </w:rPr>
            </w:pPr>
          </w:p>
        </w:tc>
      </w:tr>
      <w:tr>
        <w:trPr>
          <w:trHeight w:val="242"/>
        </w:trPr>
        <w:tc>
          <w:tcPr>
            <w:tcW w:w="5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available-for-sale marketable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41,206</w:t>
            </w:r>
          </w:p>
        </w:tc>
        <w:tc>
          <w:tcPr>
            <w:tcW w:w="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41,185</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121"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ind w:left="780"/>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0" w:type="dxa"/>
            <w:vAlign w:val="bottom"/>
          </w:tcPr>
          <w:p>
            <w:pPr>
              <w:spacing w:after="0"/>
              <w:rPr>
                <w:sz w:val="12"/>
                <w:szCs w:val="12"/>
                <w:color w:val="auto"/>
              </w:rPr>
            </w:pPr>
          </w:p>
        </w:tc>
        <w:tc>
          <w:tcPr>
            <w:tcW w:w="14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60" w:type="dxa"/>
            <w:vAlign w:val="bottom"/>
          </w:tcPr>
          <w:p>
            <w:pPr>
              <w:spacing w:after="0"/>
              <w:rPr>
                <w:sz w:val="12"/>
                <w:szCs w:val="12"/>
                <w:color w:val="auto"/>
              </w:rPr>
            </w:pPr>
          </w:p>
        </w:tc>
        <w:tc>
          <w:tcPr>
            <w:tcW w:w="1180" w:type="dxa"/>
            <w:vAlign w:val="bottom"/>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Estimated Fair</w:t>
            </w:r>
          </w:p>
        </w:tc>
        <w:tc>
          <w:tcPr>
            <w:tcW w:w="0" w:type="dxa"/>
            <w:vAlign w:val="bottom"/>
          </w:tcPr>
          <w:p>
            <w:pPr>
              <w:spacing w:after="0"/>
              <w:rPr>
                <w:sz w:val="1"/>
                <w:szCs w:val="1"/>
                <w:color w:val="auto"/>
              </w:rPr>
            </w:pPr>
          </w:p>
        </w:tc>
      </w:tr>
      <w:tr>
        <w:trPr>
          <w:trHeight w:val="195"/>
        </w:trPr>
        <w:tc>
          <w:tcPr>
            <w:tcW w:w="53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55"/>
        </w:trPr>
        <w:tc>
          <w:tcPr>
            <w:tcW w:w="5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U.S. Treasury securities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1"/>
        </w:trPr>
        <w:tc>
          <w:tcPr>
            <w:tcW w:w="5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Corporate bonds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24,821</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24,785</w:t>
            </w:r>
          </w:p>
        </w:tc>
        <w:tc>
          <w:tcPr>
            <w:tcW w:w="0" w:type="dxa"/>
            <w:vAlign w:val="bottom"/>
          </w:tcPr>
          <w:p>
            <w:pPr>
              <w:spacing w:after="0"/>
              <w:rPr>
                <w:sz w:val="1"/>
                <w:szCs w:val="1"/>
                <w:color w:val="auto"/>
              </w:rPr>
            </w:pPr>
          </w:p>
        </w:tc>
      </w:tr>
      <w:tr>
        <w:trPr>
          <w:trHeight w:val="242"/>
        </w:trPr>
        <w:tc>
          <w:tcPr>
            <w:tcW w:w="5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available-for-sale marketable securities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24,821</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24,785</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available-for-sale marketable securities are classified in the Company’s Condensed Balance Sheets as Short term deposits and investments.</w:t>
      </w:r>
    </w:p>
    <w:p>
      <w:pPr>
        <w:spacing w:after="0" w:line="200" w:lineRule="exact"/>
        <w:rPr>
          <w:sz w:val="20"/>
          <w:szCs w:val="20"/>
          <w:color w:val="auto"/>
        </w:rPr>
      </w:pPr>
    </w:p>
    <w:p>
      <w:pPr>
        <w:spacing w:after="0" w:line="24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classifies its marketable debt securities based on their contractual maturity dates. As of March 31, 2017, the Company’s marketable debt securities mature at various dates through September 2017. The fair values and amortized cost of marketable debt securities by contractual maturity were as follows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6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888"/>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64"/>
        </w:trPr>
        <w:tc>
          <w:tcPr>
            <w:tcW w:w="5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22"/>
                <w:szCs w:val="22"/>
                <w:color w:val="auto"/>
              </w:rPr>
            </w:pPr>
          </w:p>
        </w:tc>
        <w:tc>
          <w:tcPr>
            <w:tcW w:w="13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220" w:type="dxa"/>
            <w:vAlign w:val="bottom"/>
          </w:tcPr>
          <w:p>
            <w:pPr>
              <w:spacing w:after="0"/>
              <w:rPr>
                <w:sz w:val="22"/>
                <w:szCs w:val="22"/>
                <w:color w:val="auto"/>
              </w:rPr>
            </w:pPr>
          </w:p>
        </w:tc>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22"/>
                <w:szCs w:val="22"/>
                <w:color w:val="auto"/>
              </w:rPr>
            </w:pPr>
          </w:p>
        </w:tc>
        <w:tc>
          <w:tcPr>
            <w:tcW w:w="120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Amortized Cost</w:t>
            </w:r>
          </w:p>
        </w:tc>
      </w:tr>
      <w:tr>
        <w:trPr>
          <w:trHeight w:val="255"/>
        </w:trPr>
        <w:tc>
          <w:tcPr>
            <w:tcW w:w="562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Less than one year</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41,185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41,206</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24,785</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24,821</w:t>
            </w:r>
          </w:p>
        </w:tc>
      </w:tr>
    </w:tbl>
    <w:p>
      <w:pPr>
        <w:spacing w:after="0" w:line="200" w:lineRule="exact"/>
        <w:rPr>
          <w:sz w:val="20"/>
          <w:szCs w:val="20"/>
          <w:color w:val="auto"/>
        </w:rPr>
      </w:pPr>
    </w:p>
    <w:p>
      <w:pPr>
        <w:spacing w:after="0" w:line="214"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As of March 31, 2017 the Company held a total of 12 out of 30 positions that were in an unrealized loss position, none of which had been in an unrealized loss position for 12 months or greater. Based on the Company’s review of these securities, the Company believes that the cost basis of its available-for-sale marketable securities is recoverable and that, therefore, it had no other-than-temporary impairments on these securities as of March 31, 2017. The Company does not intend to sell these debt securities and the Company believes it is not more likely than not that it will be required to sell these securities before the recovery of their amortized cost basis, which may be maturity.</w:t>
      </w:r>
    </w:p>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Net Loss Per Share</w:t>
      </w:r>
    </w:p>
    <w:p>
      <w:pPr>
        <w:spacing w:after="0" w:line="200" w:lineRule="exact"/>
        <w:rPr>
          <w:sz w:val="20"/>
          <w:szCs w:val="20"/>
          <w:color w:val="auto"/>
        </w:rPr>
      </w:pPr>
    </w:p>
    <w:p>
      <w:pPr>
        <w:spacing w:after="0" w:line="245" w:lineRule="exact"/>
        <w:rPr>
          <w:sz w:val="20"/>
          <w:szCs w:val="20"/>
          <w:color w:val="auto"/>
        </w:rPr>
      </w:pPr>
    </w:p>
    <w:p>
      <w:pPr>
        <w:ind w:right="40"/>
        <w:spacing w:after="0" w:line="229" w:lineRule="exact"/>
        <w:rPr>
          <w:sz w:val="20"/>
          <w:szCs w:val="20"/>
          <w:color w:val="auto"/>
        </w:rPr>
      </w:pPr>
      <w:r>
        <w:rPr>
          <w:rFonts w:ascii="Times New Roman" w:cs="Times New Roman" w:eastAsia="Times New Roman" w:hAnsi="Times New Roman"/>
          <w:sz w:val="18"/>
          <w:szCs w:val="18"/>
          <w:color w:val="auto"/>
        </w:rPr>
        <w:t>Because the Company has reported a net loss attributable to common stockholders for all periods presented, basic and diluted net loss per share attributable to common stockholders are the same for those periods. The following table sets forth the computation of basic and diluted net loss per share (in thousands, except share and per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share data):</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18"/>
        </w:trPr>
        <w:tc>
          <w:tcPr>
            <w:tcW w:w="8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51"/>
        </w:trPr>
        <w:tc>
          <w:tcPr>
            <w:tcW w:w="8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gridSpan w:val="3"/>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3"/>
        </w:trPr>
        <w:tc>
          <w:tcPr>
            <w:tcW w:w="8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8"/>
        </w:trPr>
        <w:tc>
          <w:tcPr>
            <w:tcW w:w="8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38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(15,134)</w:t>
            </w: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(7,476)</w:t>
            </w:r>
          </w:p>
        </w:tc>
        <w:tc>
          <w:tcPr>
            <w:tcW w:w="0" w:type="dxa"/>
            <w:vAlign w:val="bottom"/>
          </w:tcPr>
          <w:p>
            <w:pPr>
              <w:spacing w:after="0"/>
              <w:rPr>
                <w:sz w:val="1"/>
                <w:szCs w:val="1"/>
                <w:color w:val="auto"/>
              </w:rPr>
            </w:pPr>
          </w:p>
        </w:tc>
      </w:tr>
      <w:tr>
        <w:trPr>
          <w:trHeight w:val="78"/>
        </w:trPr>
        <w:tc>
          <w:tcPr>
            <w:tcW w:w="812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Less: accretion on preferred stock</w:t>
            </w:r>
          </w:p>
        </w:tc>
        <w:tc>
          <w:tcPr>
            <w:tcW w:w="380" w:type="dxa"/>
            <w:vAlign w:val="bottom"/>
          </w:tcPr>
          <w:p>
            <w:pPr>
              <w:spacing w:after="0"/>
              <w:rPr>
                <w:sz w:val="16"/>
                <w:szCs w:val="16"/>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(2,356)</w:t>
            </w:r>
          </w:p>
        </w:tc>
        <w:tc>
          <w:tcPr>
            <w:tcW w:w="0" w:type="dxa"/>
            <w:vAlign w:val="bottom"/>
          </w:tcPr>
          <w:p>
            <w:pPr>
              <w:spacing w:after="0"/>
              <w:rPr>
                <w:sz w:val="1"/>
                <w:szCs w:val="1"/>
                <w:color w:val="auto"/>
              </w:rPr>
            </w:pPr>
          </w:p>
        </w:tc>
      </w:tr>
      <w:tr>
        <w:trPr>
          <w:trHeight w:val="78"/>
        </w:trPr>
        <w:tc>
          <w:tcPr>
            <w:tcW w:w="812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8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 attributable to common stockholders</w:t>
            </w:r>
          </w:p>
        </w:tc>
        <w:tc>
          <w:tcPr>
            <w:tcW w:w="38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(15,134)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(9,832)</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812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8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0"/>
        </w:trPr>
        <w:tc>
          <w:tcPr>
            <w:tcW w:w="8120" w:type="dxa"/>
            <w:vAlign w:val="bottom"/>
            <w:tcBorders>
              <w:bottom w:val="single" w:sz="8" w:color="CCEEFF"/>
            </w:tcBorders>
            <w:shd w:val="clear" w:color="auto" w:fill="CCEEFF"/>
          </w:tcPr>
          <w:p>
            <w:pPr>
              <w:ind w:left="40"/>
              <w:spacing w:after="0" w:line="161" w:lineRule="exact"/>
              <w:rPr>
                <w:sz w:val="20"/>
                <w:szCs w:val="20"/>
                <w:color w:val="auto"/>
              </w:rPr>
            </w:pPr>
            <w:r>
              <w:rPr>
                <w:rFonts w:ascii="Times New Roman" w:cs="Times New Roman" w:eastAsia="Times New Roman" w:hAnsi="Times New Roman"/>
                <w:sz w:val="14"/>
                <w:szCs w:val="14"/>
                <w:color w:val="auto"/>
              </w:rPr>
              <w:t>Weighted</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average common shares outstanding—basic and diluted</w:t>
            </w:r>
          </w:p>
        </w:tc>
        <w:tc>
          <w:tcPr>
            <w:tcW w:w="3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18,474,227</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2,175,037</w:t>
            </w:r>
          </w:p>
        </w:tc>
        <w:tc>
          <w:tcPr>
            <w:tcW w:w="0" w:type="dxa"/>
            <w:vAlign w:val="bottom"/>
          </w:tcPr>
          <w:p>
            <w:pPr>
              <w:spacing w:after="0"/>
              <w:rPr>
                <w:sz w:val="1"/>
                <w:szCs w:val="1"/>
                <w:color w:val="auto"/>
              </w:rPr>
            </w:pPr>
          </w:p>
        </w:tc>
      </w:tr>
      <w:tr>
        <w:trPr>
          <w:trHeight w:val="186"/>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Net loss per share attributable to common stockholders—basic and diluted</w:t>
            </w:r>
          </w:p>
        </w:tc>
        <w:tc>
          <w:tcPr>
            <w:tcW w:w="380" w:type="dxa"/>
            <w:vAlign w:val="bottom"/>
            <w:tcBorders>
              <w:top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(0.82)</w:t>
            </w:r>
          </w:p>
        </w:tc>
        <w:tc>
          <w:tcPr>
            <w:tcW w:w="100" w:type="dxa"/>
            <w:vAlign w:val="bottom"/>
          </w:tcPr>
          <w:p>
            <w:pPr>
              <w:spacing w:after="0"/>
              <w:rPr>
                <w:sz w:val="16"/>
                <w:szCs w:val="16"/>
                <w:color w:val="auto"/>
              </w:rPr>
            </w:pPr>
          </w:p>
        </w:tc>
        <w:tc>
          <w:tcPr>
            <w:tcW w:w="480" w:type="dxa"/>
            <w:vAlign w:val="bottom"/>
            <w:tcBorders>
              <w:top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0" w:type="dxa"/>
            <w:vAlign w:val="bottom"/>
          </w:tcPr>
          <w:p>
            <w:pPr>
              <w:spacing w:after="0"/>
              <w:rPr>
                <w:sz w:val="1"/>
                <w:szCs w:val="1"/>
                <w:color w:val="auto"/>
              </w:rPr>
            </w:pPr>
          </w:p>
        </w:tc>
      </w:tr>
      <w:tr>
        <w:trPr>
          <w:trHeight w:val="51"/>
        </w:trPr>
        <w:tc>
          <w:tcPr>
            <w:tcW w:w="812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Potential common shares issuable upon conversion of warrants to purchase common stock and stock options that are excluded from the computation of diluted weighted average shares outstanding are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120" w:type="dxa"/>
            <w:vAlign w:val="bottom"/>
          </w:tcPr>
          <w:p>
            <w:pPr>
              <w:spacing w:after="0"/>
              <w:rPr>
                <w:sz w:val="16"/>
                <w:szCs w:val="16"/>
                <w:color w:val="auto"/>
              </w:rPr>
            </w:pPr>
          </w:p>
        </w:tc>
        <w:tc>
          <w:tcPr>
            <w:tcW w:w="2200" w:type="dxa"/>
            <w:vAlign w:val="bottom"/>
            <w:tcBorders>
              <w:bottom w:val="single" w:sz="8" w:color="auto"/>
            </w:tcBorders>
            <w:gridSpan w:val="3"/>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tcBorders>
              <w:bottom w:val="single" w:sz="8" w:color="auto"/>
            </w:tcBorders>
          </w:tcPr>
          <w:p>
            <w:pPr>
              <w:spacing w:after="0"/>
              <w:rPr>
                <w:sz w:val="16"/>
                <w:szCs w:val="16"/>
                <w:color w:val="auto"/>
              </w:rPr>
            </w:pPr>
          </w:p>
        </w:tc>
      </w:tr>
      <w:tr>
        <w:trPr>
          <w:trHeight w:val="218"/>
        </w:trPr>
        <w:tc>
          <w:tcPr>
            <w:tcW w:w="8120" w:type="dxa"/>
            <w:vAlign w:val="bottom"/>
          </w:tcPr>
          <w:p>
            <w:pPr>
              <w:spacing w:after="0"/>
              <w:rPr>
                <w:sz w:val="18"/>
                <w:szCs w:val="18"/>
                <w:color w:val="auto"/>
              </w:rPr>
            </w:pPr>
          </w:p>
        </w:tc>
        <w:tc>
          <w:tcPr>
            <w:tcW w:w="1600" w:type="dxa"/>
            <w:vAlign w:val="bottom"/>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51"/>
        </w:trPr>
        <w:tc>
          <w:tcPr>
            <w:tcW w:w="8120" w:type="dxa"/>
            <w:vAlign w:val="bottom"/>
          </w:tcPr>
          <w:p>
            <w:pPr>
              <w:spacing w:after="0"/>
              <w:rPr>
                <w:sz w:val="4"/>
                <w:szCs w:val="4"/>
                <w:color w:val="auto"/>
              </w:rPr>
            </w:pPr>
          </w:p>
        </w:tc>
        <w:tc>
          <w:tcPr>
            <w:tcW w:w="2200" w:type="dxa"/>
            <w:vAlign w:val="bottom"/>
            <w:tcBorders>
              <w:bottom w:val="single" w:sz="8" w:color="auto"/>
            </w:tcBorders>
            <w:gridSpan w:val="3"/>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r>
      <w:tr>
        <w:trPr>
          <w:trHeight w:val="240"/>
        </w:trPr>
        <w:tc>
          <w:tcPr>
            <w:tcW w:w="8120" w:type="dxa"/>
            <w:vAlign w:val="bottom"/>
          </w:tcPr>
          <w:p>
            <w:pPr>
              <w:spacing w:after="0"/>
              <w:rPr>
                <w:sz w:val="20"/>
                <w:szCs w:val="20"/>
                <w:color w:val="auto"/>
              </w:rPr>
            </w:pPr>
          </w:p>
        </w:tc>
        <w:tc>
          <w:tcPr>
            <w:tcW w:w="2200" w:type="dxa"/>
            <w:vAlign w:val="bottom"/>
            <w:gridSpan w:val="3"/>
          </w:tcPr>
          <w:p>
            <w:pPr>
              <w:jc w:val="center"/>
              <w:ind w:left="104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100" w:type="dxa"/>
            <w:vAlign w:val="bottom"/>
          </w:tcPr>
          <w:p>
            <w:pPr>
              <w:spacing w:after="0"/>
              <w:rPr>
                <w:sz w:val="20"/>
                <w:szCs w:val="20"/>
                <w:color w:val="auto"/>
              </w:rPr>
            </w:pPr>
          </w:p>
        </w:tc>
      </w:tr>
      <w:tr>
        <w:trPr>
          <w:trHeight w:val="203"/>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Redeemable convertible preferred stock</w:t>
            </w:r>
          </w:p>
        </w:tc>
        <w:tc>
          <w:tcPr>
            <w:tcW w:w="220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9,890,580</w:t>
            </w:r>
          </w:p>
        </w:tc>
      </w:tr>
      <w:tr>
        <w:trPr>
          <w:trHeight w:val="78"/>
        </w:trPr>
        <w:tc>
          <w:tcPr>
            <w:tcW w:w="81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193"/>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Stock options to purchase common stock</w:t>
            </w:r>
          </w:p>
        </w:tc>
        <w:tc>
          <w:tcPr>
            <w:tcW w:w="1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2,025,664</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1,736,682</w:t>
            </w:r>
          </w:p>
        </w:tc>
      </w:tr>
      <w:tr>
        <w:trPr>
          <w:trHeight w:val="78"/>
        </w:trPr>
        <w:tc>
          <w:tcPr>
            <w:tcW w:w="8120" w:type="dxa"/>
            <w:vAlign w:val="bottom"/>
            <w:shd w:val="clear" w:color="auto" w:fill="CCEEFF"/>
          </w:tcPr>
          <w:p>
            <w:pPr>
              <w:spacing w:after="0"/>
              <w:rPr>
                <w:sz w:val="6"/>
                <w:szCs w:val="6"/>
                <w:color w:val="auto"/>
              </w:rPr>
            </w:pPr>
          </w:p>
        </w:tc>
        <w:tc>
          <w:tcPr>
            <w:tcW w:w="1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100" w:type="dxa"/>
            <w:vAlign w:val="bottom"/>
            <w:shd w:val="clear" w:color="auto" w:fill="CCEEFF"/>
          </w:tcPr>
          <w:p>
            <w:pPr>
              <w:spacing w:after="0"/>
              <w:rPr>
                <w:sz w:val="6"/>
                <w:szCs w:val="6"/>
                <w:color w:val="auto"/>
              </w:rPr>
            </w:pPr>
          </w:p>
        </w:tc>
      </w:tr>
      <w:tr>
        <w:trPr>
          <w:trHeight w:val="193"/>
        </w:trPr>
        <w:tc>
          <w:tcPr>
            <w:tcW w:w="812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Stock warrants to purchase common stock</w:t>
            </w:r>
          </w:p>
        </w:tc>
        <w:tc>
          <w:tcPr>
            <w:tcW w:w="1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97,302</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650,618</w:t>
            </w:r>
          </w:p>
        </w:tc>
      </w:tr>
      <w:tr>
        <w:trPr>
          <w:trHeight w:val="78"/>
        </w:trPr>
        <w:tc>
          <w:tcPr>
            <w:tcW w:w="81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100" w:type="dxa"/>
            <w:vAlign w:val="bottom"/>
          </w:tcPr>
          <w:p>
            <w:pPr>
              <w:spacing w:after="0"/>
              <w:rPr>
                <w:sz w:val="6"/>
                <w:szCs w:val="6"/>
                <w:color w:val="auto"/>
              </w:rPr>
            </w:pPr>
          </w:p>
        </w:tc>
      </w:tr>
      <w:tr>
        <w:trPr>
          <w:trHeight w:val="193"/>
        </w:trPr>
        <w:tc>
          <w:tcPr>
            <w:tcW w:w="81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Redeemable convertible preferred stock warrants</w:t>
            </w:r>
          </w:p>
        </w:tc>
        <w:tc>
          <w:tcPr>
            <w:tcW w:w="2200" w:type="dxa"/>
            <w:vAlign w:val="bottom"/>
            <w:gridSpan w:val="3"/>
            <w:shd w:val="clear" w:color="auto" w:fill="CCEEFF"/>
          </w:tcPr>
          <w:p>
            <w:pPr>
              <w:jc w:val="right"/>
              <w:ind w:right="7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26,832</w:t>
            </w:r>
          </w:p>
        </w:tc>
      </w:tr>
      <w:tr>
        <w:trPr>
          <w:trHeight w:val="78"/>
        </w:trPr>
        <w:tc>
          <w:tcPr>
            <w:tcW w:w="8120" w:type="dxa"/>
            <w:vAlign w:val="bottom"/>
            <w:shd w:val="clear" w:color="auto" w:fill="CCEEFF"/>
          </w:tcPr>
          <w:p>
            <w:pPr>
              <w:spacing w:after="0"/>
              <w:rPr>
                <w:sz w:val="6"/>
                <w:szCs w:val="6"/>
                <w:color w:val="auto"/>
              </w:rPr>
            </w:pPr>
          </w:p>
        </w:tc>
        <w:tc>
          <w:tcPr>
            <w:tcW w:w="1600" w:type="dxa"/>
            <w:vAlign w:val="bottom"/>
            <w:tcBorders>
              <w:bottom w:val="single" w:sz="8" w:color="auto"/>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80" w:type="dxa"/>
            <w:vAlign w:val="bottom"/>
            <w:tcBorders>
              <w:bottom w:val="single" w:sz="8" w:color="auto"/>
            </w:tcBorders>
            <w:shd w:val="clear" w:color="auto" w:fill="CCEEFF"/>
          </w:tcPr>
          <w:p>
            <w:pPr>
              <w:spacing w:after="0"/>
              <w:rPr>
                <w:sz w:val="6"/>
                <w:szCs w:val="6"/>
                <w:color w:val="auto"/>
              </w:rPr>
            </w:pPr>
          </w:p>
        </w:tc>
        <w:tc>
          <w:tcPr>
            <w:tcW w:w="1100" w:type="dxa"/>
            <w:vAlign w:val="bottom"/>
            <w:tcBorders>
              <w:bottom w:val="single" w:sz="8" w:color="auto"/>
            </w:tcBorders>
            <w:shd w:val="clear" w:color="auto" w:fill="CCEEFF"/>
          </w:tcPr>
          <w:p>
            <w:pPr>
              <w:spacing w:after="0"/>
              <w:rPr>
                <w:sz w:val="6"/>
                <w:szCs w:val="6"/>
                <w:color w:val="auto"/>
              </w:rPr>
            </w:pPr>
          </w:p>
        </w:tc>
      </w:tr>
      <w:tr>
        <w:trPr>
          <w:trHeight w:val="237"/>
        </w:trPr>
        <w:tc>
          <w:tcPr>
            <w:tcW w:w="81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Total</w:t>
            </w:r>
          </w:p>
        </w:tc>
        <w:tc>
          <w:tcPr>
            <w:tcW w:w="1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2,122,966</w:t>
            </w: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12,304,712</w:t>
            </w:r>
          </w:p>
        </w:tc>
      </w:tr>
      <w:tr>
        <w:trPr>
          <w:trHeight w:val="20"/>
        </w:trPr>
        <w:tc>
          <w:tcPr>
            <w:tcW w:w="8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60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121" w:right="239" w:bottom="603"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00" w:lineRule="exact"/>
        <w:rPr>
          <w:sz w:val="20"/>
          <w:szCs w:val="20"/>
          <w:color w:val="auto"/>
        </w:rPr>
      </w:pPr>
    </w:p>
    <w:p>
      <w:pPr>
        <w:spacing w:after="0" w:line="20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tables below present information about the Company’s financial assets and liabilities that are measured and carried at fair value as of March 31, 2017 and December 31, 2016, and indicate the level within the fair value hierarchy where each measurement is classified. Below is a summary of assets measured at fair value on a recurring basis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r>
      <w:tr>
        <w:trPr>
          <w:trHeight w:val="264"/>
        </w:trPr>
        <w:tc>
          <w:tcPr>
            <w:tcW w:w="69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5"/>
        </w:trPr>
        <w:tc>
          <w:tcPr>
            <w:tcW w:w="6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Money market funds, included in cash equivalents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818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818</w:t>
            </w:r>
          </w:p>
        </w:tc>
      </w:tr>
      <w:tr>
        <w:trPr>
          <w:trHeight w:val="265"/>
        </w:trPr>
        <w:tc>
          <w:tcPr>
            <w:tcW w:w="69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Tri-party repurchase agreements, included in cash equivalents</w:t>
            </w:r>
          </w:p>
        </w:tc>
        <w:tc>
          <w:tcPr>
            <w:tcW w:w="2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69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Corporate bonds, included in investments</w:t>
            </w:r>
          </w:p>
        </w:tc>
        <w:tc>
          <w:tcPr>
            <w:tcW w:w="2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41,185</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41,185</w:t>
            </w:r>
          </w:p>
        </w:tc>
      </w:tr>
    </w:tbl>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December 31, 2016</w:t>
            </w: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64"/>
        </w:trPr>
        <w:tc>
          <w:tcPr>
            <w:tcW w:w="678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4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55"/>
        </w:trPr>
        <w:tc>
          <w:tcPr>
            <w:tcW w:w="6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Money market funds, included in cash equivalents</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183</w:t>
            </w:r>
          </w:p>
        </w:tc>
        <w:tc>
          <w:tcPr>
            <w:tcW w:w="26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183</w:t>
            </w:r>
          </w:p>
        </w:tc>
      </w:tr>
      <w:tr>
        <w:trPr>
          <w:trHeight w:val="265"/>
        </w:trPr>
        <w:tc>
          <w:tcPr>
            <w:tcW w:w="67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Tri-party repurchase agreements, included in cash equivalents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27,000</w:t>
            </w:r>
          </w:p>
        </w:tc>
        <w:tc>
          <w:tcPr>
            <w:tcW w:w="240" w:type="dxa"/>
            <w:vAlign w:val="bottom"/>
          </w:tcPr>
          <w:p>
            <w:pPr>
              <w:spacing w:after="0"/>
              <w:rPr>
                <w:sz w:val="23"/>
                <w:szCs w:val="23"/>
                <w:color w:val="auto"/>
              </w:rPr>
            </w:pPr>
          </w:p>
        </w:tc>
        <w:tc>
          <w:tcPr>
            <w:tcW w:w="76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27,000</w:t>
            </w:r>
          </w:p>
        </w:tc>
      </w:tr>
      <w:tr>
        <w:trPr>
          <w:trHeight w:val="275"/>
        </w:trPr>
        <w:tc>
          <w:tcPr>
            <w:tcW w:w="6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Corporate bonds, included in investments</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24,785</w:t>
            </w:r>
          </w:p>
        </w:tc>
        <w:tc>
          <w:tcPr>
            <w:tcW w:w="26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588"/>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24,785</w:t>
            </w:r>
          </w:p>
        </w:tc>
      </w:tr>
    </w:tbl>
    <w:p>
      <w:pPr>
        <w:spacing w:after="0" w:line="200" w:lineRule="exact"/>
        <w:rPr>
          <w:sz w:val="20"/>
          <w:szCs w:val="20"/>
          <w:color w:val="auto"/>
        </w:rPr>
      </w:pPr>
    </w:p>
    <w:p>
      <w:pPr>
        <w:spacing w:after="0" w:line="349"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At March 31, 2017, all cash and cash equivalent investments where held in money market funds. At December 31, 2016, all cash and cash equivalent investments where held in money market funds and tri-party repurchase agreements. The tri-party repurchase agreements are collateralized by government securities for an amount not less than 102% of their value. All tri-party repurchase agreements have maturities of three months or less at the time of investment.</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average maturity date for Corporate Bonds, included in investments at March 31, 2017 and December 31, 2016 was 246 days and 297 days,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Corporate Bonds approximates amortized value.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Property and Equipment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6"/>
                <w:szCs w:val="16"/>
                <w:color w:val="auto"/>
              </w:rPr>
            </w:pPr>
          </w:p>
        </w:tc>
        <w:tc>
          <w:tcPr>
            <w:tcW w:w="110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316"/>
        </w:trPr>
        <w:tc>
          <w:tcPr>
            <w:tcW w:w="88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69"/>
        </w:trPr>
        <w:tc>
          <w:tcPr>
            <w:tcW w:w="88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Laboratory equipment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4,940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4,713</w:t>
            </w: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Computer equipment and software</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562</w:t>
            </w:r>
          </w:p>
        </w:tc>
      </w:tr>
      <w:tr>
        <w:trPr>
          <w:trHeight w:val="265"/>
        </w:trPr>
        <w:tc>
          <w:tcPr>
            <w:tcW w:w="88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Leasehold improvements</w:t>
            </w:r>
          </w:p>
        </w:tc>
        <w:tc>
          <w:tcPr>
            <w:tcW w:w="18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222</w:t>
            </w:r>
          </w:p>
        </w:tc>
      </w:tr>
      <w:tr>
        <w:trPr>
          <w:trHeight w:val="275"/>
        </w:trPr>
        <w:tc>
          <w:tcPr>
            <w:tcW w:w="88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Furniture and fixtures</w:t>
            </w:r>
          </w:p>
        </w:tc>
        <w:tc>
          <w:tcPr>
            <w:tcW w:w="1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239</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226</w:t>
            </w:r>
          </w:p>
        </w:tc>
      </w:tr>
      <w:tr>
        <w:trPr>
          <w:trHeight w:val="265"/>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Office equipment</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64</w:t>
            </w:r>
          </w:p>
        </w:tc>
      </w:tr>
      <w:tr>
        <w:trPr>
          <w:trHeight w:val="215"/>
        </w:trPr>
        <w:tc>
          <w:tcPr>
            <w:tcW w:w="88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property and equipment</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6,043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5,787</w:t>
            </w:r>
          </w:p>
        </w:tc>
      </w:tr>
      <w:tr>
        <w:trPr>
          <w:trHeight w:val="265"/>
        </w:trPr>
        <w:tc>
          <w:tcPr>
            <w:tcW w:w="88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Less accumulated depreciation</w:t>
            </w: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(3,740)</w:t>
            </w:r>
          </w:p>
        </w:tc>
      </w:tr>
      <w:tr>
        <w:trPr>
          <w:trHeight w:val="215"/>
        </w:trPr>
        <w:tc>
          <w:tcPr>
            <w:tcW w:w="88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2,054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2,047</w:t>
            </w:r>
          </w:p>
        </w:tc>
      </w:tr>
      <w:tr>
        <w:trPr>
          <w:trHeight w:val="20"/>
        </w:trPr>
        <w:tc>
          <w:tcPr>
            <w:tcW w:w="8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$0.2 million for the three months ended March 31, 2017 and 2016, respectively.</w:t>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9019"/>
          </w:cols>
          <w:pgMar w:left="1440" w:top="121"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Accrued Expenses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6"/>
                <w:szCs w:val="16"/>
                <w:color w:val="auto"/>
              </w:rPr>
            </w:pPr>
          </w:p>
        </w:tc>
        <w:tc>
          <w:tcPr>
            <w:tcW w:w="1180" w:type="dxa"/>
            <w:vAlign w:val="bottom"/>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75"/>
        </w:trPr>
        <w:tc>
          <w:tcPr>
            <w:tcW w:w="858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2017</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69"/>
        </w:trPr>
        <w:tc>
          <w:tcPr>
            <w:tcW w:w="85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r>
      <w:tr>
        <w:trPr>
          <w:trHeight w:val="265"/>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Payroll and employee related expenses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912</w:t>
            </w:r>
          </w:p>
        </w:tc>
        <w:tc>
          <w:tcPr>
            <w:tcW w:w="10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1,551</w:t>
            </w: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Legal</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196</w:t>
            </w:r>
          </w:p>
        </w:tc>
      </w:tr>
      <w:tr>
        <w:trPr>
          <w:trHeight w:val="265"/>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Current portion of deferred rent and lease incentive</w:t>
            </w: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29</w:t>
            </w: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Accrued patent fees</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415</w:t>
            </w:r>
          </w:p>
        </w:tc>
      </w:tr>
      <w:tr>
        <w:trPr>
          <w:trHeight w:val="265"/>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Accrued external research and development costs</w:t>
            </w: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3,124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794</w:t>
            </w: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Accrued audit fees</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195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224</w:t>
            </w:r>
          </w:p>
        </w:tc>
      </w:tr>
      <w:tr>
        <w:trPr>
          <w:trHeight w:val="265"/>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Accrued grant refund</w:t>
            </w: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152</w:t>
            </w:r>
          </w:p>
        </w:tc>
      </w:tr>
      <w:tr>
        <w:trPr>
          <w:trHeight w:val="27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Accrued interest</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81</w:t>
            </w:r>
          </w:p>
        </w:tc>
      </w:tr>
      <w:tr>
        <w:trPr>
          <w:trHeight w:val="265"/>
        </w:trPr>
        <w:tc>
          <w:tcPr>
            <w:tcW w:w="8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494</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479</w:t>
            </w:r>
          </w:p>
        </w:tc>
      </w:tr>
      <w:tr>
        <w:trPr>
          <w:trHeight w:val="215"/>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Accrued expenses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5,521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3,921</w:t>
            </w:r>
          </w:p>
        </w:tc>
      </w:tr>
      <w:tr>
        <w:trPr>
          <w:trHeight w:val="20"/>
        </w:trPr>
        <w:tc>
          <w:tcPr>
            <w:tcW w:w="8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200" w:lineRule="exact"/>
        <w:rPr>
          <w:sz w:val="20"/>
          <w:szCs w:val="20"/>
          <w:color w:val="auto"/>
        </w:rPr>
      </w:pPr>
    </w:p>
    <w:p>
      <w:pPr>
        <w:spacing w:after="0" w:line="217" w:lineRule="exact"/>
        <w:rPr>
          <w:sz w:val="20"/>
          <w:szCs w:val="20"/>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The Company has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cancellable operating lease for its laboratory and office space located in Watertown, Massachusetts. As part of the lease agreement, the landlord provided the Company a tenant improvement allowance of up to $0.7 million, which the Company fully utilized during 2012. The tenant improvement allowance is accounted for as a lease incentive obligation and is being amortized as a reduction to rent expense over the lease term. The leasehold improvements are capitalized as a component of property and equipment.</w:t>
      </w:r>
    </w:p>
    <w:p>
      <w:pPr>
        <w:spacing w:after="0" w:line="200" w:lineRule="exact"/>
        <w:rPr>
          <w:sz w:val="20"/>
          <w:szCs w:val="20"/>
          <w:color w:val="auto"/>
        </w:rPr>
      </w:pPr>
    </w:p>
    <w:p>
      <w:pPr>
        <w:spacing w:after="0" w:line="21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connection with the lease, the Company secured a letter of credit for $0.3 million which renews automatically each year and is classified in restricted cash and other deposits in the accompanying consolidated balance sheets.</w:t>
      </w:r>
    </w:p>
    <w:p>
      <w:pPr>
        <w:spacing w:after="0" w:line="378"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April 2015, the Company amended the lease agreement to exchange 13,711 square feet of space for another 15,174 square feet of space within the same building. Rental payments on the prior space ceased as of March 31, 2015 and rental payments on the new space began on October 1, 2015.</w:t>
      </w:r>
    </w:p>
    <w:p>
      <w:pPr>
        <w:spacing w:after="0" w:line="37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 August 2016, the Company signed an amendment to the operating lease, which extends the lease term of the Company's laboratory and office space through March 31, 2020. The lease agreement includes a rent escalation clause, and accordingly, rent expense is being recognized on a straight-line basis over the lease term.</w:t>
      </w:r>
    </w:p>
    <w:p>
      <w:pPr>
        <w:spacing w:after="0" w:line="392"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Deferred rent and lease incentive liability totaled $0.3 million and $0.3 million as of March 31, 2017 and December 31, 2016, respectively. Included in that amount, the current portion of deferred rent and lease incentive liability is classified as accrued expenses and was less than $0.1 million at March 31, 2017 and December 31, 2016, respectively.</w:t>
      </w:r>
    </w:p>
    <w:p>
      <w:pPr>
        <w:spacing w:after="0" w:line="36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The Company has a month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month facility agreement for its Moscow, Russia facility. Rent expense is recognized as incurred.</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Rent expense, net of sublease payments, for the three months ended March 31, 2017 and 2016 was $0.5 million and $0.4 million, respectively.</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2016, the future minimum lease payments under the lease agreement, as amended by the lease amendments are as follows (in thousands):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121" w:right="23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Year ended December 31,</w:t>
            </w:r>
          </w:p>
        </w:tc>
        <w:tc>
          <w:tcPr>
            <w:tcW w:w="52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51"/>
        </w:trPr>
        <w:tc>
          <w:tcPr>
            <w:tcW w:w="10060" w:type="dxa"/>
            <w:vAlign w:val="bottom"/>
          </w:tcPr>
          <w:p>
            <w:pPr>
              <w:spacing w:after="0"/>
              <w:rPr>
                <w:sz w:val="4"/>
                <w:szCs w:val="4"/>
                <w:color w:val="auto"/>
              </w:rPr>
            </w:pPr>
          </w:p>
        </w:tc>
        <w:tc>
          <w:tcPr>
            <w:tcW w:w="520" w:type="dxa"/>
            <w:vAlign w:val="bottom"/>
          </w:tcPr>
          <w:p>
            <w:pPr>
              <w:spacing w:after="0"/>
              <w:rPr>
                <w:sz w:val="4"/>
                <w:szCs w:val="4"/>
                <w:color w:val="auto"/>
              </w:rPr>
            </w:pPr>
          </w:p>
        </w:tc>
        <w:tc>
          <w:tcPr>
            <w:tcW w:w="840" w:type="dxa"/>
            <w:vAlign w:val="bottom"/>
          </w:tcPr>
          <w:p>
            <w:pPr>
              <w:spacing w:after="0"/>
              <w:rPr>
                <w:sz w:val="4"/>
                <w:szCs w:val="4"/>
                <w:color w:val="auto"/>
              </w:rPr>
            </w:pPr>
          </w:p>
        </w:tc>
      </w:tr>
      <w:tr>
        <w:trPr>
          <w:trHeight w:val="216"/>
        </w:trPr>
        <w:tc>
          <w:tcPr>
            <w:tcW w:w="10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2017</w:t>
            </w:r>
          </w:p>
        </w:tc>
        <w:tc>
          <w:tcPr>
            <w:tcW w:w="52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1,244</w:t>
            </w:r>
          </w:p>
        </w:tc>
      </w:tr>
      <w:tr>
        <w:trPr>
          <w:trHeight w:val="211"/>
        </w:trPr>
        <w:tc>
          <w:tcPr>
            <w:tcW w:w="10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2018</w:t>
            </w:r>
          </w:p>
        </w:tc>
        <w:tc>
          <w:tcPr>
            <w:tcW w:w="520" w:type="dxa"/>
            <w:vAlign w:val="bottom"/>
          </w:tcPr>
          <w:p>
            <w:pPr>
              <w:spacing w:after="0"/>
              <w:rPr>
                <w:sz w:val="18"/>
                <w:szCs w:val="18"/>
                <w:color w:val="auto"/>
              </w:rPr>
            </w:pPr>
          </w:p>
        </w:tc>
        <w:tc>
          <w:tcPr>
            <w:tcW w:w="8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1,291</w:t>
            </w:r>
          </w:p>
        </w:tc>
      </w:tr>
      <w:tr>
        <w:trPr>
          <w:trHeight w:val="221"/>
        </w:trPr>
        <w:tc>
          <w:tcPr>
            <w:tcW w:w="10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2019</w:t>
            </w: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1,330</w:t>
            </w:r>
          </w:p>
        </w:tc>
      </w:tr>
      <w:tr>
        <w:trPr>
          <w:trHeight w:val="211"/>
        </w:trPr>
        <w:tc>
          <w:tcPr>
            <w:tcW w:w="100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2020</w:t>
            </w: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335</w:t>
            </w:r>
          </w:p>
        </w:tc>
      </w:tr>
      <w:tr>
        <w:trPr>
          <w:trHeight w:val="210"/>
        </w:trPr>
        <w:tc>
          <w:tcPr>
            <w:tcW w:w="100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minimum lease payments</w:t>
            </w:r>
          </w:p>
        </w:tc>
        <w:tc>
          <w:tcPr>
            <w:tcW w:w="520" w:type="dxa"/>
            <w:vAlign w:val="bottom"/>
            <w:tcBorders>
              <w:bottom w:val="single" w:sz="8" w:color="auto"/>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4,200</w:t>
            </w:r>
          </w:p>
        </w:tc>
      </w:tr>
      <w:tr>
        <w:trPr>
          <w:trHeight w:val="20"/>
        </w:trPr>
        <w:tc>
          <w:tcPr>
            <w:tcW w:w="100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permitted under Delaware law, the Company indemnifies its directors for certain events or occurrences while the director is, or was, serving at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request in such capacity. The term of the indemnification is for the director’s lifetime. The maximum potential amount of future payments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could be required to make is unlimited; however, the Company has directors’ insurance coverage that limits its exposure and enables it to recover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portion of any future amounts paid. The Company also has indemnification arrangements under certain of its facility leases that require it to indemnify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landlord against certain costs, expenses, fines, suits, claims, demands, liabilities, and actions directly resulting from certain breaches, violations, or</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performance of any covenant or condition of the Company’s lease. The term of the indemnification is for the term of the related lease agreement.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maximum potential amount of future payments the Company could be required to make under these indemnification agreements is unlimited. To date,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had not experienced any material losses related to any of its indemnification obligations, and no material claims with respect thereto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The Company does not expect significant claims related to these indemnification obligations and, accordingly, has concluded that the fair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these obligations is negligible, and no related reserves have been established.</w:t>
      </w:r>
    </w:p>
    <w:p>
      <w:pPr>
        <w:spacing w:after="0" w:line="200" w:lineRule="exact"/>
        <w:rPr>
          <w:sz w:val="20"/>
          <w:szCs w:val="20"/>
          <w:color w:val="auto"/>
        </w:rPr>
      </w:pPr>
    </w:p>
    <w:p>
      <w:pPr>
        <w:spacing w:after="0" w:line="22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is a party in various other contractual disputes and potential claims arising in the ordinary course of business. The Company does not believe that the resolution of these matters will have a material adverse effect the Company's business, financial position, results of operations or cash flows.</w:t>
      </w:r>
    </w:p>
    <w:p>
      <w:pPr>
        <w:spacing w:after="0" w:line="200" w:lineRule="exact"/>
        <w:rPr>
          <w:sz w:val="20"/>
          <w:szCs w:val="20"/>
          <w:color w:val="auto"/>
        </w:rPr>
      </w:pPr>
    </w:p>
    <w:p>
      <w:pPr>
        <w:spacing w:after="0" w:line="390" w:lineRule="exact"/>
        <w:rPr>
          <w:sz w:val="20"/>
          <w:szCs w:val="20"/>
          <w:color w:val="auto"/>
        </w:rPr>
      </w:pPr>
    </w:p>
    <w:p>
      <w:pPr>
        <w:ind w:right="10480" w:firstLine="8"/>
        <w:spacing w:after="0" w:line="533" w:lineRule="auto"/>
        <w:tabs>
          <w:tab w:leader="none" w:pos="18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Debt Term Loans</w:t>
      </w:r>
    </w:p>
    <w:p>
      <w:pPr>
        <w:ind w:right="100"/>
        <w:spacing w:after="0" w:line="255" w:lineRule="auto"/>
        <w:rPr>
          <w:sz w:val="20"/>
          <w:szCs w:val="20"/>
          <w:color w:val="auto"/>
        </w:rPr>
      </w:pPr>
      <w:r>
        <w:rPr>
          <w:rFonts w:ascii="Times New Roman" w:cs="Times New Roman" w:eastAsia="Times New Roman" w:hAnsi="Times New Roman"/>
          <w:sz w:val="18"/>
          <w:szCs w:val="18"/>
          <w:color w:val="auto"/>
        </w:rPr>
        <w:t>On August 9, 2013, the Company entered into a loan and security agreement with two lenders to borrow up to $7.5 million. The Company initially borrowed $3.0 million in August 2013 and subsequently borrowed an additional $4.5 million in July 2014. The amounts borrowed are collectively referred to as “Term Loans.” In December 2015, the Company refinanced its existing debt facility that was originally entered into on August 9, 2013, as amended with Oxford Finance LLC (“Oxford”) and Square 1 Bank (“Square 1”), to increase the amount of the borrowing to $12.0 million and to extend the repayment term. The lenders for the refinanced debt facility are Oxford and Pacific Western Bank (“Pacific Western”). Pacific Western had acquired Square 1 since the time of the original loan. Such a change in lender does not constitute third party financing on its own, and does not require extinguishment accounting. As a result of the refinancing, the stated interest rate was also adjusted to reflect the current market borrowing rate. As of March 31, 2017 and December 31, 2016, the outstanding principal balance under the Term Loans was $11.3 million and $12.0 million, respectively.</w:t>
      </w:r>
    </w:p>
    <w:p>
      <w:pPr>
        <w:spacing w:after="0" w:line="157" w:lineRule="exact"/>
        <w:rPr>
          <w:sz w:val="20"/>
          <w:szCs w:val="20"/>
          <w:color w:val="auto"/>
        </w:rPr>
      </w:pPr>
    </w:p>
    <w:p>
      <w:pPr>
        <w:ind w:right="20"/>
        <w:spacing w:after="0" w:line="223" w:lineRule="exact"/>
        <w:rPr>
          <w:sz w:val="20"/>
          <w:szCs w:val="20"/>
          <w:color w:val="auto"/>
        </w:rPr>
      </w:pPr>
      <w:r>
        <w:rPr>
          <w:rFonts w:ascii="Times New Roman" w:cs="Times New Roman" w:eastAsia="Times New Roman" w:hAnsi="Times New Roman"/>
          <w:sz w:val="18"/>
          <w:szCs w:val="18"/>
          <w:color w:val="auto"/>
        </w:rPr>
        <w:t>According to ASC 470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40, the refinancing and modification of the prior debt in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troubled debt situation must be treated as either an extinguishment or a modification based on whether the present value of the cash flows under the terms of the new debt instrument is different by greater than, or less than, 10% from the present value of the remaining cash flows under the terms of the original instrument. For cash flow changes greater than 10%, the debt modification is accounted for as a debt extinguishment, whereby the original debt is derecognized and the new debt is initially recorded at fair value, with the difference recognized as an extinguishment gain or loss. For cash flow changes of less than 10%, the new loan is considered a modification and no gain or loss is recognized. In considering all cash flow changes, the Company concluded that the refinancing of the debt as of December 31, 2015 is a modification of the debt and not a debt extinguishment, and as a result the debt is initially recorded at its amortizable value net of discounts and deferred costs.</w:t>
      </w:r>
    </w:p>
    <w:p>
      <w:pPr>
        <w:spacing w:after="0" w:line="200" w:lineRule="exact"/>
        <w:rPr>
          <w:sz w:val="20"/>
          <w:szCs w:val="20"/>
          <w:color w:val="auto"/>
        </w:rPr>
      </w:pPr>
    </w:p>
    <w:p>
      <w:pPr>
        <w:jc w:val="both"/>
        <w:ind w:right="80"/>
        <w:spacing w:after="0" w:line="261" w:lineRule="auto"/>
        <w:rPr>
          <w:sz w:val="20"/>
          <w:szCs w:val="20"/>
          <w:color w:val="auto"/>
        </w:rPr>
      </w:pPr>
      <w:r>
        <w:rPr>
          <w:rFonts w:ascii="Times New Roman" w:cs="Times New Roman" w:eastAsia="Times New Roman" w:hAnsi="Times New Roman"/>
          <w:sz w:val="18"/>
          <w:szCs w:val="18"/>
          <w:color w:val="auto"/>
        </w:rPr>
        <w:t>The Term Loans are collateralized by the assets of the Company and bear interest at 8.1% per annum. The monthly payments for the Term Loans are initially interest only through January 2017. Principal repayments for the Term Loans are due over 30 monthly installments beginning on February 1, 2017. The Term Loans may be prepaid at the Company’s option at any time prior to maturity subject to a prepayment fee of 3% if prepaid prior to the first anniversary of the borrowing date, 2% if prepaid after the first anniversary but before the second anniversaries, and 1% if prepaid after the second anniversary.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121"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Term Loans do not include any financial covenants. The Term Loans require a final payment fee of 6.0% on the aggregate principal amounts borrowed upon repayment at maturity, on a prepayment date, or upon default. The final payment fee totaling $0.7 million is recorded as a loan discount. In addition, the Term Loans contain a subjective acceleration clause whereby in an event of default, an immediate acceleration of repayment occurs if there is a material impairment of the lenders’ lien or the value of the collateral, a material adverse change in the business condition or operations, or a material uncertainty exists that any portion of the loan may not be repaid. To date, there have been no such events and the lender has not exercised its right under this clause. As a result, the Company concluded that a material adverse change has not occurred and is unlikely to occur, therefore, no liability has been recorded in connection with the clause. Under the Term Loans, the Company is not required to maintain a minimum cash balance.</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connection with the Term Loans, the Company granted the lenders warrants in August 2013 to purchase up to 26,668 shares of the Company’s Series D Preferred and additional warrants in July 2014 to purchase up to 40,000 shares of the Company’s Series D Preferred. As of the IPO, the warrants to purchase up to 66,668 shares of the Company’s Series D Preferred were converted to warrants to purchase 17,888 shares of the Company’s common stock at an exercise price of $16.77 per share. These warrants are classified as permanent equity in the accompanying consolidated balance sheets and will expire ten years from the date of issuance.</w:t>
      </w:r>
    </w:p>
    <w:p>
      <w:pPr>
        <w:spacing w:after="0" w:line="184"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7"/>
          <w:szCs w:val="17"/>
          <w:color w:val="auto"/>
        </w:rPr>
        <w:t>Additionally, with the refinancing of the Term Loans at December 31, 2015, the Company granted the lenders 37,978 shares of the Company’s Series E Preferred which also was converted at the IPO to warrants to purchase 15,094 shares of Company’s common stock at an exercise price of $11.32 per share. These warrants are classified as permanent equity in the accompanying consolidated balance sheets and will expire ten years from the date of issuance.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initial grant date fair value of the warrants of $0.1 million and $0.1 million for each issuance respectively, was recorded as a loan discount.</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Term Loan discounts are amortized as additional interest expense over the term of the loans. During the three months ended March 31, 2017 and 2016, the Company recognized $0.3 million and $0.3 million, respectively, of interest expense related to the Term Loan.</w:t>
      </w:r>
    </w:p>
    <w:p>
      <w:pPr>
        <w:spacing w:after="0" w:line="33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In December 2016, a total of 16,493 warrants to purchase common stock were exercised under a cashless exercise, resulting in a net issuance of 4,697 shares of common stock. The warrant exercise prices had been established at the time that the warrants were converted.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Future minimum payments on the Term Loans as of March 31, 2017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Year ended December 31,</w:t>
            </w: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193"/>
        </w:trPr>
        <w:tc>
          <w:tcPr>
            <w:tcW w:w="9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Remaining for 2017</w:t>
            </w:r>
          </w:p>
        </w:tc>
        <w:tc>
          <w:tcPr>
            <w:tcW w:w="42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4,432</w:t>
            </w:r>
          </w:p>
        </w:tc>
      </w:tr>
      <w:tr>
        <w:trPr>
          <w:trHeight w:val="24"/>
        </w:trPr>
        <w:tc>
          <w:tcPr>
            <w:tcW w:w="9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96"/>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2018</w:t>
            </w:r>
          </w:p>
        </w:tc>
        <w:tc>
          <w:tcPr>
            <w:tcW w:w="4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5,319</w:t>
            </w:r>
          </w:p>
        </w:tc>
      </w:tr>
      <w:tr>
        <w:trPr>
          <w:trHeight w:val="193"/>
        </w:trPr>
        <w:tc>
          <w:tcPr>
            <w:tcW w:w="9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2019</w:t>
            </w:r>
          </w:p>
        </w:tc>
        <w:tc>
          <w:tcPr>
            <w:tcW w:w="420" w:type="dxa"/>
            <w:vAlign w:val="bottom"/>
          </w:tcPr>
          <w:p>
            <w:pPr>
              <w:spacing w:after="0"/>
              <w:rPr>
                <w:sz w:val="16"/>
                <w:szCs w:val="16"/>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3,379</w:t>
            </w:r>
          </w:p>
        </w:tc>
      </w:tr>
      <w:tr>
        <w:trPr>
          <w:trHeight w:val="24"/>
        </w:trPr>
        <w:tc>
          <w:tcPr>
            <w:tcW w:w="99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minimum debt payments</w:t>
            </w:r>
          </w:p>
        </w:tc>
        <w:tc>
          <w:tcPr>
            <w:tcW w:w="4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13,130</w:t>
            </w:r>
          </w:p>
        </w:tc>
      </w:tr>
      <w:tr>
        <w:trPr>
          <w:trHeight w:val="198"/>
        </w:trPr>
        <w:tc>
          <w:tcPr>
            <w:tcW w:w="99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Less: Amount representing interest</w:t>
            </w: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(1,136)</w:t>
            </w:r>
          </w:p>
        </w:tc>
      </w:tr>
      <w:tr>
        <w:trPr>
          <w:trHeight w:val="208"/>
        </w:trPr>
        <w:tc>
          <w:tcPr>
            <w:tcW w:w="99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Less: Debt discount and deferred charges</w:t>
            </w: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(608)</w:t>
            </w:r>
          </w:p>
        </w:tc>
      </w:tr>
      <w:tr>
        <w:trPr>
          <w:trHeight w:val="198"/>
        </w:trPr>
        <w:tc>
          <w:tcPr>
            <w:tcW w:w="99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Less: Current portion of loans payable</w:t>
            </w: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(4,519)</w:t>
            </w:r>
          </w:p>
        </w:tc>
      </w:tr>
      <w:tr>
        <w:trPr>
          <w:trHeight w:val="220"/>
        </w:trPr>
        <w:tc>
          <w:tcPr>
            <w:tcW w:w="99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Loans payable, net of current portion</w:t>
            </w:r>
          </w:p>
        </w:tc>
        <w:tc>
          <w:tcPr>
            <w:tcW w:w="420" w:type="dxa"/>
            <w:vAlign w:val="bottom"/>
            <w:tcBorders>
              <w:bottom w:val="single" w:sz="8" w:color="CCEEFF"/>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6,867</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April 2015, the Company issued convertible notes as a bridge loan to be automatically converted into the Company’s capital stock upon the consummation of a private placement of the Company’s Preferred Stock. The convertible notes bore interest at 8% per annum, compounding monthly. In the event the Company was unable to consummate the private placement by July 15, 2015, the Company would be required to issue warrants to purchase shares of the Company’s common stock equal to 20% of the convertible note principal divided by $17.55. On July 24, 2015, the Company issued warrants to the convertible note holders to purchase up to 80,813 shares of the Company’s common stock at an exercise price of $17.55 per share for a term of three years. The carrying value and accrued interest of the outstanding convertible notes were automatically converted into 1,619,550 shares of Series E Preferred. As part of the Series E Preferred issuance, the convertible note holders also received warrants to purchase up to 103,817 shares of the Company’s common stock (Note 10). The difference between the carrying value and accrued interest of the convertible notes that were converted and the combined fair value of the Series E Preferred</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121" w:right="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shares and common stock warrants issued were negligible. There was no interest expense related to the convertible notes for the three months ended March 31, 2017 and 2016.</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Preferred Stock</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Prior to the completion of its IPO, the Company had 37,835,623 and 28,804,969 authorized shares of Preferred Stock as of December 31, 2015 and 2014, respectively. The Company issued Preferred Stock with a $0.0001 par value to investors for cash or as settlement for outstanding debt under convertible notes (Note 9).</w:t>
      </w:r>
    </w:p>
    <w:p>
      <w:pPr>
        <w:spacing w:after="0" w:line="176"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The Company had issued Preferred Stock of (i) 2,589,868 shares of Series A redeemable convertible preferred stock (“Series A Preferred”), (ii) 7,437,325 shares of Series B redeemable convertible preferred stock (“Series B Preferred”), (iii) 5,000,002 shares of Series C redeemable convertible preferred stock (“Series C Preferred”), (iv) 8,099,994 shares of Series D Preferred, (v) 2,111,109 shares of Series SRN Redeemable Convertible Preferred Stock (“Series SRN Preferred”) and (vi) 8,888,888 shares of Series E Preferred.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April 2014 and August 2014, the Company issued an additional 3,211,105 shares of Series D Preferred at $4.50 per share for total net proceeds of</w:t>
      </w:r>
    </w:p>
    <w:p>
      <w:pPr>
        <w:spacing w:after="0" w:line="27" w:lineRule="exact"/>
        <w:rPr>
          <w:sz w:val="20"/>
          <w:szCs w:val="20"/>
          <w:color w:val="auto"/>
        </w:rPr>
      </w:pPr>
    </w:p>
    <w:p>
      <w:pPr>
        <w:ind w:right="60"/>
        <w:spacing w:after="0" w:line="216" w:lineRule="exact"/>
        <w:rPr>
          <w:sz w:val="20"/>
          <w:szCs w:val="20"/>
          <w:color w:val="auto"/>
        </w:rPr>
      </w:pPr>
      <w:r>
        <w:rPr>
          <w:rFonts w:ascii="Times New Roman" w:cs="Times New Roman" w:eastAsia="Times New Roman" w:hAnsi="Times New Roman"/>
          <w:sz w:val="18"/>
          <w:szCs w:val="18"/>
          <w:color w:val="auto"/>
        </w:rPr>
        <w:t>$14,349,239. In July 2014, the Company issued an additional 1,333,332 shares of Series SRN Preferred at $4.50 per share for total net proceeds of $5.8 million. In connection with the issuance of the additional shares of Series SRN Preferred, the Series SRN Preferred terms were amended. Significant terms that were amended included a change of the Series SRN Preferred optional and mandatory conversion price (other than a special conversion event, as defined in the certificate of incorporation) to $16.77 per share, the elimination of a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tranche investment requirement, and the removal of a call option for the Company to repurchase the Series SRN Preferred shares. Based upon the qualitative characteristics of the amendments, the Company determined that the changes significantly modified the terms of Series SRN Preferred resulting in an extinguishment of the then outstanding SRN Preferred shares. As a result, the carrying value of Series SRN Preferred of $5.0 million at the date of the amendment was derecognized, and the amended Series SRN Preferred shares were recorded at their fair value of $4.50 per share. The difference of $1.5 million was recorded as additional paid in capital.</w:t>
      </w:r>
    </w:p>
    <w:p>
      <w:pPr>
        <w:spacing w:after="0" w:line="202" w:lineRule="exact"/>
        <w:rPr>
          <w:sz w:val="20"/>
          <w:szCs w:val="20"/>
          <w:color w:val="auto"/>
        </w:rPr>
      </w:pPr>
    </w:p>
    <w:p>
      <w:pPr>
        <w:spacing w:after="0" w:line="222" w:lineRule="exact"/>
        <w:rPr>
          <w:sz w:val="20"/>
          <w:szCs w:val="20"/>
          <w:color w:val="auto"/>
        </w:rPr>
      </w:pPr>
      <w:r>
        <w:rPr>
          <w:rFonts w:ascii="Times New Roman" w:cs="Times New Roman" w:eastAsia="Times New Roman" w:hAnsi="Times New Roman"/>
          <w:sz w:val="18"/>
          <w:szCs w:val="18"/>
          <w:color w:val="auto"/>
        </w:rPr>
        <w:t>In August 2015 and September 2015, the Company issued an aggregate of 7,269,338 shares of Series E Preferred at $4.50 per share for total gross proceeds of $32.7 million with issuance costs totaling $0.2 million. In addition, the Company issued 1,619,550 shares of Series E Preferred in connection with the conversion of convertible notes (Note 9). In connection with the Series E Preferred issuances, each Series E Preferred stockholder also received warrants to purchase a number of shares of the Company’s common stock that equal to 25% of the number of Series E Preferred shares issued. The fair value of the issued common stock warrants is accounted for as an issuance discount on the Series E Preferred. The common stock warrants are classified as permanent equity and were recorded as 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w:t>
      </w:r>
    </w:p>
    <w:p>
      <w:pPr>
        <w:spacing w:after="0" w:line="183"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All outstanding shares of the Company’s convertible preferred stock automatically converted into 10,126,118 shares of the Company’s common stock upon the closing of the IPO on June 27, 2016.</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Common Stock</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of March 31, 2017, the Company has 200,000,000 shares of Common Stock authorized for issuance, $0.0001 par value per share, with 18,552,385 shares issued and outstanding. The voting, dividend and liquidation rights of the common stockholders are subject to and qualified by the rights, powers and preferences of the Preferred Stock. The common stock has the following characteristics: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w:t>
      </w:r>
    </w:p>
    <w:p>
      <w:pPr>
        <w:spacing w:after="0" w:line="229"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The common stockholders are entitled to one vote for each share of common stock held with respect to all matters voted on by the stockholders of the Company. Common stock voting rights on certain matters are subject to the powers, preferences, and rights of the Senior Preferred.</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common stockholders are entitled to receive dividends, if and when declared by the Board of Directors. The Company may not declare or pay any cash dividends to the common stockholders unless dividends are first declared and paid to the holders of Preferred Stock in accordance with their respective terms. Through March 31, 2017, no dividends have been declared or paid on common stock.</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Liquidation</w:t>
      </w:r>
    </w:p>
    <w:p>
      <w:pPr>
        <w:spacing w:after="0" w:line="229" w:lineRule="exact"/>
        <w:rPr>
          <w:sz w:val="20"/>
          <w:szCs w:val="20"/>
          <w:color w:val="auto"/>
        </w:rPr>
      </w:pPr>
    </w:p>
    <w:p>
      <w:pPr>
        <w:ind w:right="180"/>
        <w:spacing w:after="0" w:line="229" w:lineRule="exact"/>
        <w:rPr>
          <w:sz w:val="20"/>
          <w:szCs w:val="20"/>
          <w:color w:val="auto"/>
        </w:rPr>
      </w:pPr>
      <w:r>
        <w:rPr>
          <w:rFonts w:ascii="Times New Roman" w:cs="Times New Roman" w:eastAsia="Times New Roman" w:hAnsi="Times New Roman"/>
          <w:sz w:val="18"/>
          <w:szCs w:val="18"/>
          <w:color w:val="auto"/>
        </w:rPr>
        <w:t>After holders of Preferred Stock are satisfied of their liquidation preferences upon any voluntary or involuntary liquidation, dissolution or winding up of the affairs of the Company, the common stockholders are then entitled to receive that portion of the remaining funds to be distributed to all holders of the Company’s stock on an as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converted basis.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Reserved Shares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authorized shares of common stock for future issuance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3520" w:type="dxa"/>
            <w:vAlign w:val="bottom"/>
            <w:tcBorders>
              <w:bottom w:val="single" w:sz="8" w:color="auto"/>
            </w:tcBorders>
            <w:gridSpan w:val="3"/>
          </w:tcPr>
          <w:p>
            <w:pPr>
              <w:jc w:val="right"/>
              <w:ind w:right="1228"/>
              <w:spacing w:after="0"/>
              <w:rPr>
                <w:sz w:val="20"/>
                <w:szCs w:val="20"/>
                <w:color w:val="auto"/>
              </w:rPr>
            </w:pPr>
            <w:r>
              <w:rPr>
                <w:rFonts w:ascii="Times New Roman" w:cs="Times New Roman" w:eastAsia="Times New Roman" w:hAnsi="Times New Roman"/>
                <w:sz w:val="14"/>
                <w:szCs w:val="14"/>
                <w:b w:val="1"/>
                <w:bCs w:val="1"/>
                <w:color w:val="auto"/>
              </w:rPr>
              <w:t>Periods ending</w:t>
            </w:r>
          </w:p>
        </w:tc>
      </w:tr>
      <w:tr>
        <w:trPr>
          <w:trHeight w:val="264"/>
        </w:trPr>
        <w:tc>
          <w:tcPr>
            <w:tcW w:w="7900" w:type="dxa"/>
            <w:vAlign w:val="bottom"/>
          </w:tcPr>
          <w:p>
            <w:pPr>
              <w:spacing w:after="0"/>
              <w:rPr>
                <w:sz w:val="22"/>
                <w:szCs w:val="22"/>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100" w:type="dxa"/>
            <w:vAlign w:val="bottom"/>
          </w:tcPr>
          <w:p>
            <w:pPr>
              <w:spacing w:after="0"/>
              <w:rPr>
                <w:sz w:val="22"/>
                <w:szCs w:val="22"/>
                <w:color w:val="auto"/>
              </w:rPr>
            </w:pPr>
          </w:p>
        </w:tc>
        <w:tc>
          <w:tcPr>
            <w:tcW w:w="17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December 31, 2016</w:t>
            </w:r>
          </w:p>
        </w:tc>
      </w:tr>
      <w:tr>
        <w:trPr>
          <w:trHeight w:val="264"/>
        </w:trPr>
        <w:tc>
          <w:tcPr>
            <w:tcW w:w="7900" w:type="dxa"/>
            <w:vAlign w:val="bottom"/>
          </w:tcPr>
          <w:p>
            <w:pPr>
              <w:spacing w:after="0"/>
              <w:rPr>
                <w:sz w:val="22"/>
                <w:szCs w:val="22"/>
                <w:color w:val="auto"/>
              </w:rPr>
            </w:pP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700" w:type="dxa"/>
            <w:vAlign w:val="bottom"/>
          </w:tcPr>
          <w:p>
            <w:pPr>
              <w:spacing w:after="0"/>
              <w:rPr>
                <w:sz w:val="22"/>
                <w:szCs w:val="22"/>
                <w:color w:val="auto"/>
              </w:rPr>
            </w:pPr>
          </w:p>
        </w:tc>
      </w:tr>
      <w:tr>
        <w:trPr>
          <w:trHeight w:val="275"/>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Exercise of common warrants</w:t>
            </w:r>
          </w:p>
        </w:tc>
        <w:tc>
          <w:tcPr>
            <w:tcW w:w="17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97,302</w:t>
            </w:r>
          </w:p>
        </w:tc>
        <w:tc>
          <w:tcPr>
            <w:tcW w:w="100" w:type="dxa"/>
            <w:vAlign w:val="bottom"/>
            <w:shd w:val="clear" w:color="auto" w:fill="CCEEFF"/>
          </w:tcPr>
          <w:p>
            <w:pPr>
              <w:spacing w:after="0"/>
              <w:rPr>
                <w:sz w:val="23"/>
                <w:szCs w:val="23"/>
                <w:color w:val="auto"/>
              </w:rPr>
            </w:pPr>
          </w:p>
        </w:tc>
        <w:tc>
          <w:tcPr>
            <w:tcW w:w="170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97,302</w:t>
            </w:r>
          </w:p>
        </w:tc>
      </w:tr>
      <w:tr>
        <w:trPr>
          <w:trHeight w:val="265"/>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Shares available for future stock incentive awards</w:t>
            </w:r>
          </w:p>
        </w:tc>
        <w:tc>
          <w:tcPr>
            <w:tcW w:w="17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1,858,944</w:t>
            </w:r>
          </w:p>
        </w:tc>
        <w:tc>
          <w:tcPr>
            <w:tcW w:w="100" w:type="dxa"/>
            <w:vAlign w:val="bottom"/>
          </w:tcPr>
          <w:p>
            <w:pPr>
              <w:spacing w:after="0"/>
              <w:rPr>
                <w:sz w:val="23"/>
                <w:szCs w:val="23"/>
                <w:color w:val="auto"/>
              </w:rPr>
            </w:pPr>
          </w:p>
        </w:tc>
        <w:tc>
          <w:tcPr>
            <w:tcW w:w="17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939,317</w:t>
            </w:r>
          </w:p>
        </w:tc>
      </w:tr>
      <w:tr>
        <w:trPr>
          <w:trHeight w:val="270"/>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Exercise of outstanding common stock options</w:t>
            </w:r>
          </w:p>
        </w:tc>
        <w:tc>
          <w:tcPr>
            <w:tcW w:w="17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2,025,664</w:t>
            </w:r>
          </w:p>
        </w:tc>
        <w:tc>
          <w:tcPr>
            <w:tcW w:w="10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2,128,346</w:t>
            </w:r>
          </w:p>
        </w:tc>
      </w:tr>
      <w:tr>
        <w:trPr>
          <w:trHeight w:val="215"/>
        </w:trPr>
        <w:tc>
          <w:tcPr>
            <w:tcW w:w="7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17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3,981,910</w:t>
            </w:r>
          </w:p>
        </w:tc>
        <w:tc>
          <w:tcPr>
            <w:tcW w:w="100" w:type="dxa"/>
            <w:vAlign w:val="bottom"/>
          </w:tcPr>
          <w:p>
            <w:pPr>
              <w:spacing w:after="0"/>
              <w:rPr>
                <w:sz w:val="18"/>
                <w:szCs w:val="18"/>
                <w:color w:val="auto"/>
              </w:rPr>
            </w:pPr>
          </w:p>
        </w:tc>
        <w:tc>
          <w:tcPr>
            <w:tcW w:w="17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3,164,965</w:t>
            </w:r>
          </w:p>
        </w:tc>
      </w:tr>
      <w:tr>
        <w:trPr>
          <w:trHeight w:val="20"/>
        </w:trPr>
        <w:tc>
          <w:tcPr>
            <w:tcW w:w="79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right="9500" w:firstLine="8"/>
        <w:spacing w:after="0" w:line="503" w:lineRule="auto"/>
        <w:tabs>
          <w:tab w:leader="none" w:pos="27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Incentive Plans Stock Options</w:t>
      </w:r>
    </w:p>
    <w:p>
      <w:pPr>
        <w:spacing w:after="0" w:line="1" w:lineRule="exact"/>
        <w:rPr>
          <w:sz w:val="20"/>
          <w:szCs w:val="20"/>
          <w:color w:val="auto"/>
        </w:rPr>
      </w:pPr>
    </w:p>
    <w:p>
      <w:pPr>
        <w:ind w:right="200"/>
        <w:spacing w:after="0" w:line="220" w:lineRule="exact"/>
        <w:rPr>
          <w:sz w:val="20"/>
          <w:szCs w:val="20"/>
          <w:color w:val="auto"/>
        </w:rPr>
      </w:pPr>
      <w:r>
        <w:rPr>
          <w:rFonts w:ascii="Times New Roman" w:cs="Times New Roman" w:eastAsia="Times New Roman" w:hAnsi="Times New Roman"/>
          <w:sz w:val="18"/>
          <w:szCs w:val="18"/>
          <w:color w:val="auto"/>
        </w:rPr>
        <w:t>The Company maintained the 2008 Stock Incentive Plan (the “2008 Plan”) for employees, consultants, advisors, and directors. The 2008 Plan provided for the granting of incentive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qualified stock option and restricted stock awards as determined by the Board. As of March 31, 2017, a total of 2,213,412 shares of common stock were authorized for grants under the 2008 Plan with 18,947 shares available for future grants. All unvested stock options granted under the 2008 Plan may be exercised into restricted stock subject to forfeiture provisions upon termination.</w:t>
      </w:r>
    </w:p>
    <w:p>
      <w:pPr>
        <w:spacing w:after="0" w:line="201" w:lineRule="exact"/>
        <w:rPr>
          <w:sz w:val="20"/>
          <w:szCs w:val="20"/>
          <w:color w:val="auto"/>
        </w:rPr>
      </w:pPr>
    </w:p>
    <w:p>
      <w:pPr>
        <w:ind w:right="80"/>
        <w:spacing w:after="0" w:line="220" w:lineRule="exact"/>
        <w:rPr>
          <w:sz w:val="20"/>
          <w:szCs w:val="20"/>
          <w:color w:val="auto"/>
        </w:rPr>
      </w:pPr>
      <w:r>
        <w:rPr>
          <w:rFonts w:ascii="Times New Roman" w:cs="Times New Roman" w:eastAsia="Times New Roman" w:hAnsi="Times New Roman"/>
          <w:sz w:val="18"/>
          <w:szCs w:val="18"/>
          <w:color w:val="auto"/>
        </w:rPr>
        <w:t>The 2008 Plan provided that the exercise price of incentive stock options cannot be less than 100% of the fair market value of the common stock on the grant date for participants who own 10% or less of the total combined voting power of the Company, and not less than 110% for participants who own more than 10% of the Company’s voting power. Options and restricted stock granted under the 2008 Plan vest over periods as determined by the Board, which are generally four years and, for options, with terms that generally expire ten years from the grant date. The fair value of each option award was estimated on the grant date using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Expected volatilities were based on historical volatilities from guideline companies, since there was no active market for the Company’s common stock. The Company used the “simplified” method to estimate the expected life of options granted and are expected to be outstanding. The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 used is the rate for a U.S. Treasury zero coupon issue with a remaining life consistent with the options expected life on the grant date. The Company has not paid, and does not expect to pay, any cash dividends in the foreseeable future. Forfeitures were estimated at the time of grant and were adjusted, if necessary, in subsequent periods if actual forfeitures differed from those estimates. The Company had estimated a forfeitures rate of 10% based on historical attrition trends. The Company records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only on the awards that are expected to vest.</w:t>
      </w:r>
    </w:p>
    <w:p>
      <w:pPr>
        <w:spacing w:after="0" w:line="1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As of the effective date of our Registration Statement on Form S-1 relating to the initial public offering of our common stock on June 21, 2016, the Company ceased granting awards under the 2008 Plan; however, awards issued under the 2008 Plan remain subject to the terms of the 2008 Plan and the applicable 2008 Plan agreement.</w:t>
      </w:r>
    </w:p>
    <w:p>
      <w:pPr>
        <w:spacing w:after="0" w:line="176"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On June 7, 2016, the Company’s stockholders approved the 2016 Incentive Award Plan (the “2016 Plan”), which became effective June 21, 2016. The 2016 Plan provides for the granting of incentive and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qualified stock option, restricted stock and other stock and cash based awards as determined by the Board. As of March 31, 2017, a total of 1,947,779 shares of common stock are authorized for grants under the 2016 Plan with 1,482,541 shares available for future grant.</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2016 Plan provides that the exercise price of incentive stock options cannot be less than 100% of the fair market value of the common stock on the grant date for participants who own 10% or less of the total combined voting power of the Company, and not less than 110% for participants who own more than 10% of the Company’s voting power. Options and restricted stock granted under the 2016 Plan vest over periods as determined by the Board, which are generally four years and, for options, with terms that generally expire ten years from the grant date.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assumptions used for employee stock option grants issued for the three month period ended March 31, 2017 and 2016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86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r>
      <w:tr>
        <w:trPr>
          <w:trHeight w:val="264"/>
        </w:trPr>
        <w:tc>
          <w:tcPr>
            <w:tcW w:w="786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2017</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r>
      <w:tr>
        <w:trPr>
          <w:trHeight w:val="255"/>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Risk-free interest rate</w:t>
            </w:r>
          </w:p>
        </w:tc>
        <w:tc>
          <w:tcPr>
            <w:tcW w:w="11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w:t>
            </w:r>
          </w:p>
        </w:tc>
      </w:tr>
      <w:tr>
        <w:trPr>
          <w:trHeight w:val="265"/>
        </w:trPr>
        <w:tc>
          <w:tcPr>
            <w:tcW w:w="78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Expected dividend yield</w:t>
            </w:r>
          </w:p>
        </w:tc>
        <w:tc>
          <w:tcPr>
            <w:tcW w:w="1120" w:type="dxa"/>
            <w:vAlign w:val="bottom"/>
          </w:tcPr>
          <w:p>
            <w:pPr>
              <w:spacing w:after="0"/>
              <w:rPr>
                <w:sz w:val="23"/>
                <w:szCs w:val="23"/>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spacing w:after="0"/>
              <w:rPr>
                <w:sz w:val="23"/>
                <w:szCs w:val="23"/>
                <w:color w:val="auto"/>
              </w:rPr>
            </w:pPr>
          </w:p>
        </w:tc>
        <w:tc>
          <w:tcPr>
            <w:tcW w:w="6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275"/>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Expected life</w:t>
            </w:r>
          </w:p>
        </w:tc>
        <w:tc>
          <w:tcPr>
            <w:tcW w:w="1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5.92</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6.03</w:t>
            </w:r>
          </w:p>
        </w:tc>
      </w:tr>
      <w:tr>
        <w:trPr>
          <w:trHeight w:val="265"/>
        </w:trPr>
        <w:tc>
          <w:tcPr>
            <w:tcW w:w="78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Expected volatility</w:t>
            </w:r>
          </w:p>
        </w:tc>
        <w:tc>
          <w:tcPr>
            <w:tcW w:w="1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84.41%</w:t>
            </w: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75.26%</w:t>
            </w:r>
          </w:p>
        </w:tc>
      </w:tr>
      <w:tr>
        <w:trPr>
          <w:trHeight w:val="275"/>
        </w:trPr>
        <w:tc>
          <w:tcPr>
            <w:tcW w:w="78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Weighted-average fair value of common stock</w:t>
            </w:r>
          </w:p>
        </w:tc>
        <w:tc>
          <w:tcPr>
            <w:tcW w:w="1120" w:type="dxa"/>
            <w:vAlign w:val="bottom"/>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10.89</w:t>
            </w: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948"/>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7.02</w:t>
            </w:r>
          </w:p>
        </w:tc>
      </w:tr>
    </w:tbl>
    <w:p>
      <w:pPr>
        <w:spacing w:after="0" w:line="200" w:lineRule="exact"/>
        <w:rPr>
          <w:sz w:val="20"/>
          <w:szCs w:val="20"/>
          <w:color w:val="auto"/>
        </w:rPr>
      </w:pPr>
    </w:p>
    <w:p>
      <w:pPr>
        <w:spacing w:after="0" w:line="241"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The resulting weighted average grant date fair value of stock options granted to employees during the three months ended March 31, 2017 and 2016 was $7.77 and $4.64, respectively. The aggregate intrinsic value of stock options exercised during the three months ended March 31, 2017 and 2016 was $0.6 million and less than $0.1 million, respectively.</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of March 31, 2017 and 2016, total unrecognized compensation expense related to unvested employee stock options was $5.2 million and $2.4 million, respectively, which is expected to be recognized over a weighted average period of 2.8 years and 3 years, respectively.</w:t>
      </w:r>
    </w:p>
    <w:p>
      <w:pPr>
        <w:spacing w:after="0" w:line="162" w:lineRule="exact"/>
        <w:rPr>
          <w:sz w:val="20"/>
          <w:szCs w:val="20"/>
          <w:color w:val="auto"/>
        </w:rPr>
      </w:pPr>
    </w:p>
    <w:p>
      <w:pPr>
        <w:ind w:right="500"/>
        <w:spacing w:after="0" w:line="235" w:lineRule="exact"/>
        <w:rPr>
          <w:sz w:val="20"/>
          <w:szCs w:val="20"/>
          <w:color w:val="auto"/>
        </w:rPr>
      </w:pPr>
      <w:r>
        <w:rPr>
          <w:rFonts w:ascii="Times New Roman" w:cs="Times New Roman" w:eastAsia="Times New Roman" w:hAnsi="Times New Roman"/>
          <w:sz w:val="18"/>
          <w:szCs w:val="18"/>
          <w:color w:val="auto"/>
        </w:rPr>
        <w:t>During the three months ended March 31, 2017, there were no options granted to non-employees. The weighted average assumptions used for unvested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stock options that were granted during the three months ended March 31, 2016 are as follows:</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3"/>
                <w:szCs w:val="13"/>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r>
      <w:tr>
        <w:trPr>
          <w:trHeight w:val="195"/>
        </w:trPr>
        <w:tc>
          <w:tcPr>
            <w:tcW w:w="9560" w:type="dxa"/>
            <w:vAlign w:val="bottom"/>
          </w:tcPr>
          <w:p>
            <w:pPr>
              <w:spacing w:after="0"/>
              <w:rPr>
                <w:sz w:val="16"/>
                <w:szCs w:val="16"/>
                <w:color w:val="auto"/>
              </w:rPr>
            </w:pPr>
          </w:p>
        </w:tc>
        <w:tc>
          <w:tcPr>
            <w:tcW w:w="186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31,</w:t>
            </w:r>
          </w:p>
        </w:tc>
      </w:tr>
      <w:tr>
        <w:trPr>
          <w:trHeight w:val="196"/>
        </w:trPr>
        <w:tc>
          <w:tcPr>
            <w:tcW w:w="9560" w:type="dxa"/>
            <w:vAlign w:val="bottom"/>
            <w:tcBorders>
              <w:bottom w:val="single" w:sz="8" w:color="CCEEFF"/>
            </w:tcBorders>
          </w:tcPr>
          <w:p>
            <w:pPr>
              <w:spacing w:after="0"/>
              <w:rPr>
                <w:sz w:val="17"/>
                <w:szCs w:val="17"/>
                <w:color w:val="auto"/>
              </w:rPr>
            </w:pPr>
          </w:p>
        </w:tc>
        <w:tc>
          <w:tcPr>
            <w:tcW w:w="186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15"/>
        </w:trPr>
        <w:tc>
          <w:tcPr>
            <w:tcW w:w="9560" w:type="dxa"/>
            <w:vAlign w:val="bottom"/>
            <w:shd w:val="clear" w:color="auto" w:fill="CCEEFF"/>
          </w:tcPr>
          <w:p>
            <w:pPr>
              <w:ind w:left="40"/>
              <w:spacing w:after="0" w:line="161" w:lineRule="exact"/>
              <w:rPr>
                <w:sz w:val="20"/>
                <w:szCs w:val="20"/>
                <w:color w:val="auto"/>
              </w:rPr>
            </w:pPr>
            <w:r>
              <w:rPr>
                <w:rFonts w:ascii="Times New Roman" w:cs="Times New Roman" w:eastAsia="Times New Roman" w:hAnsi="Times New Roman"/>
                <w:sz w:val="14"/>
                <w:szCs w:val="14"/>
                <w:color w:val="auto"/>
              </w:rPr>
              <w:t>Risk</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free interest rate</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r>
      <w:tr>
        <w:trPr>
          <w:trHeight w:val="211"/>
        </w:trPr>
        <w:tc>
          <w:tcPr>
            <w:tcW w:w="9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Expected dividend yield</w:t>
            </w:r>
          </w:p>
        </w:tc>
        <w:tc>
          <w:tcPr>
            <w:tcW w:w="18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221"/>
        </w:trPr>
        <w:tc>
          <w:tcPr>
            <w:tcW w:w="95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Expected life (in years)</w:t>
            </w:r>
          </w:p>
        </w:tc>
        <w:tc>
          <w:tcPr>
            <w:tcW w:w="18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9.94</w:t>
            </w:r>
          </w:p>
        </w:tc>
      </w:tr>
      <w:tr>
        <w:trPr>
          <w:trHeight w:val="193"/>
        </w:trPr>
        <w:tc>
          <w:tcPr>
            <w:tcW w:w="95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Expected volatility</w:t>
            </w:r>
          </w:p>
        </w:tc>
        <w:tc>
          <w:tcPr>
            <w:tcW w:w="1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82.48%</w:t>
            </w:r>
          </w:p>
        </w:tc>
      </w:tr>
    </w:tbl>
    <w:p>
      <w:pPr>
        <w:spacing w:after="0" w:line="200" w:lineRule="exact"/>
        <w:rPr>
          <w:sz w:val="20"/>
          <w:szCs w:val="20"/>
          <w:color w:val="auto"/>
        </w:rPr>
      </w:pPr>
    </w:p>
    <w:p>
      <w:pPr>
        <w:spacing w:after="0" w:line="222" w:lineRule="exact"/>
        <w:rPr>
          <w:sz w:val="20"/>
          <w:szCs w:val="20"/>
          <w:color w:val="auto"/>
        </w:rPr>
      </w:pPr>
    </w:p>
    <w:p>
      <w:pPr>
        <w:ind w:right="100"/>
        <w:spacing w:after="0" w:line="232" w:lineRule="exact"/>
        <w:rPr>
          <w:sz w:val="20"/>
          <w:szCs w:val="20"/>
          <w:color w:val="auto"/>
        </w:rPr>
      </w:pPr>
      <w:r>
        <w:rPr>
          <w:rFonts w:ascii="Times New Roman" w:cs="Times New Roman" w:eastAsia="Times New Roman" w:hAnsi="Times New Roman"/>
          <w:sz w:val="18"/>
          <w:szCs w:val="18"/>
          <w:color w:val="auto"/>
        </w:rPr>
        <w:t>The unvested options held by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employees are revalued using the Company’s estimate of fair value on each vesting and reporting date through the remaining vesting period.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of $0.1 million and less than $0.1 million was recorded during the three months ended March 31, 2017 and 2016, respectively.</w:t>
      </w:r>
    </w:p>
    <w:p>
      <w:pPr>
        <w:spacing w:after="0" w:line="171" w:lineRule="exact"/>
        <w:rPr>
          <w:sz w:val="20"/>
          <w:szCs w:val="20"/>
          <w:color w:val="auto"/>
        </w:rPr>
      </w:pPr>
    </w:p>
    <w:p>
      <w:pPr>
        <w:ind w:right="20"/>
        <w:spacing w:after="0" w:line="239" w:lineRule="exact"/>
        <w:rPr>
          <w:sz w:val="20"/>
          <w:szCs w:val="20"/>
          <w:color w:val="auto"/>
        </w:rPr>
      </w:pPr>
      <w:r>
        <w:rPr>
          <w:rFonts w:ascii="Times New Roman" w:cs="Times New Roman" w:eastAsia="Times New Roman" w:hAnsi="Times New Roman"/>
          <w:sz w:val="18"/>
          <w:szCs w:val="18"/>
          <w:color w:val="auto"/>
        </w:rPr>
        <w:t>As of March 31, 2017 and 2016, total unrecognized compensation expense related to unvested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employee stock options was $0.9 million and $0.5 million, respectively.</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activity under the 2008 Plan and the 2016 Plan during the three months ended March 31, 2017: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7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center"/>
              <w:ind w:right="100"/>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70"/>
        </w:trPr>
        <w:tc>
          <w:tcPr>
            <w:tcW w:w="47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4"/>
                <w:szCs w:val="14"/>
                <w:b w:val="1"/>
                <w:bCs w:val="1"/>
                <w:color w:val="auto"/>
              </w:rPr>
              <w:t>Weighted</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average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23"/>
                <w:szCs w:val="23"/>
                <w:color w:val="auto"/>
              </w:rPr>
            </w:pPr>
          </w:p>
        </w:tc>
        <w:tc>
          <w:tcPr>
            <w:tcW w:w="136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270"/>
        </w:trPr>
        <w:tc>
          <w:tcPr>
            <w:tcW w:w="4700" w:type="dxa"/>
            <w:vAlign w:val="bottom"/>
          </w:tcPr>
          <w:p>
            <w:pPr>
              <w:spacing w:after="0"/>
              <w:rPr>
                <w:sz w:val="23"/>
                <w:szCs w:val="23"/>
                <w:color w:val="auto"/>
              </w:rPr>
            </w:pPr>
          </w:p>
        </w:tc>
        <w:tc>
          <w:tcPr>
            <w:tcW w:w="1600" w:type="dxa"/>
            <w:vAlign w:val="bottom"/>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220" w:type="dxa"/>
            <w:vAlign w:val="bottom"/>
          </w:tcPr>
          <w:p>
            <w:pPr>
              <w:spacing w:after="0"/>
              <w:rPr>
                <w:sz w:val="23"/>
                <w:szCs w:val="23"/>
                <w:color w:val="auto"/>
              </w:rPr>
            </w:pPr>
          </w:p>
        </w:tc>
        <w:tc>
          <w:tcPr>
            <w:tcW w:w="13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275"/>
        </w:trPr>
        <w:tc>
          <w:tcPr>
            <w:tcW w:w="4700" w:type="dxa"/>
            <w:vAlign w:val="bottom"/>
          </w:tcPr>
          <w:p>
            <w:pPr>
              <w:spacing w:after="0"/>
              <w:rPr>
                <w:sz w:val="23"/>
                <w:szCs w:val="23"/>
                <w:color w:val="auto"/>
              </w:rPr>
            </w:pPr>
          </w:p>
        </w:tc>
        <w:tc>
          <w:tcPr>
            <w:tcW w:w="1600" w:type="dxa"/>
            <w:vAlign w:val="bottom"/>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1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20" w:type="dxa"/>
            <w:vAlign w:val="bottom"/>
          </w:tcPr>
          <w:p>
            <w:pPr>
              <w:spacing w:after="0"/>
              <w:rPr>
                <w:sz w:val="23"/>
                <w:szCs w:val="23"/>
                <w:color w:val="auto"/>
              </w:rPr>
            </w:pPr>
          </w:p>
        </w:tc>
        <w:tc>
          <w:tcPr>
            <w:tcW w:w="136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55"/>
        </w:trPr>
        <w:tc>
          <w:tcPr>
            <w:tcW w:w="47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6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4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360" w:type="dxa"/>
            <w:vAlign w:val="bottom"/>
            <w:tcBorders>
              <w:top w:val="single" w:sz="8" w:color="auto"/>
            </w:tcBorders>
            <w:shd w:val="clear" w:color="auto" w:fill="CCEEFF"/>
          </w:tcPr>
          <w:p>
            <w:pPr>
              <w:spacing w:after="0"/>
              <w:rPr>
                <w:sz w:val="22"/>
                <w:szCs w:val="22"/>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Outstanding at December 31, 2016</w:t>
            </w:r>
          </w:p>
        </w:tc>
        <w:tc>
          <w:tcPr>
            <w:tcW w:w="1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1,720,741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7.73</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7.43</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16,425</w:t>
            </w:r>
          </w:p>
        </w:tc>
      </w:tr>
      <w:tr>
        <w:trPr>
          <w:trHeight w:val="275"/>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1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16,125</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10.89</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5"/>
        </w:trPr>
        <w:tc>
          <w:tcPr>
            <w:tcW w:w="4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Exercised</w:t>
            </w:r>
          </w:p>
        </w:tc>
        <w:tc>
          <w:tcPr>
            <w:tcW w:w="1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(53,664)</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3.65</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160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(5,143)</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6.77</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Outstanding at March 31, 2017</w:t>
            </w:r>
          </w:p>
        </w:tc>
        <w:tc>
          <w:tcPr>
            <w:tcW w:w="1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1,678,059</w:t>
            </w:r>
          </w:p>
        </w:tc>
        <w:tc>
          <w:tcPr>
            <w:tcW w:w="3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7.89</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7.28</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6,693</w:t>
            </w:r>
          </w:p>
        </w:tc>
      </w:tr>
      <w:tr>
        <w:trPr>
          <w:trHeight w:val="250"/>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Vested at March 31, 2017</w:t>
            </w: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843,379</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5,512</w:t>
            </w:r>
          </w:p>
        </w:tc>
      </w:tr>
      <w:tr>
        <w:trPr>
          <w:trHeight w:val="282"/>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Vested and expected to vest at March 31, 2017</w:t>
            </w:r>
          </w:p>
        </w:tc>
        <w:tc>
          <w:tcPr>
            <w:tcW w:w="1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1,576,207</w:t>
            </w:r>
          </w:p>
        </w:tc>
        <w:tc>
          <w:tcPr>
            <w:tcW w:w="3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7.65</w:t>
            </w:r>
          </w:p>
        </w:tc>
        <w:tc>
          <w:tcPr>
            <w:tcW w:w="100" w:type="dxa"/>
            <w:vAlign w:val="bottom"/>
            <w:tcBorders>
              <w:bottom w:val="single" w:sz="8" w:color="CCEEFF"/>
            </w:tcBorders>
          </w:tcPr>
          <w:p>
            <w:pPr>
              <w:spacing w:after="0"/>
              <w:rPr>
                <w:sz w:val="24"/>
                <w:szCs w:val="24"/>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6,553</w:t>
            </w:r>
          </w:p>
        </w:tc>
      </w:tr>
      <w:tr>
        <w:trPr>
          <w:trHeight w:val="224"/>
        </w:trPr>
        <w:tc>
          <w:tcPr>
            <w:tcW w:w="4700" w:type="dxa"/>
            <w:vAlign w:val="bottom"/>
            <w:shd w:val="clear" w:color="auto" w:fill="CCEEFF"/>
          </w:tcPr>
          <w:p>
            <w:pPr>
              <w:ind w:left="40"/>
              <w:spacing w:after="0" w:line="161" w:lineRule="exact"/>
              <w:rPr>
                <w:sz w:val="20"/>
                <w:szCs w:val="20"/>
                <w:color w:val="auto"/>
              </w:rPr>
            </w:pPr>
            <w:r>
              <w:rPr>
                <w:rFonts w:ascii="Times New Roman" w:cs="Times New Roman" w:eastAsia="Times New Roman" w:hAnsi="Times New Roman"/>
                <w:sz w:val="14"/>
                <w:szCs w:val="14"/>
                <w:b w:val="1"/>
                <w:bCs w:val="1"/>
                <w:color w:val="auto"/>
              </w:rPr>
              <w:t>Non</w:t>
            </w:r>
            <w:r>
              <w:rPr>
                <w:rFonts w:ascii="MS PGothic" w:cs="MS PGothic" w:eastAsia="MS PGothic" w:hAnsi="MS PGothic"/>
                <w:sz w:val="14"/>
                <w:szCs w:val="14"/>
                <w:color w:val="auto"/>
                <w:strike w:val="1"/>
              </w:rPr>
              <w:t>‑</w:t>
            </w:r>
            <w:r>
              <w:rPr>
                <w:rFonts w:ascii="Times New Roman" w:cs="Times New Roman" w:eastAsia="Times New Roman" w:hAnsi="Times New Roman"/>
                <w:sz w:val="14"/>
                <w:szCs w:val="14"/>
                <w:b w:val="1"/>
                <w:bCs w:val="1"/>
                <w:color w:val="auto"/>
              </w:rPr>
              <w:t>Employee</w:t>
            </w:r>
          </w:p>
        </w:tc>
        <w:tc>
          <w:tcPr>
            <w:tcW w:w="1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65"/>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Outstanding at December 31, 2016</w:t>
            </w:r>
          </w:p>
        </w:tc>
        <w:tc>
          <w:tcPr>
            <w:tcW w:w="16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407,605</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w:t>
            </w:r>
          </w:p>
        </w:tc>
        <w:tc>
          <w:tcPr>
            <w:tcW w:w="100" w:type="dxa"/>
            <w:vAlign w:val="bottom"/>
          </w:tcPr>
          <w:p>
            <w:pPr>
              <w:spacing w:after="0"/>
              <w:rPr>
                <w:sz w:val="23"/>
                <w:szCs w:val="23"/>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5,224</w:t>
            </w:r>
          </w:p>
        </w:tc>
      </w:tr>
      <w:tr>
        <w:trPr>
          <w:trHeight w:val="275"/>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Granted</w:t>
            </w:r>
          </w:p>
        </w:tc>
        <w:tc>
          <w:tcPr>
            <w:tcW w:w="16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5"/>
        </w:trPr>
        <w:tc>
          <w:tcPr>
            <w:tcW w:w="470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Exercised</w:t>
            </w:r>
          </w:p>
        </w:tc>
        <w:tc>
          <w:tcPr>
            <w:tcW w:w="16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(60,000)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4.20</w:t>
            </w: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0"/>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Forfeited</w:t>
            </w: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50"/>
        </w:trPr>
        <w:tc>
          <w:tcPr>
            <w:tcW w:w="47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Outstanding at March 31, 2017</w:t>
            </w:r>
          </w:p>
        </w:tc>
        <w:tc>
          <w:tcPr>
            <w:tcW w:w="1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347,605</w:t>
            </w:r>
          </w:p>
        </w:tc>
        <w:tc>
          <w:tcPr>
            <w:tcW w:w="300" w:type="dxa"/>
            <w:vAlign w:val="bottom"/>
            <w:tcBorders>
              <w:bottom w:val="single" w:sz="8" w:color="CCEEFF"/>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tcBorders>
              <w:bottom w:val="single" w:sz="8" w:color="CCEEFF"/>
            </w:tcBorders>
          </w:tcPr>
          <w:p>
            <w:pPr>
              <w:spacing w:after="0"/>
              <w:rPr>
                <w:sz w:val="21"/>
                <w:szCs w:val="21"/>
                <w:color w:val="auto"/>
              </w:rPr>
            </w:pPr>
          </w:p>
        </w:tc>
        <w:tc>
          <w:tcPr>
            <w:tcW w:w="1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CCEEFF"/>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Borders>
              <w:bottom w:val="single" w:sz="8" w:color="CCEEFF"/>
            </w:tcBorders>
          </w:tcPr>
          <w:p>
            <w:pPr>
              <w:jc w:val="right"/>
              <w:ind w:right="28"/>
              <w:spacing w:after="0"/>
              <w:rPr>
                <w:sz w:val="20"/>
                <w:szCs w:val="20"/>
                <w:color w:val="auto"/>
              </w:rPr>
            </w:pPr>
            <w:r>
              <w:rPr>
                <w:rFonts w:ascii="Times New Roman" w:cs="Times New Roman" w:eastAsia="Times New Roman" w:hAnsi="Times New Roman"/>
                <w:sz w:val="14"/>
                <w:szCs w:val="14"/>
                <w:color w:val="auto"/>
              </w:rPr>
              <w:t>2,286</w:t>
            </w:r>
          </w:p>
        </w:tc>
      </w:tr>
      <w:tr>
        <w:trPr>
          <w:trHeight w:val="250"/>
        </w:trPr>
        <w:tc>
          <w:tcPr>
            <w:tcW w:w="47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Vested at March 31, 2017</w:t>
            </w:r>
          </w:p>
        </w:tc>
        <w:tc>
          <w:tcPr>
            <w:tcW w:w="16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275,074</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3.50</w:t>
            </w:r>
          </w:p>
        </w:tc>
        <w:tc>
          <w:tcPr>
            <w:tcW w:w="100" w:type="dxa"/>
            <w:vAlign w:val="bottom"/>
            <w:shd w:val="clear" w:color="auto" w:fill="CCEEFF"/>
          </w:tcPr>
          <w:p>
            <w:pPr>
              <w:spacing w:after="0"/>
              <w:rPr>
                <w:sz w:val="21"/>
                <w:szCs w:val="21"/>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2,072</w:t>
            </w:r>
          </w:p>
        </w:tc>
      </w:tr>
      <w:tr>
        <w:trPr>
          <w:trHeight w:val="242"/>
        </w:trPr>
        <w:tc>
          <w:tcPr>
            <w:tcW w:w="47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Vested and expected to vest at March 31, 2017</w:t>
            </w:r>
          </w:p>
        </w:tc>
        <w:tc>
          <w:tcPr>
            <w:tcW w:w="16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343,951</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w:t>
            </w:r>
          </w:p>
        </w:tc>
        <w:tc>
          <w:tcPr>
            <w:tcW w:w="100" w:type="dxa"/>
            <w:vAlign w:val="bottom"/>
          </w:tcPr>
          <w:p>
            <w:pPr>
              <w:spacing w:after="0"/>
              <w:rPr>
                <w:sz w:val="21"/>
                <w:szCs w:val="21"/>
                <w:color w:val="auto"/>
              </w:rPr>
            </w:pPr>
          </w:p>
        </w:tc>
        <w:tc>
          <w:tcPr>
            <w:tcW w:w="2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2,286</w:t>
            </w: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On June 7, 2016, the Company’s stockholders approved the 2016 Employee Stock Purchase Plan (the “ESPP”), which became effective June 21, 2016. The ESPP is intended to qualify as an "employee stock purchase plan" under Section 423 of the Internal Revenue Code of 1986 with the purpose of providing employees with an opportunity to purchase the Company's common stock through accumulated payroll deductions.</w:t>
      </w:r>
    </w:p>
    <w:p>
      <w:pPr>
        <w:spacing w:after="0" w:line="176" w:lineRule="exact"/>
        <w:rPr>
          <w:sz w:val="20"/>
          <w:szCs w:val="20"/>
          <w:color w:val="auto"/>
        </w:rPr>
      </w:pPr>
    </w:p>
    <w:p>
      <w:pPr>
        <w:jc w:val="both"/>
        <w:ind w:right="80"/>
        <w:spacing w:after="0" w:line="239" w:lineRule="auto"/>
        <w:rPr>
          <w:sz w:val="20"/>
          <w:szCs w:val="20"/>
          <w:color w:val="auto"/>
        </w:rPr>
      </w:pPr>
      <w:r>
        <w:rPr>
          <w:rFonts w:ascii="Times New Roman" w:cs="Times New Roman" w:eastAsia="Times New Roman" w:hAnsi="Times New Roman"/>
          <w:sz w:val="17"/>
          <w:szCs w:val="17"/>
          <w:color w:val="auto"/>
        </w:rPr>
        <w:t>Under the ESPP, the Company has set two six-month offering periods during each calendar year, one beginning March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7"/>
          <w:szCs w:val="17"/>
          <w:color w:val="auto"/>
        </w:rPr>
        <w:t xml:space="preserve"> and the other beginning September 1</w:t>
      </w:r>
      <w:r>
        <w:rPr>
          <w:rFonts w:ascii="Times New Roman" w:cs="Times New Roman" w:eastAsia="Times New Roman" w:hAnsi="Times New Roman"/>
          <w:sz w:val="24"/>
          <w:szCs w:val="24"/>
          <w:color w:val="auto"/>
          <w:vertAlign w:val="superscript"/>
        </w:rPr>
        <w:t>st</w:t>
      </w:r>
      <w:r>
        <w:rPr>
          <w:rFonts w:ascii="Times New Roman" w:cs="Times New Roman" w:eastAsia="Times New Roman" w:hAnsi="Times New Roman"/>
          <w:sz w:val="17"/>
          <w:szCs w:val="17"/>
          <w:color w:val="auto"/>
        </w:rPr>
        <w:t xml:space="preserve"> of each calendar year, during which employees may elect to have up to 25% of their eligible compensation deducted on each payday on an after-tax basis for use in purchasing the Company's common stock on the last trading day of each offering period, subject to limits imposed by the Internal Revenue Code.</w:t>
      </w:r>
    </w:p>
    <w:p>
      <w:pPr>
        <w:spacing w:after="0" w:line="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The purchase price of the shares may not be less than 85% of the fair market value on the first or last trading day of the offering period, whichever is lower. A total of 357,456 shares of common stock are authorized and reserved for future issuance under the ESPP. The number of shares of common stock that may be issued under the ESPP will automatically increase on the first day of each calendar year, beginning in 2017 and ending in and including 2026, by an amount equal to the lesser of: (i) 1% of the number of shares of the Company’s common stock outstanding on the last day of the applicable preceding calendar year and (ii) such smaller number of shares as is determined by the Company’s Board of Directors.</w:t>
      </w:r>
    </w:p>
    <w:p>
      <w:pPr>
        <w:spacing w:after="0" w:line="18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fair value of the purchase rights granted under the ESPP for the offering period beginning March 1, 2017 was estimated by applying Black-Scholes using the following assumptions: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40" w:type="dxa"/>
            <w:vAlign w:val="bottom"/>
          </w:tcPr>
          <w:p>
            <w:pPr>
              <w:spacing w:after="0"/>
              <w:rPr>
                <w:sz w:val="13"/>
                <w:szCs w:val="13"/>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94"/>
        </w:trPr>
        <w:tc>
          <w:tcPr>
            <w:tcW w:w="9340" w:type="dxa"/>
            <w:vAlign w:val="bottom"/>
          </w:tcPr>
          <w:p>
            <w:pPr>
              <w:spacing w:after="0"/>
              <w:rPr>
                <w:sz w:val="16"/>
                <w:szCs w:val="16"/>
                <w:color w:val="auto"/>
              </w:rPr>
            </w:pPr>
          </w:p>
        </w:tc>
        <w:tc>
          <w:tcPr>
            <w:tcW w:w="2080" w:type="dxa"/>
            <w:vAlign w:val="bottom"/>
            <w:tcBorders>
              <w:bottom w:val="single" w:sz="8" w:color="auto"/>
            </w:tcBorders>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198"/>
        </w:trPr>
        <w:tc>
          <w:tcPr>
            <w:tcW w:w="9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Risk-free interest rate</w:t>
            </w:r>
          </w:p>
        </w:tc>
        <w:tc>
          <w:tcPr>
            <w:tcW w:w="2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0.91%</w:t>
            </w:r>
          </w:p>
        </w:tc>
      </w:tr>
      <w:tr>
        <w:trPr>
          <w:trHeight w:val="221"/>
        </w:trPr>
        <w:tc>
          <w:tcPr>
            <w:tcW w:w="9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Expected dividend yield</w:t>
            </w:r>
          </w:p>
        </w:tc>
        <w:tc>
          <w:tcPr>
            <w:tcW w:w="208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r>
      <w:tr>
        <w:trPr>
          <w:trHeight w:val="211"/>
        </w:trPr>
        <w:tc>
          <w:tcPr>
            <w:tcW w:w="93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Expected life</w:t>
            </w:r>
          </w:p>
        </w:tc>
        <w:tc>
          <w:tcPr>
            <w:tcW w:w="20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0.5</w:t>
            </w:r>
          </w:p>
        </w:tc>
      </w:tr>
      <w:tr>
        <w:trPr>
          <w:trHeight w:val="208"/>
        </w:trPr>
        <w:tc>
          <w:tcPr>
            <w:tcW w:w="9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Expected volatility</w:t>
            </w: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w:t>
            </w:r>
          </w:p>
        </w:tc>
      </w:tr>
    </w:tbl>
    <w:p>
      <w:pPr>
        <w:spacing w:after="0" w:line="198"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2017, the Company recorded less than $0.1 million of stock-based compensation expense and issued no shares of common stock to employees under the ESPP. There was no stock-based compensation expense related to the ESPP recorded for the three months ended March 31, 2016.</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121" w:right="2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2013, the Company issued 30,317 shares of restricted common stock to employees upon the early exercise of stock options. During the year ended December 31, 2014, the Company issued 2,564 shares of restricted common stock to employees. Under the terms of each agreement, the Company has the right to repurchase any unvested shares when/if the shareholders terminate their employment relationship with the Company, at a price equal to the original exercise price. Accordingly, the Company recorded the cumulative payments received of $0.1 million for the purchase of the restricted shares as a liability. The Company records payment received from the granting of restricted stock as a liability which is amortized over the vesting period. The liability became fully amortized as of December 31, 2016.</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2017, there was no unrecognized compensation cost related to unvested restricted stock.</w:t>
      </w:r>
    </w:p>
    <w:p>
      <w:pPr>
        <w:spacing w:after="0" w:line="34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related to stock options and restricted common stock in the following expense categories of its consolidated statements of operations and comprehensive loss (in thousands):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80" w:type="dxa"/>
            <w:vAlign w:val="bottom"/>
          </w:tcPr>
          <w:p>
            <w:pPr>
              <w:spacing w:after="0"/>
              <w:rPr>
                <w:sz w:val="16"/>
                <w:szCs w:val="16"/>
                <w:color w:val="auto"/>
              </w:rPr>
            </w:pPr>
          </w:p>
        </w:tc>
        <w:tc>
          <w:tcPr>
            <w:tcW w:w="3300" w:type="dxa"/>
            <w:vAlign w:val="bottom"/>
            <w:tcBorders>
              <w:bottom w:val="single" w:sz="8" w:color="auto"/>
            </w:tcBorders>
            <w:gridSpan w:val="4"/>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40" w:type="dxa"/>
            <w:vAlign w:val="bottom"/>
            <w:tcBorders>
              <w:bottom w:val="single" w:sz="8" w:color="auto"/>
            </w:tcBorders>
          </w:tcPr>
          <w:p>
            <w:pPr>
              <w:spacing w:after="0"/>
              <w:rPr>
                <w:sz w:val="16"/>
                <w:szCs w:val="16"/>
                <w:color w:val="auto"/>
              </w:rPr>
            </w:pPr>
          </w:p>
        </w:tc>
      </w:tr>
      <w:tr>
        <w:trPr>
          <w:trHeight w:val="264"/>
        </w:trPr>
        <w:tc>
          <w:tcPr>
            <w:tcW w:w="758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26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540" w:type="dxa"/>
            <w:vAlign w:val="bottom"/>
            <w:tcBorders>
              <w:bottom w:val="single" w:sz="8" w:color="auto"/>
            </w:tcBorders>
          </w:tcPr>
          <w:p>
            <w:pPr>
              <w:spacing w:after="0"/>
              <w:rPr>
                <w:sz w:val="22"/>
                <w:szCs w:val="22"/>
                <w:color w:val="auto"/>
              </w:rPr>
            </w:pPr>
          </w:p>
        </w:tc>
      </w:tr>
      <w:tr>
        <w:trPr>
          <w:trHeight w:val="215"/>
        </w:trPr>
        <w:tc>
          <w:tcPr>
            <w:tcW w:w="7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240" w:type="dxa"/>
            <w:vAlign w:val="bottom"/>
            <w:shd w:val="clear" w:color="auto" w:fill="CCEEFF"/>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335</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167</w:t>
            </w:r>
          </w:p>
        </w:tc>
      </w:tr>
      <w:tr>
        <w:trPr>
          <w:trHeight w:val="265"/>
        </w:trPr>
        <w:tc>
          <w:tcPr>
            <w:tcW w:w="75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2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358</w:t>
            </w:r>
          </w:p>
        </w:tc>
        <w:tc>
          <w:tcPr>
            <w:tcW w:w="26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115</w:t>
            </w:r>
          </w:p>
        </w:tc>
      </w:tr>
      <w:tr>
        <w:trPr>
          <w:trHeight w:val="242"/>
        </w:trPr>
        <w:tc>
          <w:tcPr>
            <w:tcW w:w="7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w:t>
            </w:r>
          </w:p>
        </w:tc>
        <w:tc>
          <w:tcPr>
            <w:tcW w:w="1240" w:type="dxa"/>
            <w:vAlign w:val="bottom"/>
            <w:tcBorders>
              <w:bottom w:val="single" w:sz="8" w:color="auto"/>
            </w:tcBorders>
            <w:shd w:val="clear" w:color="auto" w:fill="CCEEFF"/>
          </w:tcPr>
          <w:p>
            <w:pPr>
              <w:jc w:val="right"/>
              <w:ind w:right="1068"/>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693</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108"/>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282</w:t>
            </w:r>
          </w:p>
        </w:tc>
      </w:tr>
      <w:tr>
        <w:trPr>
          <w:trHeight w:val="20"/>
        </w:trPr>
        <w:tc>
          <w:tcPr>
            <w:tcW w:w="75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ind w:right="9320" w:firstLine="8"/>
        <w:spacing w:after="0" w:line="503" w:lineRule="auto"/>
        <w:tabs>
          <w:tab w:leader="none" w:pos="27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Arrangements Spark license agreement</w:t>
      </w:r>
    </w:p>
    <w:p>
      <w:pPr>
        <w:spacing w:after="0" w:line="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In December 2016, the Company entered into a License and Option Agreement (“Spark License Agreement”) with Spark Therapeutics, Inc. (“Spark”) pursuant to which the Company and Spark agreed to collaborate on the development of gene therapies for certain targets utilizing the SVP™ technology. The Spark License Agreement provides Spark with certain exclusive, worldwide, royalty bearing licenses to the Company’s intellectual property, allowing Spark to develop and commercialize gene therapies for an initial identified target.</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an upfront cash payment of $10.0 million under the Spark License Agreement, additional payments of an aggregate of $5.0 million will be due within twelve months of the contract dated December 2, 2016 (“Contract Date”). Spark may also exercise options to research, develop and commercialize gene therapies utilizing the SVP technology for up to four additional targets. The Company is eligible to receive a variable fee up to $2.0 million for each additional target option elected, dependent on the incidence of the applicable indication. As per the agreement, the election period in which Spark can exercise additional targets is a term of three years from the Contract Date, or December 1, 2019.</w:t>
      </w:r>
    </w:p>
    <w:p>
      <w:pPr>
        <w:spacing w:after="0" w:line="184"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Assuming successful development and commercialization, the Company could receive up to an additional $65.0 million in development and regulatory milestone payments and $365.0 million in commercialization milestone payments for each indication. If commercialized, the Company would be eligible to receive tiered royalties on global net sales at percentages ranging from mid-single to low-double digits, all of which apply on a target-by-target basis. Under the terms of the agreement, the Company will be eligible to receive these royalties commencing on the first commercial sale of the licensed product and terminating upon the later of (i) ten years after the first commercial sale, (ii) expiration of the last to expire valid claim on patents covering the jointly invented field specific improvements, or (iii) the expiration of regulatory exclusivity in the applicable country for the licensed product.</w:t>
      </w:r>
    </w:p>
    <w:p>
      <w:pPr>
        <w:spacing w:after="0" w:line="188"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License Agreement may be terminated by Spark for convenience upon ninety days’ notice. Either party may terminate the License Agreement on a target-by-target basis for material breach with respect to such target.</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December 2016, the Company also entered into a Share Purchase Agreement (the “Purchase Agreement”) with Spark. Pursuant to the Purchase Agreement, the Company sold 197,238 shares of the Company’s common stock to Spark for gross proceeds of $5.0 million, or $25.35 per share of common stock, at an initial closing (the “Initial Closing”). The purchase price per share represents an amount equal to 115% of the average daily volume weighted average price (“VWAP”) of the Common Stock during the thirty consecutive calendar days leading up to and ending on the day prior to the Contract Date. Under the Stock Purchase Agreement, Spark has agreed not to dispose of any of the Initial Closing Shares or any Acquisition Right Shares that it may acquire until January 1, 2018 and, thereafter, transfers will be contractually subject to volume limitations applicable</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to an “affiliate” under Rule 144 of the Securities Act. Closings under the Stock Purchase Agreement are subject to customary conditions. Beyond the Initial Closing, the Purchase Agreement provides for potential future sales of shares by the Company to Spark as follows:</w:t>
      </w:r>
    </w:p>
    <w:p>
      <w:pPr>
        <w:spacing w:after="0" w:line="162" w:lineRule="exact"/>
        <w:rPr>
          <w:sz w:val="20"/>
          <w:szCs w:val="20"/>
          <w:color w:val="auto"/>
        </w:rPr>
      </w:pPr>
    </w:p>
    <w:p>
      <w:pPr>
        <w:ind w:left="660" w:right="2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Acquisition Right. During the period beginning on May 1, 2017 and ending on June 1, 2017, Spark will have the right (the “First Acquisition Right”) to purchase a number of shares of Common Stock equal to an aggregate price of $5.0 million.</w:t>
      </w:r>
    </w:p>
    <w:p>
      <w:pPr>
        <w:spacing w:after="0" w:line="16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Acquisition Right. During the period beginning on October 1, 2017 and ending on November 1, 2017, Spark will have the right (the “Second Acquisition Right”) to purchase a number of shares of Common Stock equal to an aggregate price of $5.0 million.</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First Acquisition Rights and Second Acquisition Rights are collectively referred to herein as the “Acquisition Rights”. The number of shares issued under the Acquisition Rights will be determined based on the calculated purchase price on the date of notification, which is defined as an amount equal to 115% of the average daily volume weighted average price (“VWAP”) of the Common Stock during the thirty consecutive calendar days leading up to and ending on the day prior to the Acquisition Right notification date. The aggregate number of shares that the Company may issue pursuant to the Stock Purchase Agreement may not exceed the lesser of (i) 2,758,112 shares and (ii) such number of shares that would require the Company to obtain prior shareholder approval under the Nasdaq Marketplace Rules.</w:t>
      </w:r>
    </w:p>
    <w:p>
      <w:pPr>
        <w:spacing w:after="0" w:line="18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execution of the Spark License Agreement and Purchase Agreement, the Company made contractual payments defined in the MIT license agreement (Note 15) totaling $1.5 million for the MIT sub-license provided to Spark, and $0.2 million relative to the calculated premium paid by Spark for the initial equity investment made under the Purchase Agreement. No additional payments were required to be made during the three months ended March 31, 2017.</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Accounting Analysis</w:t>
      </w:r>
    </w:p>
    <w:p>
      <w:pPr>
        <w:spacing w:after="0" w:line="2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Spark License Agreement contains the following deliverables: (1) certain exclusive, worldwide, royalty bearing licenses to the Company’s intellectual property and a license to conduct certain research activities under the collaboration, or the License Deliverable, (2) options to research, develop and commercialize gene therapies utilizing the SVP technology for up to four additional target therapy options, or the Option Deliverable, and (3) manufactured supply of pre-clinical and clinical SVP, or the Supply Deliverable. The Company considered the provisions of the multiple-element arrangement guidance in determining how to recognize the revenue associated with the identified deliverables. The Company has accounted for access to certain of the Company's technology through the various licenses and rights to use under the license deliverables listed above and the delivery of the manufactured supply as a single unit of accounting. The deliverables are not considered to have standalone value from one another and amounts allocated to these obligations will be recognized throughout the estimated period of delivery of the supply.</w:t>
      </w:r>
    </w:p>
    <w:p>
      <w:pPr>
        <w:spacing w:after="0" w:line="18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Option Deliverable is determined to be substantive at the outset of the agreement, and therefore will not be considered an element of the arrangement when allocating the consideration as there is considerable uncertainty that the options would be exercised. Although the options are not considered a deliverable at inception, it was determined that there is a significant and incremental discount that requires inclusion as an element of the initial allocation of contract consideration.</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 addition, the Company evaluated the stock purchase agreement and the collaboration and license agreement as one arrangement and determined that the initial purchase of common stock combined with the embedded future stock Acquisition Rights had a fair value of $2.7 million and this amount was recorded in equity.</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evaluated and determined that the Acquisition Rights under the stock purchase agreement are not freestanding instruments as these rights are not legally detachable from the Company’s common stock. In addition, the Company has further assessed that the Acquisition Rights were clearly and closely related to the economic characteristic and risk of the Common Stock. The Company determined that the Acquisition Rights are embedded and inseparable from the initial stock purchase and no subsequent remeasurement is necessary.</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Allocable arrangement consideration at inception consisted of the total non-contingent payments aggregating to $15 million. The Company allocated $2.7 million to equity (representing the fair value of the initial purchase of common stock combined with the embedded future stock Acquisition Rights), $7.1 million to the License and Supply Deliverable combined unit of accounting and $5.2 million to the discount on the Option Deliverable. The total arrangement consideration for the License and Supply deliverable and the Option deliverable was allocated using the relative best estimate of selling price method to each deliverable. The best estimate of selling price for the License and Supply deliverable was determined using a discounted cash</w:t>
      </w: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121"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flow model that includes Level 3 fair value measurements. The best estimate of selling price for the Option Deliverable was determined based on the fair value of the license minus the strike price of the option. The consideration allocated to the combined unit of accounting for the License and Supply Deliverable, totaling $7.1 million, will be recognized based on the expected deliveries over an initial term which is estimated to be approximately four years. The discount associated with the Option Deliverable, totaling $5.2 million, will be recognized, if the options are exercised, over the related expected deliveries of supply. If the options expire without exercise, the related deferred revenue will be recognized upon expiration (December 1, 2019).</w:t>
      </w:r>
    </w:p>
    <w:p>
      <w:pPr>
        <w:spacing w:after="0" w:line="18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Revenues totaling less than $0.1 million were recognized related to the Spark License Agreement during the three months ended March 31, 2017. There were no revenues recognized for the three months ended March 31, 2016.</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determined that each potential future clinical and regulatory milestone was non-substantive, therefore, any consideration received will be allocated to the License and Supply Deliverable and Option Deliverable using the relative selling price.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Sales-based milestones and royalty payments are expected to be recognized when earned.</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As of March 31, 2017, there was $12.2 million of deferred revenue related to this agreement. A total of $1.9 million was recorded as a current liability and $10.3 million was classified as a long term liability in the accompanying consolidated balance sheet.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Sanofi Collaboration Agreement</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On November 27, 2012, the Company and Sanofi entered into a license and research collaboration agreement focused on the identification and development of vaccines against food allergies (the “Sanofi Agreement”). Under the arrangement, the Company agreed to perform research to identify an initial vaccine candidate for development and commercialization by Sanofi under an exclusive license.</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Pursuant to the Sanofi Agreement, the Company received an upfront payment of $2.0 million for the initial indication in November 2012 and an additional payment of $3.0 million in August 2013. In November 2014, Sanofi exercised the option to include celiac disease as an additional indication, and in May 2015, the Sanofi Agreement was amended to add terms specific to the celiac disease indication and to terminate Sanofi's right to exercise its option for any additional indications. Sanofi paid the Company an additional $2.0 million upon the exercise of the option in May 2015 and an additional $1.0 million in July 2016 upon attaining the first milestone for the celiac disease indication. To date, Sanofi has paid the Company $8.0 million in the aggregate under the Sanofi Agreement.</w:t>
      </w:r>
    </w:p>
    <w:p>
      <w:pPr>
        <w:spacing w:after="0" w:line="18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Except as authorized by Sanofi or permitted under the Sanofi Agreement, during the term of the Sanofi Agreement, exclusivity obligations prevent the Company from researching, developing, or commercializing products in these indications or granting third party licenses under the intellectual property rights and technologies licensed to Sanofi for use in these indications.</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As per the agreement, the research term expired for the first indication on the third anniversary (November 27, 2015) of the agreement. The Company completed its research obligations within the initial three year period and is not obligated to perform any further research on the specific indication under the agreement. A vaccine candidate for development and commercialization was not selected by Sanofi by the end of the research plan, and therefore no further milestone payments have been received.</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identified the deliverables under the arrangement as the license, the research necessary to identify the development candidate, and participation of the Joint Research Committee ("JRC"). The Company determined that the exclusive license granted to Sanofi did not have standalone value from the research to be performed to identify the vaccine development candidate. As a result, each upfront and milestone consideration was allocated to the combined unit of account comprising the license and research services, and is being recognized over the estimated development period using a proportional performance method. The consideration allocated to participation on the JRC was not material. The Company recognized no revenue and $0.1 million for the three months ended March 31, 2017 and 2016,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the Sanofi Collaboration Agreement</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On November 9, 2016, the Company received written notice from Sanofi that Sanofi had elected to terminate in its entirety the Sanofi Agreement. The termination of the Sanofi Agreement was effective on May 8, 2017, or the Termination Date, which was six months from the date of the notice.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discussed above, Sanofi has paid the Company $8.0 million in the aggregate under the Sanofi Agreement to date. The Company would have been eligible to receive additional development-based, regulatory-based and sales-based milestone payments and tiered royalties on net sales of any approved product generated by the collaboration had the Sanofi Agreement not been terminated. As of December 31, 2016, the Company has recognized the remaining $2.2 million in revenue associated with the Sanofi Agreement, as the Company has no more performance obligation under the contact.</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All rights granted to Sanofi terminated and reverted to the Company effective on the Termination Date, and Sanofi is required to grant to the Company a royalty bearing, exclusive license, with the right to grant sublicenses, under certain Sanofi intellectual property solely to the extent necessary to research, develop, make, have made, use, offer for sale, import, export and otherwise commercialize the vaccine candidates developed under the Sanofi Agreement. The exclusivity obligations discussed above also expired on the Termination Date.</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has exercised its right to acquire the development programs under the Sanofi Agreement. The Company is solely responsible for performing and funding any development and clinical trial activities relating to further development of vaccine candidates that it chooses to undertake after the Termination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Research and Collaboration Agreements</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Company has entered into other research and collaboration agreements in 2017 and 2016 for which the Company recognized no revenue and less than $0.1 million for the three months ended March 31, 2017 and 2016,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Agreements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Company receives funding in the form of grants from the National Institutes of Health (“NIH”), the Juvenile Diabetes Research Foundation (“JDRF”), the Bill and Melinda Gates Foundation, the Russian Ministry of Industry and Trade (“Minpromtorg”), and the Russia based Development Fund of New Technologies Development and Commercialization Center (“Skolkovo”).</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NIH</w:t>
      </w:r>
    </w:p>
    <w:p>
      <w:pPr>
        <w:spacing w:after="0" w:line="22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has two grants through the NIH. The first grant, for an aggregate amount of $8.1 million, was awarded in May 2014 to support research in the development of a next generation vaccine for smoking cessation and relapse prevention. The Company recognized no revenue for the three months ended March 31, 2017 and $1.8 million for the three months ended March 31, 2016.</w:t>
      </w:r>
    </w:p>
    <w:p>
      <w:pPr>
        <w:spacing w:after="0" w:line="17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second grant is for an aggregate amount of $0.2 million, which was awarded in September 2015 for the development of nanoparticles for immune tolerance to factor VIII. The Company recognized revenue of less than $0.1 million for the three months ended March 31, 2017 and 2016, related to this grant.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JDRF</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had two contracts in effect with JDRF during 2014 and only one of those contracts was in effect during 2015 and 2016. The first contract was a continuation and completion of the 2011 grant for $0.8 million. The Company recognized the remaining $0.2 million of revenue during the year ended December 31, 2014 under this contract.</w:t>
      </w:r>
    </w:p>
    <w:p>
      <w:pPr>
        <w:spacing w:after="0" w:line="176"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second JDRF grant is a joint grant with Sanofi entered into in September 2014 for $0.4 million to conduct Type 1 Diabetes research. The Company recognized revenue of less than $0.1 million for the three months ended March 31, 2017 and 2016, respectively, related to this grant.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Bill and Melinda Gates Foundation</w:t>
      </w:r>
    </w:p>
    <w:p>
      <w:pPr>
        <w:spacing w:after="0" w:line="22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received a grant in 2013 from the Bill and Melinda Gates Foundation for $1.2 million to fund the Company’s immunology research on malaria antigens. During 2014, the grant amount was increased to a total of $1.6 million and the term was extended to a three-year research term. Revenue is recognized on a proportional performance basis as it relates to employee time expended on the research, along with reimbursement for external costs directly related to, and approved, by the grant terms. For the three months ended March 31, 2017 and 2016, the Company recognized revenue of less than $0.1 million and $0.1 million, respectively.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Minpromtorg</w:t>
      </w: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121" w:right="2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had a contract awarded from Minpromtorg for approximately $4.6 million to fund the Company’s nicotine cessation vaccine clinical trial to be conducted in Russia. The grant covered a term from July 9, 2013 through December 31, 2015, and provided for reimbursement of expenses incurred by the Company from the clinical trial. Under the agreement term, the Company was subject to a penalty in the event that the clinical trial was delayed or terminated prior to completion. As a result of the penalty provision, the Company concluded the amounts received under the agreement were not fixed or determinable. In 2014, the Company terminated its plan to conduct the clinical trial in Russia subjecting the Company to the penalty obligation.</w:t>
      </w:r>
    </w:p>
    <w:p>
      <w:pPr>
        <w:spacing w:after="0" w:line="18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February 2015, the Company received an executed final settlement agreement from Minpromtorg that included the repayment of funds previously received by the Company totaling $0.2 million, and a penalty fee that equaled to 10% of the contract value, or $0.2 million. The Company paid the settlement payment in March 2015 and all mutual claims under the contract were terminated. According to the terms of the agreement, Minpromtorg has the right to audit the expenditure incurred under the agreement for a period up to three years from each research milestone date. All grant funding received in excess of the penalty settlement will remain as a liability on the balance sheet until such time the audit period has expired and at which time, the amount will be recognized as revenue. Through March 31, 2017, the Company received payments totaling approximately $1.4 million.</w:t>
      </w:r>
    </w:p>
    <w:p>
      <w:pPr>
        <w:spacing w:after="0" w:line="18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first audit period expired on December 31, 2015, and as a result $0.4 million of revenue was recognized for the year ended December 31, 2015. The second and third audit periods expired during the twelve months ended December 31, 2016, and as a result $0.5 million of revenue was recognized for the year ended December 31, 2016. As of December 31, 2016, the deferred revenue associated with Minpromtorg contract has been fully recognized. There was no revenue recognized during the three months ended March 31, 2017 and 2016.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Skolkovo</w:t>
      </w:r>
    </w:p>
    <w:p>
      <w:pPr>
        <w:spacing w:after="0" w:line="22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November 28, 2014, the Company executed a grant awarded by Skolkovo for the development of a therapeutic vaccine using nanoparticles to treat chronic infection caused by HPV and diseases associated with this infection. The grant covers a period from August 1, 2014 through July 21, 2017. The grant provides for up to $2.7 million that covers 48.5% of the estimated total cost of the research plan with the remaining 51.5% of estimated costs to be contributed by the Company. The Company has received from Skolkovo $1.8 million through the three months ended March 31, 2017.</w:t>
      </w:r>
    </w:p>
    <w:p>
      <w:pPr>
        <w:spacing w:after="0" w:line="18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At any time during the term of the grant agreement, but not more than once per quarter, Skolkovo has the right to request information related to the project and to conduct an audit of the expenses incurred by the Company. In the event the project or the expenses do not meet predefined requirements, the Company may be required to reimburse the funds received up to three years after the completion of the project. As a result, the Company has determined that the grant funding is not fixed or determinable and all amounts received to date are recorded as deferred revenue in the consolidated balance sheet until the completion of the Skolkovo audit or the expiration of the audit term.</w:t>
      </w:r>
    </w:p>
    <w:p>
      <w:pPr>
        <w:spacing w:after="0" w:line="200" w:lineRule="exact"/>
        <w:rPr>
          <w:sz w:val="20"/>
          <w:szCs w:val="20"/>
          <w:color w:val="auto"/>
        </w:rPr>
      </w:pPr>
    </w:p>
    <w:p>
      <w:pPr>
        <w:spacing w:after="0" w:line="38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color w:val="auto"/>
        </w:rPr>
        <w:t>14. Related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Party Transactions</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part of the Series B Preferred and Series D Preferred financings (as described in Note 10), the Company’s landlord (the “Landlord”) purchased 49,254 shares of Series B Preferred at $2.03 per share for total proceeds of $0.1 million and 488,888 shares of Series D Preferred at $4.50 per share for total proceeds of $2.2 million. Additionally, in April 2015, the Landlord participated in the Company’s bridge loan in the amount of $0.2 million, which converted into Series E Preferred (see Note 10). The Landlord paid the same price as the price paid by other investors in each of these Preferred Stock purchases. At the IPO, all preferred stock was converted to common stock.</w:t>
      </w:r>
    </w:p>
    <w:p>
      <w:pPr>
        <w:spacing w:after="0" w:line="18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 incurred expenses for consulting services provided by its founders totaling less than $0.1 million and $0.1 million during the three months ended March 31, 2017 and 2016, respectively.</w:t>
      </w:r>
    </w:p>
    <w:p>
      <w:pPr>
        <w:spacing w:after="0" w:line="158" w:lineRule="exact"/>
        <w:rPr>
          <w:sz w:val="20"/>
          <w:szCs w:val="20"/>
          <w:color w:val="auto"/>
        </w:rPr>
      </w:pPr>
    </w:p>
    <w:p>
      <w:pPr>
        <w:ind w:left="280" w:hanging="272"/>
        <w:spacing w:after="0"/>
        <w:tabs>
          <w:tab w:leader="none" w:pos="28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Technology License Agreements</w:t>
      </w:r>
    </w:p>
    <w:p>
      <w:pPr>
        <w:spacing w:after="0" w:line="225"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MIT</w:t>
      </w:r>
    </w:p>
    <w:p>
      <w:pPr>
        <w:spacing w:after="0" w:line="229" w:lineRule="exact"/>
        <w:rPr>
          <w:sz w:val="20"/>
          <w:szCs w:val="20"/>
          <w:color w:val="auto"/>
        </w:rPr>
      </w:pPr>
    </w:p>
    <w:p>
      <w:pPr>
        <w:ind w:right="80"/>
        <w:spacing w:after="0" w:line="222" w:lineRule="exact"/>
        <w:rPr>
          <w:sz w:val="20"/>
          <w:szCs w:val="20"/>
          <w:color w:val="auto"/>
        </w:rPr>
      </w:pPr>
      <w:r>
        <w:rPr>
          <w:rFonts w:ascii="Times New Roman" w:cs="Times New Roman" w:eastAsia="Times New Roman" w:hAnsi="Times New Roman"/>
          <w:sz w:val="18"/>
          <w:szCs w:val="18"/>
          <w:color w:val="auto"/>
        </w:rPr>
        <w:t>On November 25, 2008, the Company entered into an Exclusive Patent License agreement with the Massachusetts Institute of Technology (“MIT”), which is referred to as the Exclusive Patent License. The Company received an exclusive royalty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bearing license to utilize patents held by MIT in exchange for upfront consideration and annual license maintenance fees. Such fees are</w:t>
      </w: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00"/>
          </w:cols>
          <w:pgMar w:left="240" w:top="121" w:right="2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line="224" w:lineRule="exact"/>
        <w:rPr>
          <w:sz w:val="20"/>
          <w:szCs w:val="20"/>
          <w:color w:val="auto"/>
        </w:rPr>
      </w:pPr>
      <w:r>
        <w:rPr>
          <w:rFonts w:ascii="Times New Roman" w:cs="Times New Roman" w:eastAsia="Times New Roman" w:hAnsi="Times New Roman"/>
          <w:sz w:val="18"/>
          <w:szCs w:val="18"/>
          <w:color w:val="auto"/>
        </w:rPr>
        <w:t>expensed as incurred and have not been material to any period presented. In the event the Company sublicenses the MIT patents to a third party, it will be required to remit to MIT a percentage (ranging from 10% to 30%) of sublicense income. In addition, the Company is obligated to pay MIT a certain amount upon the achievement of defined clinical milestones, up to a total of $1.5 million. On December 18, 2008, the Company entered into a patent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cross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agreement with BIND Therapeutics, Inc. whereby each party receives a license for the use of the other patents in their respective fields of use. In exchange for this license, the Company paid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expense in 2008.</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As of March 31, 2017, and in connection with the execution of the Spark License Agreement, the Company has made contractual payments pursuant to the Exclusive Patent License totaling $1.5 million for the sublicense granted to Spark, and $0.2 million relative to the calculated premium paid by Spark for the initial equity investment made under the Purchase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Shenyang Sunshine Pharmaceutical Co., Ltd</w:t>
      </w:r>
    </w:p>
    <w:p>
      <w:pPr>
        <w:spacing w:after="0" w:line="229"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7"/>
          <w:szCs w:val="17"/>
          <w:color w:val="auto"/>
        </w:rPr>
        <w:t>In May 2014, the Company entered into a license agreement with Shenyang Sunshine Pharmaceutical Co., Ltd. (“3SBio”), which is referred to as the 3SBio License. Pursuant to the 3SBio License, the Company was granted an exclusive license to certain pegsiticase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related patents and related “know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how” owned or in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licensed by 3SBio for the worldwide (except for Greater China and Japan) development and commercialization of products based thereupon for human therapeutic, diagnostic and prophylactic use. The Company was also granted a worldwide (except for Greater China) exclusive license to develop, commercialize and manufacture or have manufactured products combining the Company’s proprietary SVP technology with pegsiticase or related compounds supplied by 3SBio (or otherwise supplied if the Company’s rights to manufacture are in effect) for human therapeutic, diagnostic and prophylactic use. The Company was also granted a co</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exclusive license to manufacture and have manufactured pegsiticase and related compounds for preclinical and clinical use or, if the 3SBio License is terminated for 3SBio’s material breach, for any use under the 3SBio License. Otherwise, the Company is obligated to obtain all of its supply of such compounds for Phase 3 clinical trials and commercial use from 3SBio under the terms of supply agreements to be negotiated.</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the 3SBio License, the Company is required to use commercially reasonable efforts to develop and commercialize a product containing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pegsiticase or a related compound. If the Company does not commercialize any such product in a particular country in Asia, Africa or South America within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 months after approval of any such product in the United States or a major European country, then 3SBio will have the right to do so, but only until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Company commercializes a product combining the Company’s SVP technology with any such compound in such country. The Company has paid to 3SBio an</w:t>
      </w:r>
    </w:p>
    <w:p>
      <w:pPr>
        <w:spacing w:after="0" w:line="2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aggregate of $1.0 million in upfront and milestone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payments under the 3SBio License. An additional liability totaling $2.0 million for milestone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has been expensed in 2016, and is included with Accounts Payable on the balance sheet as of December 31, 2016. The Company is required to</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make future payments to 3SBio contingent upon the occurrence of events related to the achievement of clinical and regulatory approval milestones of up to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of $21.0 million for products containing the Company’s SVP technology, and up to an aggregate of $41.5 million for products without the</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Company’s SVP technology. The Company is also required to pay 3SBio tiered royalties on annual worldwide net sales (on a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and</w:t>
      </w:r>
    </w:p>
    <w:p>
      <w:pPr>
        <w:spacing w:after="0" w:line="1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product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product basis) related to the pegsiticase component of products at percentages ranging from the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mid single digits for products containing</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the Company’s SVP technology, and a range of no more than ten percent points from the mid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single digits to low double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digits for products without the</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Company’s SVP technology. The Company will pay these royalties to 3SBio, subject to specified reductions, on a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and</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product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product basis until the later of (i) the date that all of the patent rights for that product have expired in that country, or (ii) a specified number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from the first commercial sale of such product in such country.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3SBio License expires on the date of expiration of all of the Company’s royalty payment obligations unless earlier terminated by either party for an</w:t>
      </w:r>
    </w:p>
    <w:p>
      <w:pPr>
        <w:spacing w:after="0" w:line="2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uncured material default or for the other party’s bankruptcy. Any such termination by 3SBio for material default may be on a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or</w:t>
      </w:r>
    </w:p>
    <w:p>
      <w:pPr>
        <w:spacing w:after="0" w:line="1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product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product basis in certain circumstances. The Company may also terminate the 3SBio License on a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or product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product basis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any reason effective upon 60 days’ prior written notice to 3SBio or, with respect to a given product, immediately upon written notice to 3SBio if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identifies a safety or efficacy concern related to such product.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Massachusetts Eye and Ear Infirmary and The Schepens Eye Research Institute, Inc.</w:t>
      </w:r>
    </w:p>
    <w:p>
      <w:pPr>
        <w:spacing w:after="0" w:line="22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In May 2016, the Company entered into a license agreement with the Massachusetts Eye and Ear Infirmary and The Schepens Eye Research Institute, Inc. (collectively, “MEE”), which is referred to as the MEE License. Under the MEE License, the Company was granted an exclusive commercial worldwide license, with the right to grant sublicenses through multiple tiers, to make, have made, use, offer to sell, sell and import certain products and to practice certain processes, the sale, use or practice of</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660"/>
        <w:spacing w:after="0" w:line="239" w:lineRule="exact"/>
        <w:rPr>
          <w:sz w:val="20"/>
          <w:szCs w:val="20"/>
          <w:color w:val="auto"/>
        </w:rPr>
      </w:pPr>
      <w:r>
        <w:rPr>
          <w:rFonts w:ascii="Times New Roman" w:cs="Times New Roman" w:eastAsia="Times New Roman" w:hAnsi="Times New Roman"/>
          <w:sz w:val="18"/>
          <w:szCs w:val="18"/>
          <w:color w:val="auto"/>
        </w:rPr>
        <w:t>which are covered by patents and proprietary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owned or controlled by MEE, for use of Anc80 gene therapy vectors for gene augmentation therapies expressing certain target sequences.</w:t>
      </w:r>
    </w:p>
    <w:p>
      <w:pPr>
        <w:spacing w:after="0" w:line="199"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MEE also granted the Company exclusive options to exclusively license certain of their intellectual property rights relating to several additional target sequences and variations thereof each linked to a specified disease. During a defined option period, the Company may exercise this right for up to a designated number of target sequences. If the Company exercises its options, under certain circumstances, the Company may substitute alternative target sequences for previously selected target sequences.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agreed to use commercially reasonable efforts to develop and commercialize licensed products pursuant to a development plan, and to market and sell at least one product for each target sequence for which the Company exercised its option as soon as reasonably practicable. Subject to certain exceptions, following commercial launch, the Company must use commercially reasonable efforts to market, sell, and maintain public availability of licensed products in a certain number of specified major markets.</w:t>
      </w:r>
    </w:p>
    <w:p>
      <w:pPr>
        <w:spacing w:after="0" w:line="180" w:lineRule="exact"/>
        <w:rPr>
          <w:sz w:val="20"/>
          <w:szCs w:val="20"/>
          <w:color w:val="auto"/>
        </w:rPr>
      </w:pPr>
    </w:p>
    <w:p>
      <w:pPr>
        <w:ind w:right="40"/>
        <w:spacing w:after="0" w:line="218" w:lineRule="exact"/>
        <w:rPr>
          <w:sz w:val="20"/>
          <w:szCs w:val="20"/>
          <w:color w:val="auto"/>
        </w:rPr>
      </w:pPr>
      <w:r>
        <w:rPr>
          <w:rFonts w:ascii="Times New Roman" w:cs="Times New Roman" w:eastAsia="Times New Roman" w:hAnsi="Times New Roman"/>
          <w:sz w:val="18"/>
          <w:szCs w:val="18"/>
          <w:color w:val="auto"/>
        </w:rPr>
        <w:t>Pursuant to the MEE Agreement, the Company agreed to pay MEE a license fee in the low six figures, annual license maintenance fees ranging from the mid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twenty thousands to mid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seventy thousands and an option maintenance fee in the low five figures for each exercisable option. The Company also agreed to reimburse MEE for a specified percentage of the past patent expenses for the patents licensed to the Company. The Company also agreed to pay development milestones on a licensed product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product basis, totaling up to an aggregate of between $4.2 million to $37.0 million and sales milestones on a licensed product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product basis, totaling up to an aggregate of between $50.0 million to $70.0 million; tiered royalties on a licensed product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licensed product and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basis equal to a percentage of net sales ranging from mid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single digits to mid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teens, subject to the prevalence of the targeted disease and certain reductions; and a percentage, in a range expected to be in the mid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teens depending on timing, of any sublicense income the Company receives from sublicensing its rights granted thereunder, subject to certain reductions and exclusions. Upon exercise of each option, the Company agreed to pay MEE an option exercise fee ranging from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six figures to mid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six figures, depending on the prevalence of the targeted disease.</w:t>
      </w:r>
    </w:p>
    <w:p>
      <w:pPr>
        <w:spacing w:after="0" w:line="204"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The MEE License will continue until the expiration of the last to expire of the patent rights licensed thereunder. The Company may terminate the MEE License in whole or in part upon prior written notice. MEE may terminate the MEE License on a target sequence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target sequence basis if the Company fails to make any scheduled payments in respect of such target sequence or if the Company materially breaches a diligence obligation in respect of such target sequence, in each case if the Company fails to cure within a specified time period. MEE may terminate the MEE License in its entirety if the Company materially breaches certain of its obligations related to diligence, representations and warranties, and maintenance of insurance; if the Company challenges the validity or enforceability of any patents licensed thereunder; if any of the Company’s executive officers are convicted of a felony relating to manufacture, use, sale or importation of licensed products; or upon the Company’s insolvency or bankruptcy.</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2017, the Company has paid a total of $0.1 million in license fees due under the agreement.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Income Taxes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provide for any income taxes in any of the three months ended March 31, 2017 or 2016.</w:t>
      </w:r>
    </w:p>
    <w:p>
      <w:pPr>
        <w:spacing w:after="0" w:line="22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2014, the Company's Russian subsidiary was granted a 10 year tax holiday in Russia. The Company's foreign operations continue to benefit from the tax holiday, which is set to expire December 31, 2023.</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 has evaluated the positive and negative evidence bearing upon the realizability of its U.S. net deferred tax assets. As required by the provisions of ASC 740, Income Taxes, management has determined that it is more-likely-than-not that the Company will not utilize the benefits of federal and state U.S. net deferred tax assets for financial reporting purposes. Accordingly, the net deferred tax assets are subject to a valuation allowance at March 31, 2017 and December 31, 2016.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401(k) Savings Plan</w:t>
      </w:r>
    </w:p>
    <w:p>
      <w:pPr>
        <w:spacing w:after="0" w:line="201" w:lineRule="exact"/>
        <w:rPr>
          <w:sz w:val="20"/>
          <w:szCs w:val="20"/>
          <w:color w:val="auto"/>
        </w:rPr>
      </w:pPr>
    </w:p>
    <w:p>
      <w:pPr>
        <w:jc w:val="both"/>
        <w:ind w:right="60"/>
        <w:spacing w:after="0" w:line="232" w:lineRule="exact"/>
        <w:rPr>
          <w:sz w:val="20"/>
          <w:szCs w:val="20"/>
          <w:color w:val="auto"/>
        </w:rPr>
      </w:pPr>
      <w:r>
        <w:rPr>
          <w:rFonts w:ascii="Times New Roman" w:cs="Times New Roman" w:eastAsia="Times New Roman" w:hAnsi="Times New Roman"/>
          <w:sz w:val="18"/>
          <w:szCs w:val="18"/>
          <w:color w:val="auto"/>
        </w:rPr>
        <w:t>The Company maintains a defined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contribution savings plan under Section 401(k) of the Internal Revenue Code (the “401(k) Plan”). The 401(k) Plan covers all employees who meet defined minimum age and service requirements, and allows participants to defer a portion of their annual compensation on a pretax basis. The 401 (k) Plan provides for matching</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80"/>
          </w:cols>
          <w:pgMar w:left="240" w:top="121" w:right="27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contributions on a portion of participant contributions pursuant to the 401(k) Plan’s matching formula. All matching contributions vest ratably over 4 years and participant contributions vest immediately.</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Contributions by the Company totaling $0.1 million and $0.1 million for the years ended March 31, 2017 and 2016, respectively, have been recorded in the consolidated statements of operations and comprehensive loss.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2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On April 27, 2017, the Company entered into a Patent License Agreement (the “License Agreement”) with the U.S. Department of Health and Human Services, as represented by the National Cancer Institute, an Institute or Center of the National Institutes of Health. Under the terms of the License Agreement, the NIH granted to the Company an exclusive worldwide license under specified patent rights and a non-exclusive worldwide license under specified other patent rights in the field of use of anti-mesothelin targeted immunotoxins for the treatment of mesothelin-expressing cancers. The Company has the right to grant sublicenses under the licenses granted by the NIH with NIH’s prior consent, not to be unreasonably withheld. The license grant is subject to typical statutory requirements and reserved rights as required under federal law and NIH requirements. In addition, if the NIH determines that the public health and safety so require, the NIH may require the Company to grant sublicenses to responsible applicants, on reasonable terms, in any licensed field under the licensed patent rights, unless the Company can reasonably demonstrate that the granting of the sublicense would not materially increase the availability to the public of the subject matter of the licensed patent rights.</w:t>
      </w:r>
    </w:p>
    <w:p>
      <w:pPr>
        <w:spacing w:after="0" w:line="18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consideration for the rights granted under the License Agreement, the Company agreed to pay an upfront payment of $50,000, earned royalties equal to a percentage, in the low single digits, of net sales (subject to certain annual minimum royalty payments), payments of up to an aggregate of $9.3 million upon achievement of specified benchmarks, and a percentage, ranging from the mid single digits to mid teens, of revenues from sublicensing arrangements. The Company is obligated to use commercially reasonable efforts to exploit, and make publicly available, the inventions described in the licensed patent rights. The Company may not transfer or assign the License Agreement to a third party without the NIH’s consent, and if the NIH consents to any assignment, the Company is obligated to pay the NIH a percentage in the low single digits of the consideration received by the Company for such assignment.</w:t>
      </w:r>
    </w:p>
    <w:p>
      <w:pPr>
        <w:spacing w:after="0" w:line="18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term of the License Agreement will extend to the date of expiry of the last-to-expire patent in the licensed patent rights, unless either party terminates the License Agreement earlier. The NIH may terminate the License Agreement if the Company is in default of the performance of any material obligations under the License Agreement, including certain specified benchmark and other obligations, if the default has not been remedied within ninety days after the date of notice in writing of the default. In addition, the NIH may terminate the License Agreement or modify, at its option, the License Agreement, if the NIH determines that such termination or modification is necessary to meet the requirements for public use specified by federal regulations issued after the date of the License Agreement and these requirements are not reasonably satisfied by the Company. The Company may terminate the License Agreement or any licenses in any country or territory by giving the NIH sixty days written notice.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360"/>
          </w:cols>
          <w:pgMar w:left="240" w:top="121" w:right="2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240"/>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financial statements and related notes appearing elsewhere in this Quarterly Report on Form 10-Q.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these forward-looking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1" w:lineRule="exact"/>
        <w:rPr>
          <w:sz w:val="20"/>
          <w:szCs w:val="20"/>
          <w:color w:val="auto"/>
        </w:rPr>
      </w:pPr>
    </w:p>
    <w:p>
      <w:pPr>
        <w:ind w:right="140"/>
        <w:spacing w:after="0" w:line="220" w:lineRule="exact"/>
        <w:rPr>
          <w:sz w:val="20"/>
          <w:szCs w:val="20"/>
          <w:color w:val="auto"/>
        </w:rPr>
      </w:pPr>
      <w:r>
        <w:rPr>
          <w:rFonts w:ascii="Times New Roman" w:cs="Times New Roman" w:eastAsia="Times New Roman" w:hAnsi="Times New Roman"/>
          <w:sz w:val="18"/>
          <w:szCs w:val="18"/>
          <w:color w:val="auto"/>
        </w:rPr>
        <w:t>We are a clinical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biopharmaceutical company using our proprietary synthetic vaccine particle, or SVP, technology to discover and develop targeted therapies that are designed to modulate the immune system to effectively and safely treat rare and serious diseases. Many such diseases are treated with biologic therapies that are foreign to the patient’s immune system and, therefore, elicit an undesired immune response. Our proprietary SVP technology encapsulates an immunomodulator in biodegradable nanoparticles to induce antigen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immune tolerance to mitigate the formation of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drug antibodies, or ADAs, in response to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sustaining biologic drugs. We believe our SVP technology has the potential for broad applications to both enhance existing biologic drugs and enable novel therapies. Our lead product candidate,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is a combination of a therapeutic enzyme and our SVP technology designed to be the first biologic treatment for gout that durably controls uric acid in refractory gout and dissolves and removes harmful deposits of uric acid crystals in chronic tophaceous gout, each a painful and debilitating disease with unmet medical need.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is currently in a comprehensive Phase 1/2 clinical program. The Phase 1/2 clinical program is comprised of two Phase 1 clinical trials and a Phase 2 clinical trial, which commenced in October 2016, and is designed to evaluate the ability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to control uric acid levels and mitigate the formation of ADAs. The Phase 1 clinical trials have been completed and we initiated the Phase 2 clinical trial in the fourth quarter of 2016.</w:t>
      </w:r>
    </w:p>
    <w:p>
      <w:pPr>
        <w:spacing w:after="0" w:line="203"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were incorporated in 2007 under the laws of the State of Delaware and our corporate headquarters is in Watertown, Massachusetts. Our operations to date have been limited to organizing and staffing our company, business planning, acquiring operating assets, raising capital, developing our technology, identifying potential nanoparticle immunomodulatory product candidates, research and development, undertaking preclinical studies and conducting clinical trials. To date, we have financed our operations primarily through our initial public offering, or IPO, of common stock in June 2016, private placements of our preferred stock, common stock and debt securities, funding received from research grants and collaboration arrangements and our credit facility. We do not have any products approved for sale and have not generated any product sales. All of our revenue to date has been generated from research grants and contracts.</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We incurred net losses of $15.1 million and $7.5 million for the three months ended March 31, 2017 and 2016, respectively. As of March 31, 2017, we had an accumulated deficit of $166.7 million. We expect to continue incurring significant expenses and operating losses for at least the next several years as we:</w:t>
      </w:r>
    </w:p>
    <w:p>
      <w:pPr>
        <w:spacing w:after="0" w:line="310" w:lineRule="exact"/>
        <w:rPr>
          <w:sz w:val="20"/>
          <w:szCs w:val="20"/>
          <w:color w:val="auto"/>
        </w:rPr>
      </w:pPr>
    </w:p>
    <w:p>
      <w:pPr>
        <w:ind w:left="240" w:hanging="232"/>
        <w:spacing w:after="0" w:line="207" w:lineRule="exact"/>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and expand clinical trials for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our lead product candidate;</w:t>
      </w:r>
    </w:p>
    <w:p>
      <w:pPr>
        <w:spacing w:after="0" w:line="200" w:lineRule="exact"/>
        <w:rPr>
          <w:rFonts w:ascii="Times New Roman" w:cs="Times New Roman" w:eastAsia="Times New Roman" w:hAnsi="Times New Roman"/>
          <w:sz w:val="18"/>
          <w:szCs w:val="18"/>
          <w:color w:val="auto"/>
        </w:rPr>
      </w:pPr>
    </w:p>
    <w:p>
      <w:pPr>
        <w:spacing w:after="0" w:line="215"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research and development of our other product candidates;</w:t>
      </w:r>
    </w:p>
    <w:p>
      <w:pPr>
        <w:spacing w:after="0" w:line="38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 for any product candidates that successfully complete clinical trials;</w:t>
      </w:r>
    </w:p>
    <w:p>
      <w:pPr>
        <w:spacing w:after="0" w:line="358" w:lineRule="exact"/>
        <w:rPr>
          <w:rFonts w:ascii="Times New Roman" w:cs="Times New Roman" w:eastAsia="Times New Roman" w:hAnsi="Times New Roman"/>
          <w:sz w:val="18"/>
          <w:szCs w:val="18"/>
          <w:color w:val="auto"/>
        </w:rPr>
      </w:pPr>
    </w:p>
    <w:p>
      <w:pPr>
        <w:ind w:left="340" w:right="40" w:hanging="332"/>
        <w:spacing w:after="0" w:line="239" w:lineRule="exact"/>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establish a sales, marketing and distribution infrastructure and scale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external manufacturing capabilities to commercialize any products for which we may obtain regulatory approval;</w:t>
      </w:r>
    </w:p>
    <w:p>
      <w:pPr>
        <w:spacing w:after="0" w:line="36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38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staff, including clinical, scientific, operational and financial personnel, to execute our business plan; and</w:t>
      </w:r>
    </w:p>
    <w:p>
      <w:pPr>
        <w:spacing w:after="0" w:line="387" w:lineRule="exact"/>
        <w:rPr>
          <w:rFonts w:ascii="Times New Roman" w:cs="Times New Roman" w:eastAsia="Times New Roman" w:hAnsi="Times New Roman"/>
          <w:sz w:val="18"/>
          <w:szCs w:val="18"/>
          <w:color w:val="auto"/>
        </w:rPr>
      </w:pPr>
    </w:p>
    <w:p>
      <w:pPr>
        <w:ind w:left="340" w:right="4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personnel and clinical, scientific, operational, financial and management information systems to support our product development and potential future commercialization efforts, and to enable us to operate as a public company.</w:t>
      </w:r>
    </w:p>
    <w:p>
      <w:pPr>
        <w:spacing w:after="0" w:line="324"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license and collaboration agreements with partners, and research grants. We may be unable to raise capital when needed or on reasonable terms, if at all, which would force us to delay, limit, reduce or</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00"/>
          </w:cols>
          <w:pgMar w:left="240" w:top="121" w:right="25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terminate our product development or future commercialization efforts. We will need to generate significant revenues to achieve profitability, and we may never do so.</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consolidated financial information presented below includes the accounts of Selecta Biosciences Inc. and our wholly owned subsidiaries, Selecta (RUS) LLC, a Russian limited liability company, or Selecta RUS, and Selecta Biosciences Security Corporation, a Massachusetts securities corporation. All intercompany accounts and transactions have been eliminated.</w:t>
      </w:r>
    </w:p>
    <w:p>
      <w:pPr>
        <w:spacing w:after="0" w:line="176"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We expect that our existing cash, cash equivalents and short-term investments, will enable us to fund our operating expenses and capital expenditure requirements into the middle of 2018. For additional information, see “-Liquidity and Capital Resources.”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Grant and collaboration revenue</w:t>
      </w:r>
    </w:p>
    <w:p>
      <w:pPr>
        <w:spacing w:after="0" w:line="229" w:lineRule="exact"/>
        <w:rPr>
          <w:sz w:val="20"/>
          <w:szCs w:val="20"/>
          <w:color w:val="auto"/>
        </w:rPr>
      </w:pPr>
    </w:p>
    <w:p>
      <w:pPr>
        <w:ind w:right="120"/>
        <w:spacing w:after="0" w:line="218" w:lineRule="exact"/>
        <w:rPr>
          <w:sz w:val="20"/>
          <w:szCs w:val="20"/>
          <w:color w:val="auto"/>
        </w:rPr>
      </w:pPr>
      <w:r>
        <w:rPr>
          <w:rFonts w:ascii="Times New Roman" w:cs="Times New Roman" w:eastAsia="Times New Roman" w:hAnsi="Times New Roman"/>
          <w:sz w:val="18"/>
          <w:szCs w:val="18"/>
          <w:color w:val="auto"/>
        </w:rPr>
        <w:t>To date, we have not generated any product sales. Our revenue consists of grant and collaboration revenue, which includes amounts recognized related to upfront and milestone payments for research and development funding under collaboration and license agreements. In addition, we earn revenue under the terms of government contracts or grants, which require the performance of certain research and development activities. We expect that any revenue we generate will fluctuate from quarter to quarter as a result of the timing and amount of fees, research and development reimbursements and other payments from collaborators. We do not expect to generate revenue from product sales for at least the next several years. If we or our collaborators fail to complete the development of our product candidates in a timely manner or fail to obtain regulatory approval as needed, our ability to generate future revenue will be harmed, and will affect the results of our operations and financial position. As a result of the termination of the license and research collaboration agreement that we entered into with Sanofi in November 2012, or the Sanofi Agreement, which termination was effective on May 8, 2017, we will not receive any further collaboration payments related to the Sanofi Agreement. For a further description of the agreements underlying our collaboration and grant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revenue, see Notes 2 and 13 to our consolidated financial statements included elsewhere in this Quarterly Report on Form 10-Q.</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100"/>
        <w:spacing w:after="0" w:line="220" w:lineRule="exact"/>
        <w:rPr>
          <w:sz w:val="20"/>
          <w:szCs w:val="20"/>
          <w:color w:val="auto"/>
        </w:rPr>
      </w:pPr>
      <w:r>
        <w:rPr>
          <w:rFonts w:ascii="Times New Roman" w:cs="Times New Roman" w:eastAsia="Times New Roman" w:hAnsi="Times New Roman"/>
          <w:sz w:val="18"/>
          <w:szCs w:val="18"/>
          <w:color w:val="auto"/>
        </w:rPr>
        <w:t>Research and development expenses consist of costs incurred in performing research and development activities, including compensation and benefits for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research and development employees, including stock-based compensation, an allocation of facilities expenses, overhead expenses, manufacturing process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development and scale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activities, clinical trial and related clinical manufacturing expenses, fees paid to contract research organizations, or CROs, and investigative sites, payments to partners under our license agreements and other outside expenses. Our research and development costs are often devoted to expanding our programs and are not necessarily allocable to a specific target.</w:t>
      </w:r>
    </w:p>
    <w:p>
      <w:pPr>
        <w:spacing w:after="0" w:line="173"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Our research and development expenses consist of external research and development costs, which we track on a program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program basis and primarily include contract manufacturing organization, or CMO, and contract research organization, or CRO, related costs, and internal research and development costs, which are primarily compensation expenses for our research and development employees, lab supplies, analytical testing, allocated overhead costs and other related expenses. As we expand the clinical development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we expect our research and development expenses to increase. In addition, as a result of the termination of the Sanofi Agreement, which was effective on May 8, 2017, we exercised our right to acquire the development programs under the Sanofi Agreement. The exercise itself did not require the payment of any consideration to Sanofi. We are solely responsible for performing and funding any development and clinical trial activities relating to further development of vaccine candidates that we choose to undertake after the termination date of the Sanofi Agreement. We have incurred a total of $116.2 million in research and development expenses from inception through March 31, 2017, with a majority of the expenses being spent on the development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and a prior nicotine vaccine, and the remainder being spent on our various discovery and preclinical stage product candidate programs and the general expansion of our technology.</w:t>
      </w:r>
    </w:p>
    <w:p>
      <w:pPr>
        <w:spacing w:after="0" w:line="206" w:lineRule="exact"/>
        <w:rPr>
          <w:sz w:val="20"/>
          <w:szCs w:val="20"/>
          <w:color w:val="auto"/>
        </w:rPr>
      </w:pPr>
    </w:p>
    <w:p>
      <w:pPr>
        <w:ind w:right="60"/>
        <w:spacing w:after="0" w:line="222" w:lineRule="exact"/>
        <w:rPr>
          <w:sz w:val="20"/>
          <w:szCs w:val="20"/>
          <w:color w:val="auto"/>
        </w:rPr>
      </w:pPr>
      <w:r>
        <w:rPr>
          <w:rFonts w:ascii="Times New Roman" w:cs="Times New Roman" w:eastAsia="Times New Roman" w:hAnsi="Times New Roman"/>
          <w:sz w:val="18"/>
          <w:szCs w:val="18"/>
          <w:color w:val="auto"/>
        </w:rPr>
        <w:t>We expense research and development costs as incurred. Conducting a significant amount of research and development is central to our business model. Product candidates in clinical development generally have higher development costs than those in earlier stages of development, primarily due to the size and duration of clinical trials. We plan to increase our research and development expenses for the foreseeable future as we seek to complete development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and to further advance our preclinical and earlier stage research and development projects. The successful development of our clinical and preclinical product candidates is highly uncertain. At this time, we cannot reasonably estimate the nature, timing or costs of the efforts that will be necessary to complete the development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or any of our preclinical programs or the period, if any, in which</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420"/>
          </w:cols>
          <w:pgMar w:left="240" w:top="121" w:right="2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material net cash inflows from these product candidates may commence. Clinical development timelines, the probability of success and development costs can differ materially from our expectations. For example, if the FDA or another regulatory authority were to require us to conduct clinical trials beyond those which we currently expect will be required for the completion of clinical development of a product candidate, or if we experience significant delays in enrollment in any of our clinical trials, we could be required to expend significant additional financial resources and time to complete any clinical development.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our research and development expenses during the periods indicated (in thousands, except percentages):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2016</w:t>
            </w:r>
          </w:p>
        </w:tc>
        <w:tc>
          <w:tcPr>
            <w:tcW w:w="480" w:type="dxa"/>
            <w:vAlign w:val="bottom"/>
            <w:tcBorders>
              <w:bottom w:val="single" w:sz="8" w:color="auto"/>
            </w:tcBorders>
          </w:tcPr>
          <w:p>
            <w:pPr>
              <w:spacing w:after="0"/>
              <w:rPr>
                <w:sz w:val="22"/>
                <w:szCs w:val="22"/>
                <w:color w:val="auto"/>
              </w:rPr>
            </w:pPr>
          </w:p>
        </w:tc>
      </w:tr>
      <w:tr>
        <w:trPr>
          <w:trHeight w:val="269"/>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External research and development expenses:</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r>
      <w:tr>
        <w:trPr>
          <w:trHeight w:val="265"/>
        </w:trPr>
        <w:tc>
          <w:tcPr>
            <w:tcW w:w="83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SEL-212</w:t>
            </w:r>
          </w:p>
        </w:tc>
        <w:tc>
          <w:tcPr>
            <w:tcW w:w="940" w:type="dxa"/>
            <w:vAlign w:val="bottom"/>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4,988</w:t>
            </w:r>
          </w:p>
        </w:tc>
        <w:tc>
          <w:tcPr>
            <w:tcW w:w="120" w:type="dxa"/>
            <w:vAlign w:val="bottom"/>
          </w:tcPr>
          <w:p>
            <w:pPr>
              <w:spacing w:after="0"/>
              <w:rPr>
                <w:sz w:val="23"/>
                <w:szCs w:val="23"/>
                <w:color w:val="auto"/>
              </w:rPr>
            </w:pPr>
          </w:p>
        </w:tc>
        <w:tc>
          <w:tcPr>
            <w:tcW w:w="980" w:type="dxa"/>
            <w:vAlign w:val="bottom"/>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2,182</w:t>
            </w:r>
          </w:p>
        </w:tc>
      </w:tr>
      <w:tr>
        <w:trPr>
          <w:trHeight w:val="275"/>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Discovery and preclinical stage product programs, collectively</w:t>
            </w:r>
          </w:p>
        </w:tc>
        <w:tc>
          <w:tcPr>
            <w:tcW w:w="940" w:type="dxa"/>
            <w:vAlign w:val="bottom"/>
            <w:shd w:val="clear" w:color="auto" w:fill="CCEEFF"/>
          </w:tcPr>
          <w:p>
            <w:pPr>
              <w:spacing w:after="0"/>
              <w:rPr>
                <w:sz w:val="23"/>
                <w:szCs w:val="23"/>
                <w:color w:val="auto"/>
              </w:rPr>
            </w:pPr>
          </w:p>
        </w:tc>
        <w:tc>
          <w:tcPr>
            <w:tcW w:w="56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817</w:t>
            </w:r>
          </w:p>
        </w:tc>
        <w:tc>
          <w:tcPr>
            <w:tcW w:w="1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1,081</w:t>
            </w:r>
          </w:p>
        </w:tc>
      </w:tr>
      <w:tr>
        <w:trPr>
          <w:trHeight w:val="265"/>
        </w:trPr>
        <w:tc>
          <w:tcPr>
            <w:tcW w:w="8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Internal research and development expenses</w:t>
            </w:r>
          </w:p>
        </w:tc>
        <w:tc>
          <w:tcPr>
            <w:tcW w:w="94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5,239</w:t>
            </w:r>
          </w:p>
        </w:tc>
        <w:tc>
          <w:tcPr>
            <w:tcW w:w="120" w:type="dxa"/>
            <w:vAlign w:val="bottom"/>
            <w:tcBorders>
              <w:bottom w:val="single" w:sz="8" w:color="CCEEFF"/>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3,385</w:t>
            </w:r>
          </w:p>
        </w:tc>
      </w:tr>
      <w:tr>
        <w:trPr>
          <w:trHeight w:val="215"/>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research and development expenses</w:t>
            </w:r>
          </w:p>
        </w:tc>
        <w:tc>
          <w:tcPr>
            <w:tcW w:w="940" w:type="dxa"/>
            <w:vAlign w:val="bottom"/>
            <w:tcBorders>
              <w:bottom w:val="single" w:sz="8" w:color="auto"/>
            </w:tcBorders>
            <w:shd w:val="clear" w:color="auto" w:fill="CCEEFF"/>
          </w:tcPr>
          <w:p>
            <w:pPr>
              <w:jc w:val="right"/>
              <w:ind w:right="768"/>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11,044</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6,648</w:t>
            </w:r>
          </w:p>
        </w:tc>
      </w:tr>
      <w:tr>
        <w:trPr>
          <w:trHeight w:val="20"/>
        </w:trPr>
        <w:tc>
          <w:tcPr>
            <w:tcW w:w="8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01" w:lineRule="exact"/>
        <w:rPr>
          <w:sz w:val="20"/>
          <w:szCs w:val="20"/>
          <w:color w:val="auto"/>
        </w:rPr>
      </w:pPr>
    </w:p>
    <w:p>
      <w:pPr>
        <w:ind w:right="100"/>
        <w:spacing w:after="0" w:line="224" w:lineRule="exact"/>
        <w:rPr>
          <w:sz w:val="20"/>
          <w:szCs w:val="20"/>
          <w:color w:val="auto"/>
        </w:rPr>
      </w:pPr>
      <w:r>
        <w:rPr>
          <w:rFonts w:ascii="Times New Roman" w:cs="Times New Roman" w:eastAsia="Times New Roman" w:hAnsi="Times New Roman"/>
          <w:sz w:val="18"/>
          <w:szCs w:val="18"/>
          <w:color w:val="auto"/>
        </w:rPr>
        <w:t>General and administrative expenses consist primarily of salaries and related benefits, including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related to our executive, finance, business development and support functions. Other general and administrative expenses include facility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costs not otherwise allocated to research and development expenses, travel expenses for our general and administrative personnel and professional fees for auditing, tax and corporate legal services, including intellectual property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legal services. We expect that our general and administrative expenses will increase in future periods, reflecting an expanding infrastructure and increased professional fees associated with being a public reporting company and maintaining and expanding our intellectual property-related legal services.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consists primarily of interest income earned on our cash and cash equivalents and short term investments.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consists of interest expense on amounts borrowed under our credit facility.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for the three months ended March 31, 2017 and 2016 was de minimis.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functional currency of our Russian subsidiary is the Russian ruble. In addition to holding cash denominated in Russian rubles, our Russian bank accounts also hold cash balances denominated in U.S. dollars to facilitate payments to be settled in U.S. dollars or other currencies. At March 31, 2017 and December 31, 2016, we maintained cash of $2.3 million and $2.5 million, respectively, in Russian banks, of which $2.2 million and $1.6 million was denominated in U.S. dollars for the periods ended March 31, 2017 and December 31, 2016, respectively. The amounts denominated in U.S. dollars and used in transacting the day to day operations are subject to transaction gains and losses, which are reported as incurred.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As of December 31, 2016, we had net operating loss carryforwards, or NOLs, for federal and state income tax purposes of $102.1 million and $95.6 million, respectively, which expire at various times through 2036. In 2014, our wholly owned subsidiary, Selecta RUS, was granted a “Skolkovo designated” resident status in Russia. As a result, the subsidiary operates as a corporate tax exempt entity, with lower employee and employment taxes. All foreign net operating loss carryforwards have been eliminated. The state NOLs began expiring in 2015 and will continue to expire through 2036. At December 31, 2016, we had available federal and state research and development income tax credits of approximately $2.1 million and $1.5 million respectively, which may be available to reduce future income taxes, if any, at various times through 2036.</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121"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Utilization of the NOLs and credits may be subject to a substantial annual limitation due to ownership change limitations provided by Section 382 of the Code. Specifically, this limitation may arise in the event of a cumulative change in our ownership of more than 50% within any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The amount of the annual limitation is determined based on our value immediately before the ownership change. Subsequent ownership changes may further affect the limitation in future years. The annual limitation may result in the expiration of our net operating losses and credits before we can use them. We have recorded a valuation allowance on all of our deferred tax assets, including our deferred tax assets related to our NOLs and research and development tax credit carryforwards. We plan to undertake a study to analyze and determine if any historical ownership changes have occurred to determine if there are any permanent limitations on our ability to utilize NOLs and other tax attributes in the future. In addition, we may experience ownership changes after this offering as a result of subsequent shifts in our stock ownership. As a result, we are unable to estimate the effect of these limitations, if any, on our ability to utilize NOLs and other tax attributes in the future.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comparison of revenue for the three months ended March 31, 2017 and 2016 (in thousands, except percentages):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40" w:type="dxa"/>
            <w:vAlign w:val="bottom"/>
          </w:tcPr>
          <w:p>
            <w:pPr>
              <w:spacing w:after="0"/>
              <w:rPr>
                <w:sz w:val="16"/>
                <w:szCs w:val="16"/>
                <w:color w:val="auto"/>
              </w:rPr>
            </w:pPr>
          </w:p>
        </w:tc>
        <w:tc>
          <w:tcPr>
            <w:tcW w:w="2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720" w:type="dxa"/>
            <w:vAlign w:val="bottom"/>
            <w:gridSpan w:val="3"/>
            <w:vMerge w:val="restart"/>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5340" w:type="dxa"/>
            <w:vAlign w:val="bottom"/>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172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2"/>
                <w:szCs w:val="22"/>
                <w:color w:val="auto"/>
              </w:rPr>
            </w:pP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4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2016</w:t>
            </w:r>
          </w:p>
        </w:tc>
        <w:tc>
          <w:tcPr>
            <w:tcW w:w="42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gridSpan w:val="3"/>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7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3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540" w:type="dxa"/>
            <w:vAlign w:val="bottom"/>
            <w:gridSpan w:val="3"/>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5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Grant revenue</w:t>
            </w:r>
          </w:p>
        </w:tc>
        <w:tc>
          <w:tcPr>
            <w:tcW w:w="900" w:type="dxa"/>
            <w:vAlign w:val="bottom"/>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122</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95"/>
              </w:rPr>
              <w:t>1,926</w:t>
            </w:r>
          </w:p>
        </w:tc>
        <w:tc>
          <w:tcPr>
            <w:tcW w:w="2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(1,804)</w:t>
            </w: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265"/>
        </w:trPr>
        <w:tc>
          <w:tcPr>
            <w:tcW w:w="53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4"/>
                <w:szCs w:val="14"/>
                <w:color w:val="auto"/>
              </w:rPr>
              <w:t>Collaboration revenue</w:t>
            </w:r>
          </w:p>
        </w:tc>
        <w:tc>
          <w:tcPr>
            <w:tcW w:w="9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24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162</w:t>
            </w:r>
          </w:p>
        </w:tc>
        <w:tc>
          <w:tcPr>
            <w:tcW w:w="240" w:type="dxa"/>
            <w:vAlign w:val="bottom"/>
            <w:tcBorders>
              <w:bottom w:val="single" w:sz="8" w:color="CCEEFF"/>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240" w:type="dxa"/>
            <w:vAlign w:val="bottom"/>
            <w:tcBorders>
              <w:bottom w:val="single" w:sz="8" w:color="CCEEFF"/>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0" w:type="dxa"/>
            <w:vAlign w:val="bottom"/>
          </w:tcPr>
          <w:p>
            <w:pPr>
              <w:spacing w:after="0"/>
              <w:rPr>
                <w:sz w:val="1"/>
                <w:szCs w:val="1"/>
                <w:color w:val="auto"/>
              </w:rPr>
            </w:pPr>
          </w:p>
        </w:tc>
      </w:tr>
      <w:tr>
        <w:trPr>
          <w:trHeight w:val="242"/>
        </w:trPr>
        <w:tc>
          <w:tcPr>
            <w:tcW w:w="5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revenue</w:t>
            </w:r>
          </w:p>
        </w:tc>
        <w:tc>
          <w:tcPr>
            <w:tcW w:w="900" w:type="dxa"/>
            <w:vAlign w:val="bottom"/>
            <w:tcBorders>
              <w:bottom w:val="single" w:sz="8" w:color="auto"/>
            </w:tcBorders>
            <w:shd w:val="clear" w:color="auto" w:fill="CCEEFF"/>
          </w:tcPr>
          <w:p>
            <w:pPr>
              <w:jc w:val="right"/>
              <w:ind w:right="72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137</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95"/>
              </w:rPr>
              <w:t>2,088</w:t>
            </w:r>
          </w:p>
        </w:tc>
        <w:tc>
          <w:tcPr>
            <w:tcW w:w="2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2017, total revenue decreased by $2.0 million, or 93%, as compared to the three months ended March 31, 2016. The decrease was primarily the result of reduced revenue from the company's NIDA grant, resulting in a $1.8 million reduction year over year. A decrease in collaboration revenues was the result of the termination of the Sanofi collaboration in November 2016 resulting in a decrease of $0.1 million, as well as a decrease of less than $0.1 million in reduced revenues resulting from the wind down of other collaborations.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The following is a comparison of research and development expenses for the three months ended March 31, 2017 and 2016 (in thousands, except percentages):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6"/>
                <w:szCs w:val="16"/>
                <w:color w:val="auto"/>
              </w:rPr>
            </w:pPr>
          </w:p>
        </w:tc>
        <w:tc>
          <w:tcPr>
            <w:tcW w:w="162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546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80" w:type="dxa"/>
            <w:vAlign w:val="bottom"/>
            <w:gridSpan w:val="2"/>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11,044</w:t>
            </w:r>
          </w:p>
        </w:tc>
        <w:tc>
          <w:tcPr>
            <w:tcW w:w="56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6,648</w:t>
            </w:r>
          </w:p>
        </w:tc>
        <w:tc>
          <w:tcPr>
            <w:tcW w:w="2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4,396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2017, our research and development expenses increased by $4.4 million, or 66%, as compared to the comparable period in 2016, reflecting (i) $2.8 million of external costs as the Company transitioned further into Phase 2 trials for SEL-212, (ii) $0.6 million for lab supplies and external costs associated with the manufacture of SEL-110 and other pipeline projects, (iii) $0.5 million of compensation costs related to headcount growth to support the clinical trial programs and pipeline advancements, (iv) $0.3 million for additional research and development allocations related to facilities and office costs and (v) $0.2 million of stock compensation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121"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9"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The following is a comparison of general and administrative expenses for the three months ended March 31, 2017 and 2016 (in thousands, except percentages):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8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Pr>
          <w:p>
            <w:pPr>
              <w:spacing w:after="0"/>
              <w:rPr>
                <w:sz w:val="16"/>
                <w:szCs w:val="16"/>
                <w:color w:val="auto"/>
              </w:rPr>
            </w:pPr>
          </w:p>
        </w:tc>
        <w:tc>
          <w:tcPr>
            <w:tcW w:w="1620" w:type="dxa"/>
            <w:vAlign w:val="bottom"/>
            <w:vMerge w:val="restart"/>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
        </w:trPr>
        <w:tc>
          <w:tcPr>
            <w:tcW w:w="5460" w:type="dxa"/>
            <w:vAlign w:val="bottom"/>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4"/>
        </w:trPr>
        <w:tc>
          <w:tcPr>
            <w:tcW w:w="54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2016</w:t>
            </w:r>
          </w:p>
        </w:tc>
        <w:tc>
          <w:tcPr>
            <w:tcW w:w="26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4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80" w:type="dxa"/>
            <w:vAlign w:val="bottom"/>
            <w:gridSpan w:val="2"/>
          </w:tcPr>
          <w:p>
            <w:pPr>
              <w:jc w:val="center"/>
              <w:ind w:left="60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3,875</w:t>
            </w:r>
          </w:p>
        </w:tc>
        <w:tc>
          <w:tcPr>
            <w:tcW w:w="56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2,381</w:t>
            </w:r>
          </w:p>
        </w:tc>
        <w:tc>
          <w:tcPr>
            <w:tcW w:w="260" w:type="dxa"/>
            <w:vAlign w:val="bottom"/>
            <w:shd w:val="clear" w:color="auto" w:fill="CCEEFF"/>
          </w:tcPr>
          <w:p>
            <w:pPr>
              <w:spacing w:after="0"/>
              <w:rPr>
                <w:sz w:val="23"/>
                <w:szCs w:val="23"/>
                <w:color w:val="auto"/>
              </w:rPr>
            </w:pPr>
          </w:p>
        </w:tc>
        <w:tc>
          <w:tcPr>
            <w:tcW w:w="50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w w:val="85"/>
              </w:rPr>
              <w:t>$</w:t>
            </w:r>
          </w:p>
        </w:tc>
        <w:tc>
          <w:tcPr>
            <w:tcW w:w="1620" w:type="dxa"/>
            <w:vAlign w:val="bottom"/>
            <w:shd w:val="clear" w:color="auto" w:fill="CCEEFF"/>
          </w:tcPr>
          <w:p>
            <w:pPr>
              <w:jc w:val="right"/>
              <w:ind w:right="828"/>
              <w:spacing w:after="0"/>
              <w:rPr>
                <w:sz w:val="20"/>
                <w:szCs w:val="20"/>
                <w:color w:val="auto"/>
              </w:rPr>
            </w:pPr>
            <w:r>
              <w:rPr>
                <w:rFonts w:ascii="Times New Roman" w:cs="Times New Roman" w:eastAsia="Times New Roman" w:hAnsi="Times New Roman"/>
                <w:sz w:val="14"/>
                <w:szCs w:val="14"/>
                <w:color w:val="auto"/>
              </w:rPr>
              <w:t>1,494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2017, our general and administrative expenses increased $1.5 million, or 63%, as compared to the 2016 period, primarily due to (i) $0.6 million related to growth in headcount to support public company filings and control processes, (ii) $0.2 million increase in consulting fees for market research and investor relations, (iii) $0.2 million increase in accounting fees associated with implementing quarterly reviews and filings of our financial statements, (iv) $0.2 million of stock compensation costs, (v) $0.2 million in patent costs driven by the continued increase in the Company's patent inventory and (vii) $0.1 million of other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Investment income increased by $0.1 million during the three months ended March 31, 2017 as compared to the comparable period in 2016. This increase was due to an increase of $34.3 million of investments held by the Company as of March 31, 2017 compared to the holdings as of March 31, 2016.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gain (loss)</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recognized a foreign currency gain of $0.2 million and $0.2 million during the three months ended March 31, 2017 and 2016 respectively, reflecting the fluctuation of the U.S. dollar to the Russian ruble from the beginning to the end of each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Interest expense was $0.3 million for each of the three months ended March 31, 2017 and 2016, respectively, representing interest expense and amortization of the carrying costs of our credit facility.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was de minimis for the three months ended March 31, 2017 and 2016.</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80"/>
        <w:spacing w:after="0" w:line="220" w:lineRule="exact"/>
        <w:rPr>
          <w:sz w:val="20"/>
          <w:szCs w:val="20"/>
          <w:color w:val="auto"/>
        </w:rPr>
      </w:pPr>
      <w:r>
        <w:rPr>
          <w:rFonts w:ascii="Times New Roman" w:cs="Times New Roman" w:eastAsia="Times New Roman" w:hAnsi="Times New Roman"/>
          <w:sz w:val="18"/>
          <w:szCs w:val="18"/>
          <w:color w:val="auto"/>
        </w:rPr>
        <w:t>Since our inception, we have incurred recurring net losses. We expect that we will continue to incur losses and that such losses will increase for the foreseeable future. We expect that our research and development and general and administrative expenses will continue to increase and, as a result, we will need additional capital to fund our operations, which we may raise through a combination of equity offerings, debt financings,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funding and other collaborations and strategic alliances.</w:t>
      </w:r>
    </w:p>
    <w:p>
      <w:pPr>
        <w:spacing w:after="0" w:line="201"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From our inception through March 31, 2017, we had raised an aggregate of $236.5 million to fund our operations, of which $118.5 million was from the sale of preferred stock, $9.9 million was from government grants and $14.3 million was from borrowings under our credit facility, $29.3 million was through our collaborations and license agreements, and $64.5 million in combined net proceeds from our initial public offering in June 2016, and the underwriters' exercise in part of their option to purchase additional shares of our common stock in July 2016.</w:t>
      </w:r>
    </w:p>
    <w:p>
      <w:pPr>
        <w:spacing w:after="0" w:line="180" w:lineRule="exact"/>
        <w:rPr>
          <w:sz w:val="20"/>
          <w:szCs w:val="20"/>
          <w:color w:val="auto"/>
        </w:rPr>
      </w:pPr>
    </w:p>
    <w:p>
      <w:pPr>
        <w:jc w:val="both"/>
        <w:ind w:right="620"/>
        <w:spacing w:after="0" w:line="266" w:lineRule="auto"/>
        <w:rPr>
          <w:sz w:val="20"/>
          <w:szCs w:val="20"/>
          <w:color w:val="auto"/>
        </w:rPr>
      </w:pPr>
      <w:r>
        <w:rPr>
          <w:rFonts w:ascii="Times New Roman" w:cs="Times New Roman" w:eastAsia="Times New Roman" w:hAnsi="Times New Roman"/>
          <w:sz w:val="18"/>
          <w:szCs w:val="18"/>
          <w:color w:val="auto"/>
        </w:rPr>
        <w:t>As of March 31, 2017, our cash equivalents and short term investments were $68.5 million, of which $2.3 million was held by our Russian subsidiary designated solely for use in its operations including $0.1 million of restricted cash. Our Russian subsidiary cash is consolidated for financial reporting purposes.</w:t>
      </w:r>
    </w:p>
    <w:p>
      <w:pPr>
        <w:spacing w:after="0" w:line="176"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addition to our existing cash equivalents and short term investments, we receive research and development funding pursuant to our research grants and collaboration agreements. In November 2016, we received written notice from Sanofi that Sanofi</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121" w:right="2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had elected to terminate in its entirety the Sanofi Agreement. The termination of the Sanofi Agreement was effective on May 8, 2017. Currently, funding from research grants and payments under our remaining collaboration agreements represent our only source of committed external funds.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29" w:lineRule="exact"/>
        <w:rPr>
          <w:sz w:val="20"/>
          <w:szCs w:val="20"/>
          <w:color w:val="auto"/>
        </w:rPr>
      </w:pPr>
    </w:p>
    <w:p>
      <w:pPr>
        <w:ind w:right="140"/>
        <w:spacing w:after="0" w:line="220" w:lineRule="exact"/>
        <w:rPr>
          <w:sz w:val="20"/>
          <w:szCs w:val="20"/>
          <w:color w:val="auto"/>
        </w:rPr>
      </w:pPr>
      <w:r>
        <w:rPr>
          <w:rFonts w:ascii="Times New Roman" w:cs="Times New Roman" w:eastAsia="Times New Roman" w:hAnsi="Times New Roman"/>
          <w:sz w:val="18"/>
          <w:szCs w:val="18"/>
          <w:color w:val="auto"/>
        </w:rPr>
        <w:t>In August 2013, we entered into a credit facility with Oxford Finance, LLC, or Oxford, and Pacific Western Bank, as successor in interest to Square 1 Bank, as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lenders. The credit facility initially provided funding for an aggregate principal amount of up to $7.5 million. The term loan A portion of the facility was funded on the facility’s closing date in the aggregate principal amount of $3.0 million. In July 2014, we borrowed the remaining $4.5 million of the available capacity under a term loan B portion of the facility. On December 31, 2015, we expanded the credit facility to a total of $12.0 million, and drew down all available funding at the closing, with the full amount borrowed referred to as the term loan.</w:t>
      </w:r>
    </w:p>
    <w:p>
      <w:pPr>
        <w:spacing w:after="0" w:line="201"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The credit facility is secured by substantially all of our personal property other than our intellectual property. The term loan under the credit facility bears interest at an annual rate equal to the greater of (i) 8.0% and (ii) the sum of (a) the 30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U.S. LIBOR rate five business days prior to the applicable funding date plus (b) 7.68%. We are required to make interest payments through January 1, 2017, or the interest only period. Following the interest only period, all outstanding borrowings under the credit facility will begin amortizing with monthly payments of principal and interest being made over 30 consecutive monthly installments. All loans under the facility mature on July 1, 2019, and include a final payment fee equal to 6.0% of the total amount borrowed under the credit facility. This final payment has been recorded as a discount to the loan balance and is being amortized into interest expense over the life of the loan.</w:t>
      </w:r>
    </w:p>
    <w:p>
      <w:pPr>
        <w:spacing w:after="0" w:line="19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term loan is prepayable at our option in whole, but not in part, subject to a prepayment fee of 3.0% if the term loan is prepaid prior to the first anniversary of the December 31, 2015 borrowing date, the borrowing date, 2.0% if the terms loans are prepaid between the first and second anniversary of the borrowing date and 1.0% if the term loan is prepaid after the second anniversary of the borrowing date. We are also required to prepay the term loan upon the occurrence of customary events of default set forth in the credit agreement. In addition, the term loan contains a subjective acceleration clause whereby an event of default and immediate acceleration of the borrowings under credit agreement occurs in the event of a material impairment of the perfection or priority of the lenders’ lien in the collateral or the value of such collateral, a material adverse change in our business operations or condition (financial or otherwise) or a material impairment of the prospect of repayment of any portion of the obligations.</w:t>
      </w:r>
    </w:p>
    <w:p>
      <w:pPr>
        <w:spacing w:after="0" w:line="18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The credit facility includes affirmative and negative covenants applicable to us and our subsidiaries. The affirmative covenants include, among others, covenants requiring us to (and to cause our subsidiaries to) maintain our legal existence and governmental approvals, deliver certain financial reports, maintain inventory and insurance coverage, maintain unrestricted cash in a control account equal to or greater than the lesser of 105% of all outstanding amounts under the credit facility and 100% of the cash and cash equivalents of our company and our wholly owned subsidiary, Selecta Biosciences Security Corporation, and protect material intellectual property. The negative covenants include, among others, restrictions on us and our subsidiaries transferring collateral, incurring additional indebtedness, engaging in mergers or acquisitions, paying dividends or making other distributions, making investments, creating liens, selling assets and allowing a change in control, in each case subject to certain exceptions. Additionally, the credit facility restricts us from making certain payments or transfers to our Russian subsidiary, Selecta RUS, subject to certain exceptions. The credit facility does not include any other financial covenants.</w:t>
      </w:r>
    </w:p>
    <w:p>
      <w:pPr>
        <w:spacing w:after="0" w:line="161" w:lineRule="exact"/>
        <w:rPr>
          <w:sz w:val="20"/>
          <w:szCs w:val="20"/>
          <w:color w:val="auto"/>
        </w:rPr>
      </w:pPr>
    </w:p>
    <w:p>
      <w:pPr>
        <w:jc w:val="both"/>
        <w:spacing w:after="0" w:line="228" w:lineRule="exact"/>
        <w:rPr>
          <w:sz w:val="20"/>
          <w:szCs w:val="20"/>
          <w:color w:val="auto"/>
        </w:rPr>
      </w:pPr>
      <w:r>
        <w:rPr>
          <w:rFonts w:ascii="Times New Roman" w:cs="Times New Roman" w:eastAsia="Times New Roman" w:hAnsi="Times New Roman"/>
          <w:sz w:val="18"/>
          <w:szCs w:val="18"/>
          <w:color w:val="auto"/>
        </w:rPr>
        <w:t>The credit facility also includes events of default, the occurrence and continuation of which provide the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lenders with the right to exercise remedies against us and the collateral securing the loans under the credit facility, including our cash. These events of default include, among other things, our failure to pay any amounts due under the credit facility, a breach of covenants under the credit facility, our insolvency and the insolvency of our subsidiaries, the occurrence of a material adverse event, the occurrence of any default under certain other indebtedness, and a final judgment against us in an amount greater than $100,000.</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of operations and future funding requirements</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of the date of this Quarterly Report on Form 10-Q, we have not generated any product sales. We do not know when, or if, we will generate revenue from product sales. We will not generate significant revenue from product sales unless and until we obtain regulatory approval and commercialize one of our current or future product candidates. Our primary uses of capital are, and we expect will continue to be, compensation and related expenses, third-party clinical research and development services, laboratory and related supplies, clinical costs, legal and other regulatory expenses, and general overhead costs. Moreover, as a result of the termination of the Sanofi Agreement, which was effective on May 8, 2017, we exercised our right to acquire the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00"/>
          </w:cols>
          <w:pgMar w:left="240" w:top="121" w:right="2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development programs under the Sanofi Agreement. This exercise itself did not require the payment of any consideration to Sanofi. We are solely responsible for performing and funding any development and clinical trial activities relating to further development of vaccine candidates that we choose to undertake after the termination date of the agreement. We expect that we will continue to generate losses for the foreseeable future, and we expect the losses to increase as we continue the development of, and seek regulatory approvals for, our product candidates, and begin to commercialize any approved products. We are subject to risks in the development of our products, and we may encounter unforeseen expenses, difficulties, complications, delays and other unknown factors that may adversely affect our business. We expect that we will need substantial additional funding in connection with our continuing operations.</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Based on the current operating plan, we expect that our cash, cash equivalents, short-term investments and restricted cash as of March 31, 2017, will fund our operating expenses and capital expenditure requirements into the middle of 2018. We have based this estimate on assumptions that may prove to be wrong, and we could use our capital resources sooner than we currently expect. Additionally, the process of testing product candidates in clinical trials is costly, and the timing of progress in these trials is uncertain. Because our product candidates are in various stages of clinical and preclinical development and the outcome of these efforts is uncertain, we cannot estimate the actual amounts necessary to successfully complete the development and commercialization of our product candidates or whether, or when, we may achieve profitability. Our future capital requirements will depend on many factors, including:</w:t>
      </w:r>
    </w:p>
    <w:p>
      <w:pPr>
        <w:spacing w:after="0" w:line="147" w:lineRule="exact"/>
        <w:rPr>
          <w:sz w:val="20"/>
          <w:szCs w:val="20"/>
          <w:color w:val="auto"/>
        </w:rPr>
      </w:pPr>
    </w:p>
    <w:p>
      <w:pPr>
        <w:ind w:left="240" w:hanging="232"/>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clinical trials of SEL-212;</w:t>
      </w:r>
    </w:p>
    <w:p>
      <w:pPr>
        <w:spacing w:after="0" w:line="184"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agreements remaining in effect, our ability to enter into additional collaboration agreements and our ability to achieve milestones under these agreements;</w:t>
      </w:r>
    </w:p>
    <w:p>
      <w:pPr>
        <w:spacing w:after="0" w:line="1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our other product candidates;</w:t>
      </w:r>
    </w:p>
    <w:p>
      <w:pPr>
        <w:spacing w:after="0" w:line="18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development requirements of other product candidates that we pursue;</w:t>
      </w:r>
    </w:p>
    <w:p>
      <w:pPr>
        <w:spacing w:after="0" w:line="184"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184"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any of our product candidates for which we receive marketing approval;</w:t>
      </w:r>
    </w:p>
    <w:p>
      <w:pPr>
        <w:spacing w:after="0" w:line="1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184"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12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in-license other products and technologies.</w:t>
      </w:r>
    </w:p>
    <w:p>
      <w:pPr>
        <w:spacing w:after="0" w:line="225"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equity offerings, debt financings and revenue from license and collaboration arrangements. Except for any obligations of our collaborators to reimburse us for research and development expenses or to make milestone payments under our agreements with them, we do not have any committed external source of liquidity. To the extent that we raise additional capital through the future sale of equity or debt, the ownership interest of our stockholders will be diluted, and the terms of these securities may include liquidation or other preferences that adversely affect the rights of our existing common stockholders. If we raise additional funds through collaboration arrangements in the future, we may have to relinquish valuable rights to our technologies, future revenue streams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380"/>
          </w:cols>
          <w:pgMar w:left="240" w:top="121" w:right="2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2017 and 2016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cash flows for the three months ended March 31, 2017 and 2016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64"/>
        </w:trPr>
        <w:tc>
          <w:tcPr>
            <w:tcW w:w="85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50"/>
        </w:trPr>
        <w:tc>
          <w:tcPr>
            <w:tcW w:w="85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Beginning of the period</w:t>
            </w: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58,656</w:t>
            </w:r>
          </w:p>
        </w:tc>
        <w:tc>
          <w:tcPr>
            <w:tcW w:w="10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32,337</w:t>
            </w:r>
          </w:p>
        </w:tc>
      </w:tr>
      <w:tr>
        <w:trPr>
          <w:trHeight w:val="275"/>
        </w:trPr>
        <w:tc>
          <w:tcPr>
            <w:tcW w:w="8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(15,319)</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(10,166)</w:t>
            </w:r>
          </w:p>
        </w:tc>
      </w:tr>
      <w:tr>
        <w:trPr>
          <w:trHeight w:val="265"/>
        </w:trPr>
        <w:tc>
          <w:tcPr>
            <w:tcW w:w="85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60" w:type="dxa"/>
            <w:vAlign w:val="bottom"/>
          </w:tcPr>
          <w:p>
            <w:pPr>
              <w:spacing w:after="0"/>
              <w:rPr>
                <w:sz w:val="23"/>
                <w:szCs w:val="23"/>
                <w:color w:val="auto"/>
              </w:rPr>
            </w:pPr>
          </w:p>
        </w:tc>
        <w:tc>
          <w:tcPr>
            <w:tcW w:w="11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(16,532)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(3,555)</w:t>
            </w:r>
          </w:p>
        </w:tc>
      </w:tr>
      <w:tr>
        <w:trPr>
          <w:trHeight w:val="275"/>
        </w:trPr>
        <w:tc>
          <w:tcPr>
            <w:tcW w:w="85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(1,677)</w:t>
            </w:r>
          </w:p>
        </w:tc>
      </w:tr>
      <w:tr>
        <w:trPr>
          <w:trHeight w:val="265"/>
        </w:trPr>
        <w:tc>
          <w:tcPr>
            <w:tcW w:w="85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Effect of exchange rate changes on cash</w:t>
            </w: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112</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End of the period</w:t>
            </w: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26,637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17,051</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 was $15.3 million for the three months ended March 31, 2017 as compared to $10.2 million for the three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2016. The increase in net cash used in operating activities of $5.1 million reflects a $7.7 million increase in recorded net loss associated with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increased research and development expenses as we advanced from Phase 1 to Phase 2 trials coupled with (i) $0.3 million in recorded deferred revenues and</w:t>
      </w:r>
    </w:p>
    <w:p>
      <w:pPr>
        <w:spacing w:after="0" w:line="9" w:lineRule="exact"/>
        <w:rPr>
          <w:sz w:val="20"/>
          <w:szCs w:val="20"/>
          <w:color w:val="auto"/>
        </w:rPr>
      </w:pPr>
    </w:p>
    <w:p>
      <w:pPr>
        <w:ind w:right="240" w:firstLine="8"/>
        <w:spacing w:after="0" w:line="261" w:lineRule="auto"/>
        <w:tabs>
          <w:tab w:leader="none" w:pos="26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 in recorded accounts payable and other liabilities of $0.2 million offset by (i) $1.7 million of restricted cash and other deposits (ii) additional (non-cash) stock-based compensation expense of $0.4 million and (iii) $1.0 million in reduced accounts receivable.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$16.5 million for the three months ended March 31, 2017, as compared to $3.6 million for the three months ended March 31, 2016. The net change in cash of $13.0 million used in investing activities for the three months ended March 31, 2017 resulted from the purchase of $13.1 million in short term investments offset by a $0.1 million decrease in purchased equipment.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$0.3 million for the three months ended March 31, 2017 as compared to $1.7 million for the three months ended March 31, 2016. The decrease of $1.4 million used in financing activities is the result of a $1.7 million decrease in cash used in connection with our IPO related activities in 2016 combined with an increase in net cash received of $0.4 million from the exercise of employee stock options offset by the $0.7 million of loan principle payments made during the three months ended March 31, 2017.</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functional currency of our Russian subsidiary is the Russian ruble. The statement of cash flows for our Russian subsidiary is translated using the average translation rate applicable during the period except that all cash and cash equivalents, short term investments and restricted cash at the beginning of the period is translated using the exchange rate as of the beginning balance sheet date, and cash and cash equivalents, short term investments and restricted cash at the end of the period is translated using the exchange rate as of the ending balance sheet date.</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contingent liabilities</w:t>
      </w:r>
    </w:p>
    <w:p>
      <w:pPr>
        <w:spacing w:after="0" w:line="200" w:lineRule="exact"/>
        <w:rPr>
          <w:sz w:val="20"/>
          <w:szCs w:val="20"/>
          <w:color w:val="auto"/>
        </w:rPr>
      </w:pPr>
    </w:p>
    <w:p>
      <w:pPr>
        <w:spacing w:after="0" w:line="245"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disclosure of our contractual obligations and commitments was included in our 2016 Annual Report on Form 10-K. There have been no material changes from the contractual commitments and obligations previously disclosed in our 2016 Annual Report on Form 10-K.</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00" w:lineRule="exact"/>
        <w:rPr>
          <w:sz w:val="20"/>
          <w:szCs w:val="20"/>
          <w:color w:val="auto"/>
        </w:rPr>
      </w:pPr>
    </w:p>
    <w:p>
      <w:pPr>
        <w:spacing w:after="0" w:line="245" w:lineRule="exact"/>
        <w:rPr>
          <w:sz w:val="20"/>
          <w:szCs w:val="20"/>
          <w:color w:val="auto"/>
        </w:rPr>
      </w:pPr>
    </w:p>
    <w:p>
      <w:pPr>
        <w:ind w:right="940"/>
        <w:spacing w:after="0" w:line="282" w:lineRule="auto"/>
        <w:rPr>
          <w:sz w:val="20"/>
          <w:szCs w:val="20"/>
          <w:color w:val="auto"/>
        </w:rPr>
      </w:pPr>
      <w:r>
        <w:rPr>
          <w:rFonts w:ascii="Times New Roman" w:cs="Times New Roman" w:eastAsia="Times New Roman" w:hAnsi="Times New Roman"/>
          <w:sz w:val="18"/>
          <w:szCs w:val="18"/>
          <w:color w:val="auto"/>
        </w:rPr>
        <w:t>As of March 31, 2017, we did not have any off-balance sheet arrangements as defined in the rules and regulations of the Securities and Exchange Commission.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121" w:right="2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USE OF ESTIMATES</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discussion and analysis of our financial condition and results of operations is based on our financial statements, which we have prepared in accordance with United States generally accepted accounting principles. We believe that several accounting policies are important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reasonable—could have been used. On an ongoing basis, we evaluate our estimates and judgments. We base our estimates on historical experience and other market-specific or other relevant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2017, there were no material changes to our critical accounting policies as reported in our 2016 Annual Report on Form 10-K.</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80"/>
        <w:spacing w:after="0" w:line="220" w:lineRule="exact"/>
        <w:rPr>
          <w:sz w:val="20"/>
          <w:szCs w:val="20"/>
          <w:color w:val="auto"/>
        </w:rPr>
      </w:pPr>
      <w:r>
        <w:rPr>
          <w:rFonts w:ascii="Times New Roman" w:cs="Times New Roman" w:eastAsia="Times New Roman" w:hAnsi="Times New Roman"/>
          <w:sz w:val="18"/>
          <w:szCs w:val="18"/>
          <w:color w:val="auto"/>
        </w:rPr>
        <w:t>The market risk inherent in our financial instruments and in our financial position represents the potential loss arising from adverse changes in interest rates. As of March 31, 2017 and December 31, 2016, we had cash equivalents and short term investments of $68.5 million and $84.1 million, respectively, consisting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interest and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bearing money market accounts, repurchase agreements, short-term investments of treasuries and government obligations. Our primary exposure to market risk is interest rate sensitivity, which is affected by changes in the general level of U.S. interest rates. Due to the short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and the low risk profile of our money market accounts and investments, and our current plan to hold investments to maturity, an immediate 100 basis point change in interest rates would not have a material effect on the fair market value of our cash equivalents or short-term investments.</w:t>
      </w:r>
    </w:p>
    <w:p>
      <w:pPr>
        <w:spacing w:after="0" w:line="19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we are subject to currency risk for balances held in Russian rubles in our foreign subsidiary. We hold portions of our funds in both U.S. dollars and Russian rubles. The exchange rate between the U.S. dollar and Russian ruble changes from period to period. At March 31, 2017, we held $2.3 million of total cash in Russian banks to support our Russian subsidiary, which includes $2.2 million of cash and cash equivalents and $0.1 million of restricted cash, of which $2.2 million of cash and cash equivalents were denominated in U.S. dollars. We do not hedge against foreign currency risks. We do not believe that inflation and changing prices had a significant impact on our results of operations for any periods presented herein.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as of the end of the period covered by this Quarterly Report on Form 10-Q, the effectiveness of our disclosure controls and procedures (as defined in Rules 13a-15(e) and 15d-15(e) under the Securities Exchange Act of 1934, as amended (the “Exchange Act”)). Based on that evaluation, our Chief Executive Officer and Chief Financial Officer concluded that our disclosure controls and procedures were effective at the reasonable assurance level as of March 31, 2017.</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three months ended March 31, 2017 that have materially affected, or is reasonably likely to materially affect, our internal control over financial reporting.</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380"/>
          </w:cols>
          <w:pgMar w:left="240" w:top="121" w:right="2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not party to any material legal proceedings.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consider carefully the risks described below, together with the other information included or incorporated by reference in this Quarterly Report on Form 10-Q. If any of the following risks occur, our business, financial condition, results of operations and future growth prospects could be materially and adversely affected. In these circumstances, the market price of our common stock could decline. Other events that we do not currently anticipate or that we currently deem immaterial may also affect our business, prospects, financial condition and results of operations.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200" w:lineRule="exact"/>
        <w:rPr>
          <w:sz w:val="20"/>
          <w:szCs w:val="20"/>
          <w:color w:val="auto"/>
        </w:rPr>
      </w:pPr>
    </w:p>
    <w:p>
      <w:pPr>
        <w:spacing w:after="0" w:line="217" w:lineRule="exact"/>
        <w:rPr>
          <w:sz w:val="20"/>
          <w:szCs w:val="20"/>
          <w:color w:val="auto"/>
        </w:rPr>
      </w:pPr>
    </w:p>
    <w:p>
      <w:pPr>
        <w:ind w:right="260"/>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We are a development</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stage company and have incurred significant losses since our inception. We expect to incur losses for the foreseeable future and may never achieve or maintain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1033780</wp:posOffset>
            </wp:positionH>
            <wp:positionV relativeFrom="paragraph">
              <wp:posOffset>-223520</wp:posOffset>
            </wp:positionV>
            <wp:extent cx="64135"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 inception, we have incurred significant operating losses in every year. Our net loss was $15.1 million for the three months ended March 31, 2017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$36.2 million and $25.2 million for the years ended December 31, 2016 and 2015, respectively. As of March 31, 2017, we had an accumulated deficit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$166.7 million. To date, we have financed our operations primarily through issuances of preferred stock, debt, research grants and a research collaboration.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have no source of product revenue, and we do not expect to generate product revenue for the foreseeable future. All of our revenue to date has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been collaboration and grant revenue. In November 2016 we received written notice from Sanofi that Sanofi had elected to terminate in its entirety our license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research collaboration agreement with Sanofi, or the Sanofi Agreement. As a result of the termination of the Sanofi Agreement, which was effective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8, 2017, we will not receive any future payments related to the Sanofi Agreement. We have devoted substantially all of our financial resources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efforts to developing our SVP technology, identifying potential product candidates and conducting preclinical studies and our clinical trials. We are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early stages of development of our product candidates, and we have not completed development of any SVP therapies. We expect to continue to incur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significant expenses and operating losses for the foreseeable future. We expect that our expenses will increase substantially as we:</w:t>
      </w:r>
    </w:p>
    <w:p>
      <w:pPr>
        <w:spacing w:after="0" w:line="394" w:lineRule="exact"/>
        <w:rPr>
          <w:sz w:val="20"/>
          <w:szCs w:val="20"/>
          <w:color w:val="auto"/>
        </w:rPr>
      </w:pPr>
    </w:p>
    <w:p>
      <w:pPr>
        <w:ind w:left="240" w:hanging="232"/>
        <w:spacing w:after="0" w:line="207" w:lineRule="exact"/>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additional clinical trials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our lead product candidate;</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research and development of our other product candidates;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enhance our SVP technology and discover and develop additional product candidates;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product candidates that successfully complete clinical trials;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establish a sales, marketing and distribution infrastructure and scale up external manufacturing capabilities to commercialize any products for which we may obtain regulatory approval;</w:t>
      </w:r>
    </w:p>
    <w:p>
      <w:pPr>
        <w:spacing w:after="0" w:line="37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up external manufacturing capabilities to commercialize any products for which we may obtain regulatory approval;</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 including through licensing arrangements;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right="90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clinical, scientific, operational, financial and management information systems and personnel, including personnel to support our product development and potential future commercialization efforts and to support our transition to a public company; and</w:t>
      </w:r>
    </w:p>
    <w:p>
      <w:pPr>
        <w:spacing w:after="0" w:line="377" w:lineRule="exact"/>
        <w:rPr>
          <w:rFonts w:ascii="Times New Roman" w:cs="Times New Roman" w:eastAsia="Times New Roman" w:hAnsi="Times New Roman"/>
          <w:sz w:val="18"/>
          <w:szCs w:val="18"/>
          <w:color w:val="auto"/>
        </w:rPr>
      </w:pPr>
    </w:p>
    <w:p>
      <w:pPr>
        <w:ind w:left="340" w:right="180" w:hanging="251"/>
        <w:spacing w:after="0" w:line="282" w:lineRule="auto"/>
        <w:tabs>
          <w:tab w:leader="none" w:pos="34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with any of the above, including, but not limited to, failed studies, complex results, safety issues or other regulatory challenges.</w:t>
      </w:r>
    </w:p>
    <w:p>
      <w:pPr>
        <w:spacing w:after="0" w:line="378"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and eventually commercializing products that generate significant revenue. This will require us to be successful in a range of challenging activities, including completing preclinical</w:t>
      </w:r>
    </w:p>
    <w:p>
      <w:pPr>
        <w:sectPr>
          <w:pgSz w:w="11900" w:h="16838" w:orient="portrait"/>
          <w:cols w:equalWidth="0" w:num="1">
            <w:col w:w="11420"/>
          </w:cols>
          <w:pgMar w:left="240" w:top="121" w:right="239" w:bottom="765"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121" w:right="239" w:bottom="765"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testing and clinical trials of our product candidates, discovering additional product candidates, obtaining regulatory approval and securing reimbursement for these product candidates, manufacturing, marketing and selling any products for which we may obtain regulatory approval, and establishing and managing our collaborations at various stages of a product candidate’s development. We are only in the preliminary stages of most of these activities. We may never succeed in these activities and, even if we do, may never generate revenues that are significant enough to achieve profitability.</w:t>
      </w:r>
    </w:p>
    <w:p>
      <w:pPr>
        <w:spacing w:after="0" w:line="39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and biological product development, we are unable to accurately predict the timing or amount of increased expenses or when, or if, we will be able to achieve profitability. If we are required by the U.S. Food and Drug Administration, or FDA, or other regulatory authorities to perform studies in addition to those currently expected, or if there are any delays in completing our clinical trials or the development of any of our product candidates, our expenses could increase and revenue could be further delayed.</w:t>
      </w:r>
    </w:p>
    <w:p>
      <w:pPr>
        <w:spacing w:after="0" w:line="39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Even if we do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diversify our product offerings or continue our operations.</w:t>
      </w:r>
    </w:p>
    <w:p>
      <w:pPr>
        <w:spacing w:after="0" w:line="3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In addition, we have recurring losses and negative cash flows from operations and will require additional capital to fund planned operations. There can be no assurance that we will be able to raise additional capital on reasonable terms, if at all, which could prevent us from continuing our operations.</w:t>
      </w:r>
    </w:p>
    <w:p>
      <w:pPr>
        <w:spacing w:after="0" w:line="37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will need substantial additional funding in order to complete development of our product candidates and commercialize our products, if approved. If we are unable to raise capital when needed, we could be forced to delay, reduce or eliminate our product development programs or commercialization efforts</w:t>
      </w:r>
      <w:r>
        <w:rPr>
          <w:rFonts w:ascii="Times New Roman" w:cs="Times New Roman" w:eastAsia="Times New Roman" w:hAnsi="Times New Roman"/>
          <w:sz w:val="18"/>
          <w:szCs w:val="18"/>
          <w:b w:val="1"/>
          <w:bCs w:val="1"/>
          <w:color w:val="auto"/>
        </w:rPr>
        <w:t>.</w:t>
      </w:r>
    </w:p>
    <w:p>
      <w:pPr>
        <w:spacing w:after="0" w:line="362" w:lineRule="exact"/>
        <w:rPr>
          <w:sz w:val="20"/>
          <w:szCs w:val="20"/>
          <w:color w:val="auto"/>
        </w:rPr>
      </w:pPr>
    </w:p>
    <w:p>
      <w:pPr>
        <w:ind w:right="20"/>
        <w:spacing w:after="0" w:line="226" w:lineRule="exact"/>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conduct our clinical trials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and continue research and development for our other product candidates. In addition, if we obtain regulatory approval for any of our product candidates, we expect to incur significant commercialization expenses related to product manufacturing, marketing, sales and distribution. Accordingly, we will need to obtain substantial additional funding to continue operations. If we are unable to raise capital when needed or on attractive terms, we could be forced to delay, reduce or eliminate our research and development programs or any future commercialization efforts.</w:t>
      </w:r>
    </w:p>
    <w:p>
      <w:pPr>
        <w:spacing w:after="0" w:line="200" w:lineRule="exact"/>
        <w:rPr>
          <w:sz w:val="20"/>
          <w:szCs w:val="20"/>
          <w:color w:val="auto"/>
        </w:rPr>
      </w:pPr>
    </w:p>
    <w:p>
      <w:pPr>
        <w:spacing w:after="0" w:line="21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We believe that our existing cash, cash equivalents and investments, and funding that we expect to receive under our existing collaborations will enable us to fund our operating expenses and capital expenditure requirements into the middle of 2018. We have based this estimate on assumptions that may prove to be wrong, and we could use our capital resources sooner than we currently expect. Our future capital requirements will depend on many factors, including:</w:t>
      </w:r>
    </w:p>
    <w:p>
      <w:pPr>
        <w:spacing w:after="0" w:line="364" w:lineRule="exact"/>
        <w:rPr>
          <w:sz w:val="20"/>
          <w:szCs w:val="20"/>
          <w:color w:val="auto"/>
        </w:rPr>
      </w:pPr>
    </w:p>
    <w:p>
      <w:pPr>
        <w:ind w:left="240" w:hanging="232"/>
        <w:spacing w:after="0" w:line="207" w:lineRule="exact"/>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progress and results of our clinical trials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product candidates that we pursue;</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collaboration agreements remaining in effect, our entering into additional collaboration agreements and our ability to achieve milestones under these agreements;</w:t>
      </w:r>
    </w:p>
    <w:p>
      <w:pPr>
        <w:spacing w:after="0" w:line="37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supplies of our product candidates;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headcount growth and associated costs;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our other product candidates;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future commercialization activities, including manufacturing, marketing, sales and distribution, for any of our product candidates for which we receive marketing approval;</w:t>
      </w:r>
    </w:p>
    <w:p>
      <w:pPr>
        <w:spacing w:after="0" w:line="37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if any, received from commercial sales of our product candidates for which we receive marketing approval;</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line="235" w:lineRule="exact"/>
        <w:tabs>
          <w:tab w:leader="none" w:pos="3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claims;</w:t>
      </w:r>
    </w:p>
    <w:p>
      <w:pPr>
        <w:sectPr>
          <w:pgSz w:w="11900" w:h="16838" w:orient="portrait"/>
          <w:cols w:equalWidth="0" w:num="1">
            <w:col w:w="11380"/>
          </w:cols>
          <w:pgMar w:left="240" w:top="121" w:right="279" w:bottom="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380"/>
          </w:cols>
          <w:pgMar w:left="240" w:top="121" w:right="279"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240" w:hanging="232"/>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 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right="380" w:hanging="332"/>
        <w:spacing w:after="0" w:line="282"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product candidates.</w:t>
      </w:r>
    </w:p>
    <w:p>
      <w:pPr>
        <w:spacing w:after="0" w:line="349" w:lineRule="exact"/>
        <w:rPr>
          <w:sz w:val="20"/>
          <w:szCs w:val="20"/>
          <w:color w:val="auto"/>
        </w:rPr>
      </w:pPr>
    </w:p>
    <w:p>
      <w:pPr>
        <w:ind w:right="60"/>
        <w:spacing w:after="0" w:line="220" w:lineRule="exact"/>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activities, which may adversely affect our ability to develop and commercialize our product candidates. In addition,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could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others at an earlier stage than otherwise would be desirable and we may be required to relinquish rights to some of our technologies or product candidates or otherwise agree to terms unfavorable to us, any of which may have a material adverse effect on our business, operating results and prospects.</w:t>
      </w:r>
    </w:p>
    <w:p>
      <w:pPr>
        <w:spacing w:after="0" w:line="200" w:lineRule="exact"/>
        <w:rPr>
          <w:sz w:val="20"/>
          <w:szCs w:val="20"/>
          <w:color w:val="auto"/>
        </w:rPr>
      </w:pPr>
    </w:p>
    <w:p>
      <w:pPr>
        <w:spacing w:after="0" w:line="222"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one or more of our research or development programs or the commercialization of any product candidates, or be unable to expand our operations or otherwise capitalize on our business opportunities, as desired, which could materially affect our business, financial condition and results of operations.</w:t>
      </w:r>
    </w:p>
    <w:p>
      <w:pPr>
        <w:spacing w:after="0" w:line="38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Revenues from research and development activities in collaboration with Sanofi represented a significant portion of our revenues and the loss of these revenues may adversely affect our business and our liquidity.</w:t>
      </w:r>
    </w:p>
    <w:p>
      <w:pPr>
        <w:spacing w:after="0" w:line="15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Revenues from research and development activities under the Sanofi Agreement were a significant source of revenues in 2016. In November 2016 we received written notice from Sanofi that Sanofi had elected to terminate in its entirety the Sanofi Agreement. The termination of the Sanofi Agreement was effective on May 8, 2017, which was six months from the date of the notice. The loss of revenue derived from research and development activities under the Sanofi Agreement may adversely affect our business and our liquidity. In addition, Sanofi's termination of this agreement could adversely affect our reputation.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you to evaluate the success of our business to date and to assess our future viability.</w:t>
      </w:r>
    </w:p>
    <w:p>
      <w:pPr>
        <w:spacing w:after="0" w:line="200" w:lineRule="exact"/>
        <w:rPr>
          <w:sz w:val="20"/>
          <w:szCs w:val="20"/>
          <w:color w:val="auto"/>
        </w:rPr>
      </w:pPr>
    </w:p>
    <w:p>
      <w:pPr>
        <w:spacing w:after="0" w:line="245"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We commenced active operations in 2007, and our operations to date have been limited to developing and researching our SVP technology and related products and programs, building our intellectual property portfolio, developing our supply chain, planning our business, raising capital and providing general and administrative support for these operations. All but one of our product candidates,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are still in preclinical development. We completed the patient treatment portion of our Phase 1a clinical trial of pegsiticase, a component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our lead product candidate, but have not yet completed any other clinical trials for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or any other product candidates. We initiated our Phase 2 clinical trial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in October 2016, but have not yet demonstrated our ability to successfully complete any Phase 3 or other pivotal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quarter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quarter and year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due to a variety of factors, many of which are beyond our control. Consequently, any predictions you make about our future success or viability may not be as accurate as they could be if we had a longer operating history.</w:t>
      </w:r>
    </w:p>
    <w:p>
      <w:pPr>
        <w:spacing w:after="0" w:line="200" w:lineRule="exact"/>
        <w:rPr>
          <w:sz w:val="20"/>
          <w:szCs w:val="20"/>
          <w:color w:val="auto"/>
        </w:rPr>
      </w:pPr>
    </w:p>
    <w:p>
      <w:pPr>
        <w:spacing w:after="0" w:line="216"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terms of our credit facility and subsidiary’s charter place restrictions on our operating and financial flexibility. If we raise additional capital through debt financing, the terms of any new debt could further restrict our ability to operate our business.</w:t>
      </w:r>
    </w:p>
    <w:p>
      <w:pPr>
        <w:spacing w:after="0" w:line="375"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 $12.0 million credit facility with Oxford Finance LLC, or Oxford, and Pacific Western Bank, as successor in interest to Square 1 Bank, that is secured by a lien covering substantially all of our personal property, excluding intellectual property. As of March 31, 2017, the outstanding principal balance under the credit facility was $11.3 million. The credit facility contains customary affirmative and negative covenants and events of default applicable to us and our subsidiaries. The affirmative covenants include, among others, covenants requiring us (and us to cause our subsidiaries) to maintain our legal existence and governmental approvals, deliver certain financial reports and notifications, maintain proper books of record and account, timely file and pay tax returns, maintain inventory and insurance coverage, maintain unrestricted cash in a control account equal to or</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121" w:right="2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greater than the lesser of 105% of all outstanding amounts under the credit facility and 100% of the cash and cash equivalents of our company and our wholly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subsidiary, Selecta Biosciences Security Corporation, and protect material intellectual property. The negative covenants include, among others, restrictions on us and our subsidiaries transferring collateral, changing businesses, dissolving, liquidating, engaging in mergers or acquisitions, adding new offices or locations, making certain organizational changes, incurring additional indebtedness, encumbering collateral, paying cash dividends or making other distributions, making investments, selling assets, undergoing a change in control, engaging in certain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ordinary course material transactions with affiliates, and making certain payments or transfers to our subsidiary Selecta (RUS) LLC, or Selecta RUS, in each case subject to certain exceptions. If we default under the credit facility, Oxford, as collateral agent for the lenders, may accelerate all of our repayment obligations and take control of our pledged assets, potentially requiring us to renegotiate our agreement on terms less favorable to us or to immediately cease operations. Further, if we are liquidated, the lenders’ right to repayment would be senior to the rights of the holders of our common stock to receive any proceeds from the liquidation. The lenders could declare a default upon the occurrence of any event that they interpret as a material adverse effect as defined under the credit facility, thereby requiring us to repay the loan immediately or to attempt to reverse the declaration of default through negotiation or litigation. Any declaration by the lenders of an event of default could significantly harm our business and prospects and could cause the price of our common stock to decline. If we raise any additional debt financing, the terms of such additional debt could further restrict our operating and financial flexibility.</w:t>
      </w:r>
    </w:p>
    <w:p>
      <w:pPr>
        <w:spacing w:after="0" w:line="200" w:lineRule="exact"/>
        <w:rPr>
          <w:sz w:val="20"/>
          <w:szCs w:val="20"/>
          <w:color w:val="auto"/>
        </w:rPr>
      </w:pPr>
    </w:p>
    <w:p>
      <w:pPr>
        <w:spacing w:after="0" w:line="216"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addition, the charter of our subsidiary, Selecta RUS, prohibits distributions to us in violation of Russian law or if, as a result of such distribution, Selecta RUS would be insolvent or its net assets would be less than its charter capital and statutory reserves. Selecta RUS held $2.3 million of total cash in Russian banks as of March 31, 2017, including $2.2 million of cash and cash equivalents and $0.1 million of restricted cash.</w:t>
      </w:r>
    </w:p>
    <w:p>
      <w:pPr>
        <w:spacing w:after="0" w:line="3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and research and development tax credit carryforwards to offset future taxable income may be subject to certain limitations.</w:t>
      </w:r>
    </w:p>
    <w:p>
      <w:pPr>
        <w:spacing w:after="0" w:line="375" w:lineRule="exact"/>
        <w:rPr>
          <w:sz w:val="20"/>
          <w:szCs w:val="20"/>
          <w:color w:val="auto"/>
        </w:rPr>
      </w:pPr>
    </w:p>
    <w:p>
      <w:pPr>
        <w:ind w:right="40"/>
        <w:spacing w:after="0" w:line="219" w:lineRule="exact"/>
        <w:rPr>
          <w:sz w:val="20"/>
          <w:szCs w:val="20"/>
          <w:color w:val="auto"/>
        </w:rPr>
      </w:pPr>
      <w:r>
        <w:rPr>
          <w:rFonts w:ascii="Times New Roman" w:cs="Times New Roman" w:eastAsia="Times New Roman" w:hAnsi="Times New Roman"/>
          <w:sz w:val="18"/>
          <w:szCs w:val="18"/>
          <w:color w:val="auto"/>
        </w:rPr>
        <w:t>We have net operating loss carryforwards, or NOLs, for federal and state income tax purposes which may be available to offset our future taxable income, if any. In general, under Sections 382 and 383 of the U.S. Internal Revenue Code of 1986, as amended, or the Code, a corporation that undergoes an “ownership change” is subject to limitations on its ability to use its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change NOLs to offset future taxable income. If the U.S. Internal Revenue Service, or IRS, challenges our analysis that existing NOLs will not expire before utilization due to previous ownership changes, or if we undergo an ownership change in connection with or after this public offering, our ability to use our NOLs could be limited by Section 382 of the Code. Future changes in our stock ownership, some of which are outside of our control, could result in an ownership change under Sections 382 and 383 of the Code. Furthermore, our ability to use NOLs of companies that we may acquire in the future may be subject to limitations. As a result, we may not be able to use a material portion of the NOLs reflected on our balance sheet, even if we attain profitability.</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DISCOVERY, DEVELOPMENT AND REGULATORY APPROVAL OF OUR PRODUCT CANDIDATES</w:t>
      </w:r>
    </w:p>
    <w:p>
      <w:pPr>
        <w:spacing w:after="0" w:line="200" w:lineRule="exact"/>
        <w:rPr>
          <w:sz w:val="20"/>
          <w:szCs w:val="20"/>
          <w:color w:val="auto"/>
        </w:rPr>
      </w:pPr>
    </w:p>
    <w:p>
      <w:pPr>
        <w:spacing w:after="0" w:line="241"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clinical development efforts and may not be successful in our efforts to use our SVP technology to build a pipeline of product candidates and develop marketable drugs.</w:t>
      </w:r>
    </w:p>
    <w:p>
      <w:pPr>
        <w:spacing w:after="0" w:line="346" w:lineRule="exact"/>
        <w:rPr>
          <w:sz w:val="20"/>
          <w:szCs w:val="20"/>
          <w:color w:val="auto"/>
        </w:rPr>
      </w:pPr>
    </w:p>
    <w:p>
      <w:pPr>
        <w:ind w:right="100"/>
        <w:spacing w:after="0" w:line="221" w:lineRule="exact"/>
        <w:rPr>
          <w:sz w:val="20"/>
          <w:szCs w:val="20"/>
          <w:color w:val="auto"/>
        </w:rPr>
      </w:pPr>
      <w:r>
        <w:rPr>
          <w:rFonts w:ascii="Times New Roman" w:cs="Times New Roman" w:eastAsia="Times New Roman" w:hAnsi="Times New Roman"/>
          <w:sz w:val="18"/>
          <w:szCs w:val="18"/>
          <w:color w:val="auto"/>
        </w:rPr>
        <w:t>We are primarily using our SVP technology to improve and enable biologics that treat rare and serious diseases, with an initial focus on developing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for the treatment of refractory and chronic tophaceous gout. While we believe our preclinical and clinical data to date have validated our technology to a degree, we are at an early stage of development and our technology has not yet led to, and may never lead to, approvable or marketable drugs. We are developing additional product candidates to address the problem of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drug antibodies, or ADAs, and immunogenicity in biologic therapy and to treat cancer and other infectious diseases and conditions that are not responsive to currently available vaccines. We may have problems applying our technologies to these other areas, and our new product candidates may not be as effective as our initial product candidates. Even if we are successful in identifying additional product candidates, they may not be suitable for clinical development, including as a result of harmful side effects, limited efficacy or other characteristics that indicate that they are unlikely to be products that will receive marketing approval and achieve market acceptance. The success of our product candidates will depend on several factors, including the following:</w:t>
      </w:r>
    </w:p>
    <w:p>
      <w:pPr>
        <w:spacing w:after="0" w:line="200" w:lineRule="exact"/>
        <w:rPr>
          <w:sz w:val="20"/>
          <w:szCs w:val="20"/>
          <w:color w:val="auto"/>
        </w:rPr>
      </w:pPr>
    </w:p>
    <w:p>
      <w:pPr>
        <w:spacing w:after="0" w:line="219" w:lineRule="exact"/>
        <w:rPr>
          <w:sz w:val="20"/>
          <w:szCs w:val="20"/>
          <w:color w:val="auto"/>
        </w:rPr>
      </w:pPr>
    </w:p>
    <w:p>
      <w:pPr>
        <w:ind w:left="240" w:hanging="232"/>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studies and clinical trials with positive results;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121" w:right="2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 for our product candidates;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right="46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arrangements with third party manufacturers for, or establishing, commercial manufacturing capabilities, or --establishing such capabilities ourselves;</w:t>
      </w:r>
    </w:p>
    <w:p>
      <w:pPr>
        <w:spacing w:after="0" w:line="37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our products, if and when approved, whether alone or in collaboration with others;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right="200" w:hanging="332"/>
        <w:spacing w:after="0" w:line="282" w:lineRule="auto"/>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existing collaboration agreements remaining in effect and our entering into new collaborations throughout the development process as appropriate, from preclinical studies through to commercialization;</w:t>
      </w:r>
    </w:p>
    <w:p>
      <w:pPr>
        <w:spacing w:after="0" w:line="37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our products, if and when approved, by patients and the medical community;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200" w:lineRule="exact"/>
        <w:rPr>
          <w:rFonts w:ascii="Times New Roman" w:cs="Times New Roman" w:eastAsia="Times New Roman" w:hAnsi="Times New Roman"/>
          <w:sz w:val="18"/>
          <w:szCs w:val="18"/>
          <w:color w:val="auto"/>
        </w:rPr>
      </w:pPr>
    </w:p>
    <w:p>
      <w:pPr>
        <w:spacing w:after="0" w:line="212"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coverage and adequate reimbursement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including government payors, for our products, if approved;</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without infringing or violating the valid and enforceable patents or other intellectual property of third parties;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acceptable safety profile of our products following approval; 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an organization of scientists and business people who can develop and commercialize our product candidates and technology.</w:t>
      </w:r>
    </w:p>
    <w:p>
      <w:pPr>
        <w:spacing w:after="0" w:line="200" w:lineRule="exact"/>
        <w:rPr>
          <w:sz w:val="20"/>
          <w:szCs w:val="20"/>
          <w:color w:val="auto"/>
        </w:rPr>
      </w:pPr>
    </w:p>
    <w:p>
      <w:pPr>
        <w:spacing w:after="0" w:line="24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If we do not successfully develop and commercialize product candidates based upon our technological approach, we will not be able to obtain future revenues, which would result in significant harm to our financial position and adversely affect our stock price.</w:t>
      </w:r>
    </w:p>
    <w:p>
      <w:pPr>
        <w:spacing w:after="0" w:line="349" w:lineRule="exact"/>
        <w:rPr>
          <w:sz w:val="20"/>
          <w:szCs w:val="20"/>
          <w:color w:val="auto"/>
        </w:rPr>
      </w:pPr>
    </w:p>
    <w:p>
      <w:pPr>
        <w:ind w:right="440"/>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Our product candidates are based on our SVP technology, which is an unproven approach designed to induce antigen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specific immune tolerance to biologic drugs or stimulate the immune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5550535</wp:posOffset>
            </wp:positionH>
            <wp:positionV relativeFrom="paragraph">
              <wp:posOffset>-223520</wp:posOffset>
            </wp:positionV>
            <wp:extent cx="6413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367" w:lineRule="exact"/>
        <w:rPr>
          <w:sz w:val="20"/>
          <w:szCs w:val="20"/>
          <w:color w:val="auto"/>
        </w:rPr>
      </w:pPr>
    </w:p>
    <w:p>
      <w:pPr>
        <w:ind w:right="100"/>
        <w:spacing w:after="0" w:line="228" w:lineRule="exact"/>
        <w:rPr>
          <w:sz w:val="20"/>
          <w:szCs w:val="20"/>
          <w:color w:val="auto"/>
        </w:rPr>
      </w:pPr>
      <w:r>
        <w:rPr>
          <w:rFonts w:ascii="Times New Roman" w:cs="Times New Roman" w:eastAsia="Times New Roman" w:hAnsi="Times New Roman"/>
          <w:sz w:val="18"/>
          <w:szCs w:val="18"/>
          <w:color w:val="auto"/>
        </w:rPr>
        <w:t>All of our product candidates are derived from our SVP technology, which is an unproven approach to inducing antigen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tolerance or stimulating the immune system. In addition,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our lead product candidate, uses pegsiticase, a biologic, which we source from Shenyang Sunshine Pharmaceutical Co., Ltd., or 3SBio, in China. We have not, nor to our knowledge has any other company, received FDA approval for a therapeutic based on SVP or for a biologic product manufactured in China. In addition, we may use biologics other than pegsiticase with our SVP technology.</w:t>
      </w:r>
    </w:p>
    <w:p>
      <w:pPr>
        <w:spacing w:after="0" w:line="386" w:lineRule="exact"/>
        <w:rPr>
          <w:sz w:val="20"/>
          <w:szCs w:val="20"/>
          <w:color w:val="auto"/>
        </w:rPr>
      </w:pPr>
    </w:p>
    <w:p>
      <w:pPr>
        <w:ind w:right="380"/>
        <w:spacing w:after="0" w:line="239" w:lineRule="exact"/>
        <w:rPr>
          <w:sz w:val="20"/>
          <w:szCs w:val="20"/>
          <w:color w:val="auto"/>
        </w:rPr>
      </w:pPr>
      <w:r>
        <w:rPr>
          <w:rFonts w:ascii="Times New Roman" w:cs="Times New Roman" w:eastAsia="Times New Roman" w:hAnsi="Times New Roman"/>
          <w:sz w:val="18"/>
          <w:szCs w:val="18"/>
          <w:color w:val="auto"/>
        </w:rPr>
        <w:t>As a result, we cannot be certain that our approach, or our development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will lead to the development or approval of marketable products. In addition:</w:t>
      </w:r>
    </w:p>
    <w:p>
      <w:pPr>
        <w:spacing w:after="0" w:line="200" w:lineRule="exact"/>
        <w:rPr>
          <w:sz w:val="20"/>
          <w:szCs w:val="20"/>
          <w:color w:val="auto"/>
        </w:rPr>
      </w:pPr>
    </w:p>
    <w:p>
      <w:pPr>
        <w:spacing w:after="0" w:line="215"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due to the unproven nature of our SVP therapeutics, they may have different efficacy and safety rates in various indications;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line="222" w:lineRule="exact"/>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agencies may lack experience in evaluating the efficacy and safety of products based on SVP or a biologic sourced from China or other jurisdictions, which could result in a longer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than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expected regulatory review process, increase our expected development costs or delay or prevent commercialization of our product candidates; and</w:t>
      </w:r>
    </w:p>
    <w:p>
      <w:pPr>
        <w:spacing w:after="0" w:line="386" w:lineRule="exact"/>
        <w:rPr>
          <w:rFonts w:ascii="Times New Roman" w:cs="Times New Roman" w:eastAsia="Times New Roman" w:hAnsi="Times New Roman"/>
          <w:sz w:val="18"/>
          <w:szCs w:val="18"/>
          <w:color w:val="auto"/>
        </w:rPr>
      </w:pPr>
    </w:p>
    <w:p>
      <w:pPr>
        <w:ind w:left="340" w:right="60" w:hanging="332"/>
        <w:spacing w:after="0" w:line="232" w:lineRule="exact"/>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biologics license application for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or another product and a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inspection by the FDA of the facilities of 3SBio or any other manufacturer of biologics we may use, the FDA may not approve the facility for production or may make observations that will take significant time for 3SBio or such other provider to address.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occurrence of any of the foregoing, would effectively prevent or delay approval of our lead and other product candidates.</w:t>
      </w:r>
    </w:p>
    <w:p>
      <w:pPr>
        <w:sectPr>
          <w:pgSz w:w="11900" w:h="16838" w:orient="portrait"/>
          <w:cols w:equalWidth="0" w:num="1">
            <w:col w:w="11380"/>
          </w:cols>
          <w:pgMar w:left="240" w:top="121" w:right="279" w:bottom="0" w:gutter="0" w:footer="0" w:header="0"/>
        </w:sectPr>
      </w:pPr>
    </w:p>
    <w:p>
      <w:pPr>
        <w:spacing w:after="0" w:line="200" w:lineRule="exact"/>
        <w:rPr>
          <w:sz w:val="20"/>
          <w:szCs w:val="20"/>
          <w:color w:val="auto"/>
        </w:rPr>
      </w:pPr>
    </w:p>
    <w:p>
      <w:pPr>
        <w:spacing w:after="0" w:line="237" w:lineRule="exact"/>
        <w:rPr>
          <w:sz w:val="20"/>
          <w:szCs w:val="20"/>
          <w:color w:val="auto"/>
        </w:rPr>
      </w:pPr>
    </w:p>
    <w:p>
      <w:pPr>
        <w:ind w:right="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applying our SVP technology to antigen specific immune tolerance for gene therapy involving gene augmentation, replacement or editing. So far no gene therapy product has been approved for a genetic disease in the United States and only two such products have been approved in the European Union.</w:t>
      </w:r>
    </w:p>
    <w:p>
      <w:pPr>
        <w:sectPr>
          <w:pgSz w:w="11900" w:h="16838" w:orient="portrait"/>
          <w:cols w:equalWidth="0" w:num="1">
            <w:col w:w="11380"/>
          </w:cols>
          <w:pgMar w:left="240" w:top="121" w:right="279" w:bottom="0" w:gutter="0" w:footer="0" w:header="0"/>
          <w:type w:val="continuous"/>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9019"/>
          </w:cols>
          <w:pgMar w:left="1440" w:top="364" w:right="1440"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Our future success depends in part on our successful development of viable gene therapy product candidates utilizing SVP technology. We may experience problems or delays in developing such product candidates and any such problems or delays (i) may result in unanticipated costs and time to develop our product candidates and/or (ii) may not be resolved in a satisfactory manner.</w:t>
      </w:r>
    </w:p>
    <w:p>
      <w:pPr>
        <w:spacing w:after="0" w:line="3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requirements of the FDA, the European Medicines Agency, or EMA, and other regulatory authorities, and the criteria these regulators use to determine the safety and efficacy of a product candidate, vary substantially according to the type, complexity, novelty and intended use and market of such product candidates. The regulatory approval process and clinical trial requirements for novel product candidates can be more expensive and take longer than for other, better known or more extensively studied product candidates.</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Sponsors of certain clinical studies of cells containing recombinant or synthetic nucleic acid molecules, including human gene transfer studies, must comply with the National Institutes of Health’s, or NIH’s, Guidelines for Research Involving Recombinant or Synthetic Nucleic Acid Molecules (“NIH Guidelines”). The NIH Guidelines set forth the principles and requirements for NIH and institutional oversight of research with recombinant or synthetic nucleic acid molecules, including the standards for investigators and institutions to follow to ensure the safe handling and containment of such molecules. In April 2016, modifications to the NIH Guidelines went into effect, pursuant to which only a subset of human gene transfer protocols are subject to review by the NIH Recombinant DNA Advisory Committee, or RAC, a federal advisory committee that provides recommendations regarding research involving recombinant or synthetic nucleic acid molecules. Specifically, under the modified NIH Guidelines, RAC review of the protocol will be required only in exceptional cases where (a) an oversight body such as an Institutional Biosafety Committee, or IBC, which provides local review and oversight of research utilizing recombinant or synthetic nucleic acid molecules, or an IRB determines that the protocol would significantly benefit from RAC review, and (b) the protocol (i) uses a new vector, genetic material, or delivery methodology that represents a first-in-human experience and thus presents an unknown risk, and/or (ii) relies on preclinical safety data that were obtained using a new preclinical model system of unknown and unconfirmed value, and/or (iii) involves a proposed vector, gene construct, or method of delivery associated with possible toxicities that are not widely known and that may render it difficult for oversight bodies to evaluate the protocol rigorously. The RAC review proceedings are public, and reports are posted publicly to the website for the NIH’s Office of Biotechnology Activities. Although compliance with the NIH Guidelines is mandatory for research conducted at or sponsored by institutions receiving NIH funding of recombinant or synthetic nucleic acid molecule research, many companies and other institutions not otherwise subject to the NIH Guidelines voluntarily follow them. Independent of RAC review, the NIH Guidelines also require all human gene transfer protocols subject to the NIH Guidelines to be registered with NIH, with limited exemptions. A study subject to the NIH Guidelines may not begin until the IBC approves the protocol, and the IBC cannot approve the protocol until confirmation from the NIH that such registration is complete. In the event that RAC review is warranted, the protocol registration process cannot be completed until RAC review has taken place.</w:t>
      </w:r>
    </w:p>
    <w:p>
      <w:pPr>
        <w:spacing w:after="0" w:line="1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Although the FDA decides whether individual gene therapy protocols may proceed, the RAC public review process, if undertaken, can delay the initiation of a clinical trial. Conversely, the FDA can delay or prevent the initiation of a clinical study even if the RAC has provided a favorable review the study is not subject to in-depth, public RAC review. In addition, clinical trials involving a gene therapy product candidate must be authorized by an applicable IRB and an IBC, which provides oversight of recombinant DNA research.</w:t>
      </w:r>
    </w:p>
    <w:p>
      <w:pPr>
        <w:spacing w:after="0" w:line="39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2012, the European Medicines Agency approved a gene therapy product called Glybera, which is the first gene therapy product approved by regulatory authorities anywhere in the Western world. GlaxoSmithKline plc’s Strimvelis and uniQure N.V.’s Glybera, are the only two gene therapy products for a genetic disease that have received marketing authorization from the European Commission. We cannot predict how long it will take or how much it will cost to obtain regulatory approvals for a gene therapy product candidate in either the United States or the European Union or how long it will take to commercialize a gene therapy product candidate. Regulatory requirements governing gene therapy products have changed frequently and may continue to change in the future. Adverse developments in clinical trials of gene therapy products conducted by others may cause the FDA or other oversight bodies to modify the requirements for testing or approval of any of our product candidates. Similarly, the EMA may issue new guidelines concerning the development and marketing authorization for gene therapy medicinal products and require that we comply with these new guidelines.</w:t>
      </w:r>
    </w:p>
    <w:p>
      <w:pPr>
        <w:spacing w:after="0" w:line="200" w:lineRule="exact"/>
        <w:rPr>
          <w:sz w:val="20"/>
          <w:szCs w:val="20"/>
          <w:color w:val="auto"/>
        </w:rPr>
      </w:pPr>
    </w:p>
    <w:p>
      <w:pPr>
        <w:spacing w:after="0" w:line="20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we advance any gene therapy product candidate, we will be required to consult with various regulatory authorities, and we must comply with applicable laws, rules, and regulations, which may change from time to time including during the course of development of our product candidates. If we fail to do so, we may be required to delay or discontinue development of certain of our product candidates. These additional processes may result in a review and approval process that is longer than we otherwise would have expected. Even if we comply with applicable laws, rules, and regulations, and even if we maintain close coordination with the applicable regulatory authorities with oversight over our product candidates, our development programs may fail to succeed. Delay or failure to obtain, or unexpected costs in obtaining, the regulatory approval necessary to bring a</w:t>
      </w: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380"/>
          </w:cols>
          <w:pgMar w:left="240" w:top="121" w:right="2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product to market would materially and adversely affect our business, financial condition, results of operations and prospects.</w:t>
      </w:r>
    </w:p>
    <w:p>
      <w:pPr>
        <w:spacing w:after="0" w:line="200" w:lineRule="exact"/>
        <w:rPr>
          <w:sz w:val="20"/>
          <w:szCs w:val="20"/>
          <w:color w:val="auto"/>
        </w:rPr>
      </w:pPr>
    </w:p>
    <w:p>
      <w:pPr>
        <w:spacing w:after="0" w:line="237"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product candidate or indication and fail to capitalize on other product candidates or indications that may be more profitable or for which there is a greater likelihood of success.</w:t>
      </w:r>
    </w:p>
    <w:p>
      <w:pPr>
        <w:spacing w:after="0" w:line="375"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Because we have limited financial and management resources, we focus on a limited number of research programs and product candidates and are currently principally focused on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As a result, we may forego or delay our pursuit of opportunities with other product candidates or for other indications that later prove to have greater commercial potential. Our resource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allocation decisions may cause us to fail to capitalize on viable commercial drugs or profitable market opportunities. Our spending on current and future research and development programs and product candidates for specific indications may not yield any commercially viable drugs. If we do not accurately evaluate the commercial potential or target market for a particular product candidate, we may not pursue such product candidate, or we may relinquish valuable rights to that product candidate through future collaboration, licensing or other arrangements, in cases in which it would have been more advantageous for us to retain sole development and commercialization rights.</w:t>
      </w:r>
    </w:p>
    <w:p>
      <w:pPr>
        <w:spacing w:after="0" w:line="200" w:lineRule="exact"/>
        <w:rPr>
          <w:sz w:val="20"/>
          <w:szCs w:val="20"/>
          <w:color w:val="auto"/>
        </w:rPr>
      </w:pPr>
    </w:p>
    <w:p>
      <w:pPr>
        <w:spacing w:after="0" w:line="213"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37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Our lead product candidate, SEL-212, is currently being evaluated in a Phase 1/2 clinical program that includes a Phase 1a and Phase 1b clinical trial. We initiated the Phase 2 clinical trial in October 2016. Aside from SEL-212, our other product candidates are in preclinical development. It is impossible to predict when or if any of our product candidates will prove effective and safe in humans or will receive regulatory approval, and the risk of failure through the development process is high. Before obtaining marketing approval from regulatory authorities for the sale of any product candidate, we must complete preclinical development and then conduct extensive clinical trials to demonstrate the safety and efficacy of our product candidates in humans. Clinical testing is expensive, difficult to design and implement, can take many years to complete and its outcome is inherently uncertain. A failed clinical trial can occur at any stage of testing. Moreover, the outcome of preclinical testing and early clinical trials may not be predictive of the success of later clinical trials, and interim results of a clinical trial do not necessarily predict final results.</w:t>
      </w:r>
    </w:p>
    <w:p>
      <w:pPr>
        <w:spacing w:after="0" w:line="200" w:lineRule="exact"/>
        <w:rPr>
          <w:sz w:val="20"/>
          <w:szCs w:val="20"/>
          <w:color w:val="auto"/>
        </w:rPr>
      </w:pPr>
    </w:p>
    <w:p>
      <w:pPr>
        <w:spacing w:after="0" w:line="20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had a prior SVP-nicotine product candidate, which entered clinical development after a promising preclinical program. However, results from a Phase 1 clinical trial conducted in smokers and non-smokers with this product candidate showed that nicotine-specific antibodies were induced at sub-therapeutic levels. In this regard, many companies in the pharmaceutical and biotechnology industries have suffered significant setbacks in clinical trials after achieving positive results in preclinical development or early-stage clinical trials, and we cannot be certain that we will not face similar setbacks. These setbacks have been caused by, among other things, preclinical findings made while clinical trials were underway or safety or efficacy observations made in clinical trials, including adverse events. For example, multiple serious adverse events, or SAEs, have occurred in connection with SEL-212’s Phase 1/2 clinical program and additional SAEs or similar events could occur during the course of our development of SEL-212 or other product candidates, which could be materially adverse to the success of these programs. Moreover, preclinical and clinical data is often susceptible to varying interpretations and analyses, and many companies that believed their product candidates performed satisfactorily in preclinical studies and clinical trials nonetheless failed to obtain FDA or other regulatory authority approval. If we fail to produce positive results in our clinical trials of our product candidates, the development timeline and regulatory approval and commercialization prospects for our product candidates, and, correspondingly, our business and financial prospects, would be negatively impacted.</w:t>
      </w:r>
    </w:p>
    <w:p>
      <w:pPr>
        <w:spacing w:after="0" w:line="200" w:lineRule="exact"/>
        <w:rPr>
          <w:sz w:val="20"/>
          <w:szCs w:val="20"/>
          <w:color w:val="auto"/>
        </w:rPr>
      </w:pP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addition, we cannot be certain as to what type and how many clinical trials the FDA will require us to conduct before we may successfully gain approval to market SEL-212 or any of our other product candidates in the United States or other countries. Prior to approving a new therapeutic product, the FDA generally requires that safety and efficacy be demonstrated in two adequate and well-controlled clinical trials. In some situations, evidence from a Phase 2 trial and a Phase 3 trial or from a single Phase 3 trial can be sufficient for FDA approval, such as in cases where the trial or trials provide highly reliable and statistically strong evidence of an important clinical benefit. We expect to conduct more than one Phase 3 trial for SEL-212 in the refractory gout indication in order to gain approval. Additional clinical trials could cause us to incur significant development costs, delay or prevent the commercialization of SEL-212 or otherwise adversely affect our business.</w:t>
      </w:r>
    </w:p>
    <w:p>
      <w:pPr>
        <w:spacing w:after="0" w:line="200" w:lineRule="exact"/>
        <w:rPr>
          <w:sz w:val="20"/>
          <w:szCs w:val="20"/>
          <w:color w:val="auto"/>
        </w:rPr>
      </w:pPr>
    </w:p>
    <w:p>
      <w:pPr>
        <w:spacing w:after="0" w:line="205"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may experience numerous unforeseen events during, or as a result of, clinical trials that could delay or prevent our ability to receive marketing approval for, or commercialize, our product candidates, including:</w:t>
      </w:r>
    </w:p>
    <w:p>
      <w:pPr>
        <w:spacing w:after="0" w:line="378"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unfavorable, incomplete or inconclusive results;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121" w:right="23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340" w:right="16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may not authorize us or our investigators to commence a clinical trial or conduct a clinical trial at a prospective trial site;</w:t>
      </w:r>
    </w:p>
    <w:p>
      <w:pPr>
        <w:spacing w:after="0" w:line="377" w:lineRule="exact"/>
        <w:rPr>
          <w:rFonts w:ascii="Times New Roman" w:cs="Times New Roman" w:eastAsia="Times New Roman" w:hAnsi="Times New Roman"/>
          <w:sz w:val="18"/>
          <w:szCs w:val="18"/>
          <w:color w:val="auto"/>
        </w:rPr>
      </w:pPr>
    </w:p>
    <w:p>
      <w:pPr>
        <w:ind w:left="340" w:right="36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terms with contract research organizations, or CROs, or clinical trial sites;</w:t>
      </w:r>
    </w:p>
    <w:p>
      <w:pPr>
        <w:spacing w:after="0" w:line="377" w:lineRule="exact"/>
        <w:rPr>
          <w:rFonts w:ascii="Times New Roman" w:cs="Times New Roman" w:eastAsia="Times New Roman" w:hAnsi="Times New Roman"/>
          <w:sz w:val="18"/>
          <w:szCs w:val="18"/>
          <w:color w:val="auto"/>
        </w:rPr>
      </w:pPr>
    </w:p>
    <w:p>
      <w:pPr>
        <w:ind w:left="340" w:right="20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recruit suitable patients to participate in a clinical trial, the number of patients required for clinical trials of our product candidates may be larger than we expect, enrollment in these clinical trials may be slower than we expect or participants may drop out of these clinical trials at a higher rate than we expect;</w:t>
      </w:r>
    </w:p>
    <w:p>
      <w:pPr>
        <w:spacing w:after="0" w:line="3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clinical trial sites required for clinical trials of our product candidates may be larger than we expect;</w:t>
      </w:r>
    </w:p>
    <w:p>
      <w:pPr>
        <w:spacing w:after="0" w:line="200" w:lineRule="exact"/>
        <w:rPr>
          <w:rFonts w:ascii="Times New Roman" w:cs="Times New Roman" w:eastAsia="Times New Roman" w:hAnsi="Times New Roman"/>
          <w:sz w:val="18"/>
          <w:szCs w:val="18"/>
          <w:color w:val="auto"/>
        </w:rPr>
      </w:pPr>
    </w:p>
    <w:p>
      <w:pPr>
        <w:spacing w:after="0" w:line="212"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contractors may fail to comply with regulatory requirements or meet their contractual obligations to us in a timely manner, or at all;</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to suspend or terminate clinical trials of our product candidates for various reasons, including a finding that the participants are being exposed to unacceptable health risks;</w:t>
      </w:r>
    </w:p>
    <w:p>
      <w:pPr>
        <w:spacing w:after="0" w:line="377" w:lineRule="exact"/>
        <w:rPr>
          <w:rFonts w:ascii="Times New Roman" w:cs="Times New Roman" w:eastAsia="Times New Roman" w:hAnsi="Times New Roman"/>
          <w:sz w:val="18"/>
          <w:szCs w:val="18"/>
          <w:color w:val="auto"/>
        </w:rPr>
      </w:pPr>
    </w:p>
    <w:p>
      <w:pPr>
        <w:ind w:left="340" w:right="100" w:hanging="332"/>
        <w:spacing w:after="0" w:line="258"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investigators, regulators, data safety monitoring boards or institutional review boards may require that we or our investigators suspend or terminate clinical research, or we may decide to do so ourselves, for various reasons including noncompliance with regulatory requirements, inspection of the clinical trial operations or trial site by the FDA or other regulatory authorities resulting in the imposition of a clinical hold, unforeseen safety issues such as a finding that the participants are being exposed to unacceptable health risks, undesirable side effects or other unexpected characteristics, failure to demonstrate a benefit from using a drug, changes in governmental regulations or administrative actions;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investigators may deviate from the trial protocol, fail to conduct the trial in accordance with regulatory requirements or misreport study data;</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expect;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raw materials or manufactured product candidates (whether provided by us or third parties) or other materials necessary to conduct clinical trials of our product candidates may be insufficient, inadequate or not available at an acceptable cost, or we may experience interruptions in supply;</w:t>
      </w:r>
    </w:p>
    <w:p>
      <w:pPr>
        <w:spacing w:after="0" w:line="39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revise the requirements for approving our product candidates, or such requirements may not be as we expect;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clinical trial design or our interpretation of data from preclinical studies and clinical trials, or may change the requirements for approval even after it has reviewed and commented on the design of our clinical trials; and</w:t>
      </w:r>
    </w:p>
    <w:p>
      <w:pPr>
        <w:spacing w:after="0" w:line="377"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regarding trials managed by our existing or any future collaborators, our collaborators may face any of the above issues, and may conduct clinical trials in ways they view as advantageous to them but potentially suboptimal for us.</w:t>
      </w:r>
    </w:p>
    <w:p>
      <w:pPr>
        <w:spacing w:after="0" w:line="37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392"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product candidates, if at all;</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lose the support of collaborators, requiring us to bear more of the burden of research and development;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marketing approval in some countries and not in others;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ectPr>
          <w:pgSz w:w="11900" w:h="16838" w:orient="portrait"/>
          <w:cols w:equalWidth="0" w:num="1">
            <w:col w:w="11420"/>
          </w:cols>
          <w:pgMar w:left="240" w:top="121" w:right="239" w:bottom="0" w:gutter="0" w:footer="0" w:header="0"/>
        </w:sectPr>
      </w:pP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approval with labeling that includes significant use or distribution restrictions or safety warnings;</w:t>
      </w:r>
    </w:p>
    <w:p>
      <w:pPr>
        <w:sectPr>
          <w:pgSz w:w="11900" w:h="16838" w:orient="portrait"/>
          <w:cols w:equalWidth="0" w:num="1">
            <w:col w:w="11420"/>
          </w:cols>
          <w:pgMar w:left="240" w:top="121" w:right="239" w:bottom="0" w:gutter="0" w:footer="0" w:header="0"/>
          <w:type w:val="continuous"/>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9019"/>
          </w:cols>
          <w:pgMar w:left="1440" w:top="459" w:right="1440"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0" w:lineRule="exact"/>
        <w:rPr>
          <w:sz w:val="20"/>
          <w:szCs w:val="20"/>
          <w:color w:val="auto"/>
        </w:rPr>
      </w:pPr>
    </w:p>
    <w:p>
      <w:pPr>
        <w:ind w:left="340" w:hanging="332"/>
        <w:spacing w:after="0" w:line="207" w:lineRule="exact"/>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requirements; or</w:t>
      </w:r>
    </w:p>
    <w:p>
      <w:pPr>
        <w:spacing w:after="0" w:line="200" w:lineRule="exact"/>
        <w:rPr>
          <w:rFonts w:ascii="Times New Roman" w:cs="Times New Roman" w:eastAsia="Times New Roman" w:hAnsi="Times New Roman"/>
          <w:sz w:val="18"/>
          <w:szCs w:val="18"/>
          <w:color w:val="auto"/>
        </w:rPr>
      </w:pPr>
    </w:p>
    <w:p>
      <w:pPr>
        <w:spacing w:after="0" w:line="26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product removed from the market after obtaining marketing approval.</w:t>
      </w:r>
    </w:p>
    <w:p>
      <w:pPr>
        <w:spacing w:after="0" w:line="200" w:lineRule="exact"/>
        <w:rPr>
          <w:sz w:val="20"/>
          <w:szCs w:val="20"/>
          <w:color w:val="auto"/>
        </w:rPr>
      </w:pPr>
    </w:p>
    <w:p>
      <w:pPr>
        <w:spacing w:after="0" w:line="24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Our product development costs will increase if we experience delays in clinical testing or in obtaining marketing approvals. We do not know whether any of our preclinical studies or clinical trials will begin as planned, will need to be restructured or will be completed on schedule, or at all. Significant preclinical or clinical trial delays also could shorten any periods during which we may have the exclusive right to commercialize our product candidates or allow our competitors to bring products to market before we do, potentially impairing our ability to successfully commercialize our product candidates and harming our business and results of operations.</w:t>
      </w:r>
    </w:p>
    <w:p>
      <w:pPr>
        <w:spacing w:after="0" w:line="39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3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In addition, from time to time our competitors have ongoing clinical trials for product candidates that treat the same indications as our product candidates, and patients who would otherwise be eligible for our clinical trials may instead enroll in clinical trials of our competitors’ product candidates.</w:t>
      </w:r>
    </w:p>
    <w:p>
      <w:pPr>
        <w:spacing w:after="0" w:line="367" w:lineRule="exact"/>
        <w:rPr>
          <w:sz w:val="20"/>
          <w:szCs w:val="20"/>
          <w:color w:val="auto"/>
        </w:rPr>
      </w:pPr>
    </w:p>
    <w:p>
      <w:pPr>
        <w:ind w:right="80"/>
        <w:spacing w:after="0" w:line="239" w:lineRule="exact"/>
        <w:rPr>
          <w:sz w:val="20"/>
          <w:szCs w:val="20"/>
          <w:color w:val="auto"/>
        </w:rPr>
      </w:pPr>
      <w:r>
        <w:rPr>
          <w:rFonts w:ascii="Times New Roman" w:cs="Times New Roman" w:eastAsia="Times New Roman" w:hAnsi="Times New Roman"/>
          <w:sz w:val="18"/>
          <w:szCs w:val="18"/>
          <w:color w:val="auto"/>
        </w:rPr>
        <w:t>We are initially developing our lead product candidate,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for the treatment of chronic refractory gout, which affects approximately 50,000 patients in the United States. Accordingly, there is a limited number of patients who could enroll in our clinical studies.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to the size of the patient population, patient enrollment is also affected by other factors including:</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eligibility criteria for the study in question;</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other treatments for the disease under investigation;</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competing clinical trials;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efforts to facilitate timely enrollment in clinical trials;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investigators engagement with, or enthusiasm about, the trial;</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payments for participating in clinical trials;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trial;</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 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200" w:lineRule="exact"/>
        <w:rPr>
          <w:sz w:val="20"/>
          <w:szCs w:val="20"/>
          <w:color w:val="auto"/>
        </w:rPr>
      </w:pPr>
    </w:p>
    <w:p>
      <w:pPr>
        <w:spacing w:after="0" w:line="24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our clinical trials would result in significant delays and could require us to abandon one or more clinical trials altogether. Enrollment delays in our clinical trials may result in increased development costs for our product candidates, which could cause the value of our common stock to decline and limit our ability to obtain additional financing.</w:t>
      </w:r>
    </w:p>
    <w:p>
      <w:pPr>
        <w:sectPr>
          <w:pgSz w:w="11900" w:h="16838" w:orient="portrait"/>
          <w:cols w:equalWidth="0" w:num="1">
            <w:col w:w="11400"/>
          </w:cols>
          <w:pgMar w:left="240" w:top="121" w:right="259" w:bottom="0" w:gutter="0" w:footer="0" w:header="0"/>
        </w:sectPr>
      </w:pPr>
    </w:p>
    <w:p>
      <w:pPr>
        <w:spacing w:after="0" w:line="388" w:lineRule="exact"/>
        <w:rPr>
          <w:sz w:val="20"/>
          <w:szCs w:val="20"/>
          <w:color w:val="auto"/>
        </w:rPr>
      </w:pPr>
    </w:p>
    <w:p>
      <w:pPr>
        <w:ind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we will not be able to commercialize our product candidates, and our ability to generate revenue will be materially impaired.</w:t>
      </w:r>
    </w:p>
    <w:p>
      <w:pPr>
        <w:sectPr>
          <w:pgSz w:w="11900" w:h="16838" w:orient="portrait"/>
          <w:cols w:equalWidth="0" w:num="1">
            <w:col w:w="11400"/>
          </w:cols>
          <w:pgMar w:left="240" w:top="121" w:right="259" w:bottom="0"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9019"/>
          </w:cols>
          <w:pgMar w:left="1440" w:top="459"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and commercialization, including their design, testing, manufacture, safety, efficacy, recordkeeping, labeling, packaging, storage, approval, advertising, promotion, adverse event reporting, sale and distribution, are subject to comprehensive regulation by the FDA and other regulatory agencies in the United States, and by the EMA and similar regulatory authorities outside the United States. Failure to obtain marketing approval for a product candidate will prevent us from commercializing that product candidate. We have not received approval to market any of our product candidates from regulatory authorities in any jurisdiction. We have only limited experience in filing and supporting the applications necessary to gain marketing approvals and expect to rely on third parties to assist us in this process.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Our product candidates may not be effective, may be only moderately effective or may prove to have undesirable or unintended side effects, toxicities or other characteristics that may preclude our obtaining marketing approval for, or prevent or limit the commercial use of, such product candidates.</w:t>
      </w:r>
    </w:p>
    <w:p>
      <w:pPr>
        <w:spacing w:after="0" w:line="200" w:lineRule="exact"/>
        <w:rPr>
          <w:sz w:val="20"/>
          <w:szCs w:val="20"/>
          <w:color w:val="auto"/>
        </w:rPr>
      </w:pPr>
    </w:p>
    <w:p>
      <w:pPr>
        <w:spacing w:after="0" w:line="209"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The process of obtaining marketing approvals, both in the United States and abroad, is expensive and may take many years. If additional clinical trials are required for certain jurisdictions, these trials can vary substantially based upon a variety of factors, including the type, complexity and novelty of the product candidates involved, and may ultimately be unsuccessful. Changes in marketing approval policies during the development period, changes in or the enactment or promulgation of additional statutes or regulations, respectively, or changes in the regulatory review process for each submitted product application, may cause delays in the review and approval of an application. Regulatory authorities have substantial discretion in the approval process and may refuse to accept a marketing application as deficient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commitments that render the approved product not commercially viable.</w:t>
      </w:r>
    </w:p>
    <w:p>
      <w:pPr>
        <w:spacing w:after="0" w:line="392" w:lineRule="exact"/>
        <w:rPr>
          <w:sz w:val="20"/>
          <w:szCs w:val="20"/>
          <w:color w:val="auto"/>
        </w:rPr>
      </w:pPr>
    </w:p>
    <w:p>
      <w:pPr>
        <w:ind w:right="100"/>
        <w:spacing w:after="0" w:line="228" w:lineRule="exact"/>
        <w:rPr>
          <w:sz w:val="20"/>
          <w:szCs w:val="20"/>
          <w:color w:val="auto"/>
        </w:rPr>
      </w:pPr>
      <w:r>
        <w:rPr>
          <w:rFonts w:ascii="Times New Roman" w:cs="Times New Roman" w:eastAsia="Times New Roman" w:hAnsi="Times New Roman"/>
          <w:sz w:val="18"/>
          <w:szCs w:val="18"/>
          <w:color w:val="auto"/>
        </w:rPr>
        <w:t>Although the FDA and other regulatory authorities have approved nanotechnology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therapeutics in the past, they are monitoring whether nanotechnology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therapeutics pose any specific health and human safety risks. While they have not issued any regulations to date, it is possible that the FDA and other regulatory authorities could issue regulations in the future regarding nanotechnology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therapeutics that could adversely affect our product candidates.</w:t>
      </w:r>
    </w:p>
    <w:p>
      <w:pPr>
        <w:spacing w:after="0" w:line="200" w:lineRule="exact"/>
        <w:rPr>
          <w:sz w:val="20"/>
          <w:szCs w:val="20"/>
          <w:color w:val="auto"/>
        </w:rPr>
      </w:pPr>
    </w:p>
    <w:p>
      <w:pPr>
        <w:spacing w:after="0" w:line="214"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product candidates, the commercial prospects for our product candidates may be harmed and our ability to generate revenues will be materially impaired.</w:t>
      </w:r>
    </w:p>
    <w:p>
      <w:pPr>
        <w:spacing w:after="0" w:line="374"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obtain orphan drug designation for our product candidates, and even if we do, we may be unable to maintain the benefits associated with orphan drug designation, including the potential for market exclusivity.</w:t>
      </w:r>
    </w:p>
    <w:p>
      <w:pPr>
        <w:spacing w:after="0" w:line="37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Regulatory authorities in some jurisdictions, including the United States and Europe, may designate drugs for relatively small patient populations as orphan drugs. We expect to seek orphan drug designation for several of our product candidates, although we have not yet applied for or obtained such designation. Under the Orphan Drug Act of 1983, the FDA may designate a product as an orphan product if it is intended to treat a rare disease or condition, which is generally defined as a patient population of fewer than 200,000 individuals annually in the United States, or a patient population of greater than 200,000 individuals in the United States, but for which there is no reasonable expectation that the cost of developing the drug or biologic will be recovered from sales in the United States.</w:t>
      </w:r>
    </w:p>
    <w:p>
      <w:pPr>
        <w:spacing w:after="0" w:line="200" w:lineRule="exact"/>
        <w:rPr>
          <w:sz w:val="20"/>
          <w:szCs w:val="20"/>
          <w:color w:val="auto"/>
        </w:rPr>
      </w:pPr>
    </w:p>
    <w:p>
      <w:pPr>
        <w:spacing w:after="0" w:line="204" w:lineRule="exact"/>
        <w:rPr>
          <w:sz w:val="20"/>
          <w:szCs w:val="20"/>
          <w:color w:val="auto"/>
        </w:rPr>
      </w:pPr>
    </w:p>
    <w:p>
      <w:pPr>
        <w:ind w:right="60"/>
        <w:spacing w:after="0" w:line="218" w:lineRule="exact"/>
        <w:rPr>
          <w:sz w:val="20"/>
          <w:szCs w:val="20"/>
          <w:color w:val="auto"/>
        </w:rPr>
      </w:pPr>
      <w:r>
        <w:rPr>
          <w:rFonts w:ascii="Times New Roman" w:cs="Times New Roman" w:eastAsia="Times New Roman" w:hAnsi="Times New Roman"/>
          <w:sz w:val="18"/>
          <w:szCs w:val="18"/>
          <w:color w:val="auto"/>
        </w:rPr>
        <w:t>In the United States, orphan designation entitles a party to financial incentives such as opportunities for grant funding towards clinical trial costs, tax advantages and user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 full biologics license application, or BLA, or full new drug application, or NDA, to market the same biologic or drug for the same indication for seven years, except in limited circumstances, such as a showing of clinical superiority to the product with orphan drug exclusivity or where the manufacturer is unable to assure sufficient product quantity. Our competitors, including Horizon Pharma plc, may seek orphan drug status for the same biologic or drug for the same indication as our product candidates. In this regard, Krystexxa® (pegloticase) previously obtained orphan drug status for chronic refractory gout, although the exclusivity period has lapsed. However, Krystexxa could in the future obtain orphan drug status for chronic tophaceous gout, an indication we plan to pursue.</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00"/>
          </w:cols>
          <w:pgMar w:left="240" w:top="121" w:right="2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applicable exclusivity period is ten years in the European Union, but such exclusivity period can be reduced to six years if a product no longer meets the criteria for orphan designation or if the product is sufficiently profitable so that market exclusivity is no longer justified.</w:t>
      </w:r>
    </w:p>
    <w:p>
      <w:pPr>
        <w:spacing w:after="0" w:line="37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Even if we obtain orphan drug exclusivity for a product, that exclusivity may not effectively protect the product from competition because different drugs can be approved for the same condition. Even after an orphan drug is approved, the FDA can subsequently approve the same drug for the same condition if the FDA concludes that the later drug is clinically superior if it is shown to be safer, more effective or makes a major contribution to patient care.</w:t>
      </w:r>
    </w:p>
    <w:p>
      <w:pPr>
        <w:spacing w:after="0" w:line="388"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breakthrough therapy designation that we may receive from the FDA for our product candidates may not lead to a faster development or regulatory review or approval process, and it does not increase the likelihood that our product candidates will receive marketing approval.</w:t>
      </w:r>
    </w:p>
    <w:p>
      <w:pPr>
        <w:spacing w:after="0" w:line="375"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We may in the future seek breakthrough therapy designation for some of our product candidates. A breakthrough therapy is defined as a drug that is intended, alone or in combination with one or more other drugs, to treat a serious or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threatening disease or condition, and preliminary clinical evidence indicates that the drug may demonstrate substantial improvement over existing therapies on one or more clinically significant endpoints.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200" w:lineRule="exact"/>
        <w:rPr>
          <w:sz w:val="20"/>
          <w:szCs w:val="20"/>
          <w:color w:val="auto"/>
        </w:rPr>
      </w:pPr>
    </w:p>
    <w:p>
      <w:pPr>
        <w:spacing w:after="0" w:line="21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product candidates meets the criteria for designation as a breakthrough therapy, the FDA may disagree and instead determine not to make such designation. The availability of breakthrough therapy designation was established recently with the passage of the Food and Drug Administration Safety and Innovation Act of 2012. We cannot be sure that any evaluation we may make of our product candidates as qualifying for breakthrough therapy designation will meet the FDA’s expectations. In any event, the receipt of a breakthrough therapy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qualify as breakthrough therapies, the FDA may later decide that such product candidates no longer meet the conditions for qualification or decide that the time period for FDA review or approval will not be shortened.</w:t>
      </w:r>
    </w:p>
    <w:p>
      <w:pPr>
        <w:spacing w:after="0" w:line="397"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may cause undesirable side effects or have other properties that could delay or prevent their regulatory approval, limit the commercial profile of an approved label, or result in significant negative consequences following marketing approval, if any.</w:t>
      </w:r>
    </w:p>
    <w:p>
      <w:pPr>
        <w:spacing w:after="0" w:line="375"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Undesirable side effects caused by our product candidates could cause us or regulatory authorities to interrupt, delay or halt clinical trials and could result in a more restrictive label or the delay or denial of regulatory approval by the FDA or other comparable foreign authorities. Further, therapies such as those we are developing involve unique side effects that could be exacerbated compared to side effects from other types of therapies with singular components. Results of our clinical trials could reveal a high and unacceptable severity and prevalence of side effects. In such an event, our trials could be suspended or terminated and the FDA or comparable foreign regulatory authorities could order us to cease further development of or deny approval of our product candidates for any or all targeted indications. The drug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side effects could affect patient enrollment in our clinical trials or the ability of any enrolled patients to complete such trials or result in potential product liability claims. Any of these occurrences may harm our business, financial condition and prospects significantly.</w:t>
      </w:r>
    </w:p>
    <w:p>
      <w:pPr>
        <w:spacing w:after="0" w:line="200" w:lineRule="exact"/>
        <w:rPr>
          <w:sz w:val="20"/>
          <w:szCs w:val="20"/>
          <w:color w:val="auto"/>
        </w:rPr>
      </w:pPr>
    </w:p>
    <w:p>
      <w:pPr>
        <w:spacing w:after="0" w:line="21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Additionally, if one or more of our product candidates receives marketing approval, and we or others later identify undesirable side effects caused by such products, a number of potentially significant negative consequences could result, including:</w:t>
      </w:r>
    </w:p>
    <w:p>
      <w:pPr>
        <w:spacing w:after="0" w:line="378"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such as a “black box” warning or a contraindication;</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impose additional restrictions on the marketing of, or the manufacturing processes for, the particular product;</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400"/>
          </w:cols>
          <w:pgMar w:left="240" w:top="121" w:right="25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or become subject to fines, injunctions or the imposition of civil or criminal penalties; and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00" w:lineRule="exact"/>
        <w:rPr>
          <w:sz w:val="20"/>
          <w:szCs w:val="20"/>
          <w:color w:val="auto"/>
        </w:rPr>
      </w:pPr>
    </w:p>
    <w:p>
      <w:pPr>
        <w:spacing w:after="0" w:line="241" w:lineRule="exact"/>
        <w:rPr>
          <w:sz w:val="20"/>
          <w:szCs w:val="20"/>
          <w:color w:val="auto"/>
        </w:rPr>
      </w:pPr>
    </w:p>
    <w:p>
      <w:pPr>
        <w:ind w:right="860"/>
        <w:spacing w:after="0" w:line="282"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product candidate, if approved, and could significantly harm our business, results of operations and prospects.</w:t>
      </w:r>
    </w:p>
    <w:p>
      <w:pPr>
        <w:spacing w:after="0" w:line="378" w:lineRule="exact"/>
        <w:rPr>
          <w:sz w:val="20"/>
          <w:szCs w:val="20"/>
          <w:color w:val="auto"/>
        </w:rPr>
      </w:pPr>
    </w:p>
    <w:p>
      <w:pPr>
        <w:ind w:right="240"/>
        <w:spacing w:after="0" w:line="229" w:lineRule="exact"/>
        <w:rPr>
          <w:sz w:val="20"/>
          <w:szCs w:val="20"/>
          <w:color w:val="auto"/>
        </w:rPr>
      </w:pPr>
      <w:r>
        <w:rPr>
          <w:rFonts w:ascii="Times New Roman" w:cs="Times New Roman" w:eastAsia="Times New Roman" w:hAnsi="Times New Roman"/>
          <w:sz w:val="18"/>
          <w:szCs w:val="18"/>
          <w:color w:val="auto"/>
        </w:rPr>
        <w:t>In addition, if our product candidates are associated with undesirable side effects in certain patient populations, such as pediatric patients or the elderly, we may need to abandon their development or limit development to more narrow uses or subpopulations in which the undesirable side effects or other characteristics are less prevalent, less severe or more acceptable from a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benefit perspective, any of which would harm our business.</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 AND MANUFACTURING</w:t>
      </w:r>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rely on 3SBio in China as our sole supplier of pegsiticase and on other third parties for the manufacture of our product candidates for preclinical and clinical testing, and expect to continue to do so for the foreseeable future. Our reliance on third parties increases the risk that we will not have sufficient quantities of our product candidates or that such quantities may not be available at an acceptable cost, which could delay, prevent or impair our development or commercialization efforts.</w:t>
      </w:r>
    </w:p>
    <w:p>
      <w:pPr>
        <w:spacing w:after="0" w:line="152" w:lineRule="exact"/>
        <w:rPr>
          <w:sz w:val="20"/>
          <w:szCs w:val="20"/>
          <w:color w:val="auto"/>
        </w:rPr>
      </w:pPr>
    </w:p>
    <w:p>
      <w:pPr>
        <w:ind w:right="80"/>
        <w:spacing w:after="0" w:line="232" w:lineRule="exact"/>
        <w:rPr>
          <w:sz w:val="20"/>
          <w:szCs w:val="20"/>
          <w:color w:val="auto"/>
        </w:rPr>
      </w:pPr>
      <w:r>
        <w:rPr>
          <w:rFonts w:ascii="Times New Roman" w:cs="Times New Roman" w:eastAsia="Times New Roman" w:hAnsi="Times New Roman"/>
          <w:sz w:val="18"/>
          <w:szCs w:val="18"/>
          <w:color w:val="auto"/>
        </w:rPr>
        <w:t>We obtain the biologic pegsiticase, a component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our lead product candidate, from 3SBio in China. Under our license agreement with 3SBio, we are not permitted to manufacture pegsiticase and, as a result, expect to continue to rely on 3SBio for our supply of pegsiticase for the foreseeable future. Although we intend to seek to secure a backup supplier outside of China, we cannot assure you that we will be able to do so on acceptable terms, or at all.</w:t>
      </w:r>
    </w:p>
    <w:p>
      <w:pPr>
        <w:spacing w:after="0" w:line="200" w:lineRule="exact"/>
        <w:rPr>
          <w:sz w:val="20"/>
          <w:szCs w:val="20"/>
          <w:color w:val="auto"/>
        </w:rPr>
      </w:pPr>
    </w:p>
    <w:p>
      <w:pPr>
        <w:ind w:right="60"/>
        <w:spacing w:after="0" w:line="218" w:lineRule="exact"/>
        <w:rPr>
          <w:sz w:val="20"/>
          <w:szCs w:val="20"/>
          <w:color w:val="auto"/>
        </w:rPr>
      </w:pPr>
      <w:r>
        <w:rPr>
          <w:rFonts w:ascii="Times New Roman" w:cs="Times New Roman" w:eastAsia="Times New Roman" w:hAnsi="Times New Roman"/>
          <w:sz w:val="18"/>
          <w:szCs w:val="18"/>
          <w:color w:val="auto"/>
        </w:rPr>
        <w:t>Any disruption in production or inability of 3SBio in China to produce adequate quantities of pegsiticase to meet our needs, whether as a result of a natural disaster or other causes, could impair our ability to operate our business on a day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basis and to continue our research and development of our future product candidates. Furthermore, since 3SBio is located in China, we are exposed to the possibility of product supply disruption and increased costs in the event of changes in the policies of the Chinese government, political unrest or unstable economic conditions in China. Any of these matters could materially and adversely affect our business and results of operations. Any issues related to the manufacturing lots or similar action regarding pegsiticase used in preclinical studies or clinical trials could delay the studies or trials or detract from the integrity of the trial data and its potential use in future regulatory filings. In addition, manufacturing interruptions or failure to comply with regulatory requirements by 3SBio could significantly delay our clinical development of potential products and reduce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or clinical researcher interest and support of our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202"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In addition to 3SBio, we rely, and expect to continue to rely, on other third parties for the manufacture of our product candidates for preclinical and clinical testing, as well as for commercial manufacture if any of our product candidates receive marketing approval. Our reliance on such third parties increases the risk that we will not have sufficient quantities of our product candidates on a timely basis or at all, or that such quantities will be available at an acceptable cost or quality, which could delay, prevent or impair our development or commercialization efforts.</w:t>
      </w:r>
    </w:p>
    <w:p>
      <w:pPr>
        <w:spacing w:after="0" w:line="151" w:lineRule="exact"/>
        <w:rPr>
          <w:sz w:val="20"/>
          <w:szCs w:val="20"/>
          <w:color w:val="auto"/>
        </w:rPr>
      </w:pPr>
    </w:p>
    <w:p>
      <w:pPr>
        <w:ind w:right="120"/>
        <w:spacing w:after="0" w:line="250" w:lineRule="exact"/>
        <w:rPr>
          <w:sz w:val="20"/>
          <w:szCs w:val="20"/>
          <w:color w:val="auto"/>
        </w:rPr>
      </w:pPr>
      <w:r>
        <w:rPr>
          <w:rFonts w:ascii="Times New Roman" w:cs="Times New Roman" w:eastAsia="Times New Roman" w:hAnsi="Times New Roman"/>
          <w:sz w:val="18"/>
          <w:szCs w:val="18"/>
          <w:color w:val="auto"/>
        </w:rPr>
        <w:t>We may be unable to establish any agreements with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on acceptable terms or at all. Even if we are able to establish agreements with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reliance on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entails additional risks, including the:</w:t>
      </w:r>
    </w:p>
    <w:p>
      <w:pPr>
        <w:spacing w:after="0" w:line="150" w:lineRule="exact"/>
        <w:rPr>
          <w:sz w:val="20"/>
          <w:szCs w:val="20"/>
          <w:color w:val="auto"/>
        </w:rPr>
      </w:pPr>
    </w:p>
    <w:p>
      <w:pPr>
        <w:ind w:left="340" w:right="420" w:hanging="332"/>
        <w:spacing w:after="0" w:line="239" w:lineRule="exact"/>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failure or unwillingness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to comply with regulatory requirements, maintain quality assurance, meet our needs, specifications or schedules or continue to supply products to us;</w:t>
      </w:r>
    </w:p>
    <w:p>
      <w:pPr>
        <w:spacing w:after="0" w:line="170" w:lineRule="exact"/>
        <w:rPr>
          <w:rFonts w:ascii="Times New Roman" w:cs="Times New Roman" w:eastAsia="Times New Roman" w:hAnsi="Times New Roman"/>
          <w:sz w:val="18"/>
          <w:szCs w:val="18"/>
          <w:color w:val="auto"/>
        </w:rPr>
      </w:pPr>
    </w:p>
    <w:p>
      <w:pPr>
        <w:ind w:left="340" w:right="660" w:hanging="332"/>
        <w:spacing w:after="0" w:line="239" w:lineRule="exact"/>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control we have over product development, including with respect to our lead product candidate, due to our reliance on such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w:t>
      </w:r>
    </w:p>
    <w:p>
      <w:pPr>
        <w:spacing w:after="0" w:line="170"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manufacturing agreements by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w:t>
      </w:r>
    </w:p>
    <w:p>
      <w:pPr>
        <w:spacing w:after="0" w:line="2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380"/>
          </w:cols>
          <w:pgMar w:left="240" w:top="121" w:right="27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0" w:lineRule="exact"/>
        <w:rPr>
          <w:sz w:val="20"/>
          <w:szCs w:val="20"/>
          <w:color w:val="auto"/>
        </w:rPr>
      </w:pPr>
    </w:p>
    <w:p>
      <w:pPr>
        <w:ind w:left="340" w:hanging="332"/>
        <w:spacing w:after="0" w:line="207" w:lineRule="exact"/>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or disclosure of our proprietary information, including our trade secrets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w:t>
      </w:r>
    </w:p>
    <w:p>
      <w:pPr>
        <w:spacing w:after="0" w:line="253" w:lineRule="exact"/>
        <w:rPr>
          <w:rFonts w:ascii="Times New Roman" w:cs="Times New Roman" w:eastAsia="Times New Roman" w:hAnsi="Times New Roman"/>
          <w:sz w:val="18"/>
          <w:szCs w:val="18"/>
          <w:color w:val="auto"/>
        </w:rPr>
      </w:pPr>
    </w:p>
    <w:p>
      <w:pPr>
        <w:jc w:val="both"/>
        <w:ind w:left="340" w:right="100" w:hanging="332"/>
        <w:spacing w:after="0" w:line="229" w:lineRule="exact"/>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that the third party manufacturer may have with others, some of which may be our competitors, and, if it does not successfully carry out its contractual duties, does not meet expectations, experiences work stoppages, or needs to be replaced, we may need to enter into alternative arrangements, which may not be available, desirable or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and</w:t>
      </w:r>
    </w:p>
    <w:p>
      <w:pPr>
        <w:spacing w:after="0" w:line="150"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agreements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at times that are costly or inconvenient for us.</w:t>
      </w:r>
    </w:p>
    <w:p>
      <w:pPr>
        <w:spacing w:after="0" w:line="225" w:lineRule="exact"/>
        <w:rPr>
          <w:sz w:val="20"/>
          <w:szCs w:val="20"/>
          <w:color w:val="auto"/>
        </w:rPr>
      </w:pPr>
    </w:p>
    <w:p>
      <w:pPr>
        <w:ind w:right="80"/>
        <w:spacing w:after="0" w:line="221" w:lineRule="exact"/>
        <w:rPr>
          <w:sz w:val="20"/>
          <w:szCs w:val="20"/>
          <w:color w:val="auto"/>
        </w:rPr>
      </w:pPr>
      <w:r>
        <w:rPr>
          <w:rFonts w:ascii="Times New Roman" w:cs="Times New Roman" w:eastAsia="Times New Roman" w:hAnsi="Times New Roman"/>
          <w:sz w:val="18"/>
          <w:szCs w:val="18"/>
          <w:color w:val="auto"/>
        </w:rPr>
        <w:t>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may not be able to comply with current Good Manufacturing Practices, or cGMP, regulations or similar regulatory requirements outside the United States. Our failure, or the failure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to comply with applicable regulations could result in sanctions being imposed on us, including clinical holds, fines, injunctions, civil penalties, delays, suspension or withdrawal of approvals, license revocations, seizures or recalls of product candidates or products, operating restrictions and criminal prosecutions, any of which could significantly and adversely affect supplies of our products. If our CMOs are is unable to comply with cGMP regulations or if the FDA does not approve their facilities upon a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inspection, our product candidate may not be approved or may be delayed in obtaining approval. In addition, there are a limited number of manufacturers that operate under cGMP regulations and that might be capable of manufacturing our products. Therefore, our product candidates and any future products that we may develop may compete with other products for access to manufacturing facilities. Any failure to gain access to these limited manufacturing facilities could severely impact the clinical development, marketing approval and commercialization of our product candidates.</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We do not currently have arrangements in place for redundant supply or a second source for required raw materials used in the manufacture of our product candidates or for the manufacture of finished product. Moreover, we often rely on one CMO to produce multiple product components. For instance, one of our CMOs produces several polymers used in our SVP technology. If our current CMOs cannot perform as agreed, we may be required to replace such manufacturers and we may be unable to replace them on a timely basis or at all. Our current and expected future dependence upon others for the manufacture of our product candidates or products could delay, prevent or impair our development and commercialization efforts.</w:t>
      </w:r>
    </w:p>
    <w:p>
      <w:pPr>
        <w:spacing w:after="0" w:line="400"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existing collaborations are important to our business, and future licenses may also be important to us. If we are unable to maintain any of these collaborations, or if these arrangements are not successful, our business could be adversely affected.</w:t>
      </w:r>
    </w:p>
    <w:p>
      <w:pPr>
        <w:spacing w:after="0" w:line="15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have entered into collaborations with other parties, including pharmaceutical companies and universities, to develop products based on our SVP technology, and such collaborations and licensing arrangements currently represent a significant portion of our product pipeline. Certain of our collaborations also provide us with important funding for some of our development programs and we expect to receive additional funding under collaborations in the future. Our existing collaborations, and any future collaborations we enter into, may pose a number of risks, including the following:</w:t>
      </w:r>
    </w:p>
    <w:p>
      <w:pPr>
        <w:spacing w:after="0" w:line="180"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these -collaborations;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perform their obligations as expected;</w:t>
      </w:r>
    </w:p>
    <w:p>
      <w:pPr>
        <w:spacing w:after="0" w:line="225" w:lineRule="exact"/>
        <w:rPr>
          <w:rFonts w:ascii="Times New Roman" w:cs="Times New Roman" w:eastAsia="Times New Roman" w:hAnsi="Times New Roman"/>
          <w:sz w:val="18"/>
          <w:szCs w:val="18"/>
          <w:color w:val="auto"/>
        </w:rPr>
      </w:pPr>
    </w:p>
    <w:p>
      <w:pPr>
        <w:ind w:left="34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any product candidates that achieve regulatory approval or may elect not to continue or renew development or commercialization programs based on preclinical or clinical trial results, changes in the collaborators’ strategic focus or available funding, or external factors, such as an acquisition, that divert resources or create competing priorities;</w:t>
      </w:r>
    </w:p>
    <w:p>
      <w:pPr>
        <w:spacing w:after="0" w:line="176"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1" w:lineRule="exact"/>
        <w:rPr>
          <w:rFonts w:ascii="Times New Roman" w:cs="Times New Roman" w:eastAsia="Times New Roman" w:hAnsi="Times New Roman"/>
          <w:sz w:val="18"/>
          <w:szCs w:val="18"/>
          <w:color w:val="auto"/>
        </w:rPr>
      </w:pPr>
    </w:p>
    <w:p>
      <w:pPr>
        <w:ind w:left="340" w:right="220" w:hanging="332"/>
        <w:spacing w:after="0" w:line="266" w:lineRule="auto"/>
        <w:tabs>
          <w:tab w:leader="none" w:pos="3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which may cause collaborators to cease to devote resources to the commercialization of our product candidates;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121" w:right="2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left="340" w:right="2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61" w:lineRule="exact"/>
        <w:rPr>
          <w:rFonts w:ascii="Times New Roman" w:cs="Times New Roman" w:eastAsia="Times New Roman" w:hAnsi="Times New Roman"/>
          <w:sz w:val="18"/>
          <w:szCs w:val="18"/>
          <w:color w:val="auto"/>
        </w:rPr>
      </w:pPr>
    </w:p>
    <w:p>
      <w:pPr>
        <w:ind w:left="340" w:right="60" w:hanging="332"/>
        <w:spacing w:after="0" w:line="229" w:lineRule="exact"/>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expensive;</w:t>
      </w:r>
    </w:p>
    <w:p>
      <w:pPr>
        <w:spacing w:after="0" w:line="178" w:lineRule="exact"/>
        <w:rPr>
          <w:rFonts w:ascii="Times New Roman" w:cs="Times New Roman" w:eastAsia="Times New Roman" w:hAnsi="Times New Roman"/>
          <w:sz w:val="18"/>
          <w:szCs w:val="18"/>
          <w:color w:val="auto"/>
        </w:rPr>
      </w:pPr>
    </w:p>
    <w:p>
      <w:pPr>
        <w:ind w:left="340" w:right="50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infringe the intellectual property rights of third parties, which may expose us to litigation and potential liability;</w:t>
      </w:r>
    </w:p>
    <w:p>
      <w:pPr>
        <w:spacing w:after="0" w:line="225" w:lineRule="exact"/>
        <w:rPr>
          <w:rFonts w:ascii="Times New Roman" w:cs="Times New Roman" w:eastAsia="Times New Roman" w:hAnsi="Times New Roman"/>
          <w:sz w:val="18"/>
          <w:szCs w:val="18"/>
          <w:color w:val="auto"/>
        </w:rPr>
      </w:pPr>
    </w:p>
    <w:p>
      <w:pPr>
        <w:ind w:left="340" w:right="68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for the convenience of the collaborator and, if terminated, we would potentially lose the right to pursue further development or commercialization of the applicable product candidates;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learn about our technology and use this knowledge to compete with us in the future;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conflicts between different collaborators that could negatively affect those collaborations and potentially others;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type of our collaborations could adversely affect our attractiveness to future collaborators or acquirers; and</w:t>
      </w:r>
    </w:p>
    <w:p>
      <w:pPr>
        <w:spacing w:after="0" w:line="22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have, and in the future may have, a limited number of collaborations and the loss of, or a disruption in our relationship with, any one or more of such collaborators may could harm our business.</w:t>
      </w:r>
    </w:p>
    <w:p>
      <w:pPr>
        <w:spacing w:after="0" w:line="162"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If our collaborations do not result in the successful development and commercialization of products or if one of our collaborators terminates its agreement with us, we may not receive any future research and development funding or milestone or royalty payments under such collaborations. For example, in November 2016, we received written notice from Sanofi that Sanofi had elected to terminate in its entirety the Sanofi Agreement, which was effective on May 8, 2017, and as a result we will not receive any future payments related in the Sanofi Agreement. If we do not receive the funding we expect under these agreements, our continued development of our SVP technology and product candidates could be delayed and we may need additional resources to develop additional product candidates. All of the risks relating to product development, regulatory approval and commercialization described in this report also apply to the activities of our therapeutic program collaborators and there can be no assurance that our collaborations will produce positive results or successful products on a timely basis or at all.</w:t>
      </w:r>
    </w:p>
    <w:p>
      <w:pPr>
        <w:spacing w:after="0" w:line="18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Additionally, subject to its contractual obligations to us, if one of our collaborators is involved in a business combination or otherwise changes its business priorities, the collaborator might deemphasize or terminate the development or commercialization of any product candidate licensed to it by us. If one of our collaborators terminates its agreement with us, we may find it more difficult to attract new collaborators and the perception of our business in the business and financial communities, and our stock price, could be adversely affected. In addition, we have a limited number of collaborations and if our relationship with any one or more of such collaborators were to cease, our business would be harmed as a result.</w:t>
      </w:r>
    </w:p>
    <w:p>
      <w:pPr>
        <w:spacing w:after="0" w:line="1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We may in the future collaborate with additional pharmaceutical and biotechnology companies for development and potential commercialization of therapeutic products.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not be able to access specific antigens that would be suitable to development with our technology,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programs, and our business may be materially and adversely affected.</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121"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to conduct our clinical trials, and those third parties may not perform satisfactorily, including by failing to meet deadlines for the completion of such trials.</w:t>
      </w:r>
    </w:p>
    <w:p>
      <w:pPr>
        <w:spacing w:after="0" w:line="159" w:lineRule="exact"/>
        <w:rPr>
          <w:sz w:val="20"/>
          <w:szCs w:val="20"/>
          <w:color w:val="auto"/>
        </w:rPr>
      </w:pPr>
    </w:p>
    <w:p>
      <w:pPr>
        <w:ind w:right="540"/>
        <w:spacing w:after="0" w:line="235" w:lineRule="exact"/>
        <w:rPr>
          <w:sz w:val="20"/>
          <w:szCs w:val="20"/>
          <w:color w:val="auto"/>
        </w:rPr>
      </w:pPr>
      <w:r>
        <w:rPr>
          <w:rFonts w:ascii="Times New Roman" w:cs="Times New Roman" w:eastAsia="Times New Roman" w:hAnsi="Times New Roman"/>
          <w:sz w:val="18"/>
          <w:szCs w:val="18"/>
          <w:color w:val="auto"/>
        </w:rPr>
        <w:t>We expect to continue to rely on third parties, such as CROs, clinical data management organizations, medical institutions and clinical investigators, to conduct and manage our clinical trials, including our Phase 1/2 clinical trial of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w:t>
      </w:r>
    </w:p>
    <w:p>
      <w:pPr>
        <w:spacing w:after="0" w:line="179" w:lineRule="exact"/>
        <w:rPr>
          <w:sz w:val="20"/>
          <w:szCs w:val="20"/>
          <w:color w:val="auto"/>
        </w:rPr>
      </w:pPr>
    </w:p>
    <w:p>
      <w:pPr>
        <w:ind w:right="140"/>
        <w:spacing w:after="0" w:line="219" w:lineRule="exact"/>
        <w:rPr>
          <w:sz w:val="20"/>
          <w:szCs w:val="20"/>
          <w:color w:val="auto"/>
        </w:rPr>
      </w:pPr>
      <w:r>
        <w:rPr>
          <w:rFonts w:ascii="Times New Roman" w:cs="Times New Roman" w:eastAsia="Times New Roman" w:hAnsi="Times New Roman"/>
          <w:sz w:val="18"/>
          <w:szCs w:val="18"/>
          <w:color w:val="auto"/>
        </w:rPr>
        <w:t>Our reliance on these third parties for research and development activities will reduce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 or GCP, regulations, for conducting, recording and reporting the results of clinical trials to assure that data and reported results are credible and accurate and that the rights, safety and welfare of trial participants are protected. Other countries’ regulatory agencies also have requirements for clinical trials. We also are required to register ongoing clinical trials and post the results of completed clinical trials on a government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sponsored database, </w:t>
      </w:r>
      <w:r>
        <w:rPr>
          <w:rFonts w:ascii="Times New Roman" w:cs="Times New Roman" w:eastAsia="Times New Roman" w:hAnsi="Times New Roman"/>
          <w:sz w:val="18"/>
          <w:szCs w:val="18"/>
          <w:i w:val="1"/>
          <w:iCs w:val="1"/>
          <w:color w:val="auto"/>
        </w:rPr>
        <w:t>ClinicalTrials.gov</w:t>
      </w:r>
      <w:r>
        <w:rPr>
          <w:rFonts w:ascii="Times New Roman" w:cs="Times New Roman" w:eastAsia="Times New Roman" w:hAnsi="Times New Roman"/>
          <w:sz w:val="18"/>
          <w:szCs w:val="18"/>
          <w:color w:val="auto"/>
        </w:rPr>
        <w:t>, within specified timeframes. Failure to do so can result in fines, adverse publicity and civil and criminal sanctions.</w:t>
      </w:r>
    </w:p>
    <w:p>
      <w:pPr>
        <w:spacing w:after="0" w:line="20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Furthermore, these third parties may also have relationships with other entities, some of which may be our competitors. If these third parties do not successfully carry out their contractual duties, do not meet expected deadlines, experience work stoppages, terminate their agreements with us or need to be replaced, or do not conduct our clinical trials in accordance with regulatory requirements or our stated protocols, we may need to enter into new arrangements with alternative third parties, which could be difficult, costly or impossible, and our clinical trials may be extended, delayed or terminated, or may need to be repeated. If any of the foregoing occur, we may not be able to obtain, or may be delayed in obtaining, marketing approvals for our product candidates or in commercializing our product candidates.</w:t>
      </w:r>
    </w:p>
    <w:p>
      <w:pPr>
        <w:spacing w:after="0" w:line="18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 also expect to rely on other third parties to store and distribute drug supplies for our clinical trials. Any performance failure on the part of our distributors could delay clinical development or marketing approval of our product candidates or commercialization of such product candidates, producing additional losses and depriving us of potential product revenue.</w:t>
      </w:r>
    </w:p>
    <w:p>
      <w:pPr>
        <w:spacing w:after="0" w:line="388" w:lineRule="exact"/>
        <w:rPr>
          <w:sz w:val="20"/>
          <w:szCs w:val="20"/>
          <w:color w:val="auto"/>
        </w:rPr>
      </w:pPr>
    </w:p>
    <w:p>
      <w:pPr>
        <w:jc w:val="both"/>
        <w:ind w:right="4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experience manufacturing our product candidates at commercial scale, and if we decide to establish our own manufacturing facility, we cannot assure you that we can manufacture our product candidates in compliance with regulations at a cost or in quantities necessary to make them commercially viable.</w:t>
      </w:r>
    </w:p>
    <w:p>
      <w:pPr>
        <w:spacing w:after="0" w:line="146" w:lineRule="exact"/>
        <w:rPr>
          <w:sz w:val="20"/>
          <w:szCs w:val="20"/>
          <w:color w:val="auto"/>
        </w:rPr>
      </w:pPr>
    </w:p>
    <w:p>
      <w:pPr>
        <w:spacing w:after="0" w:line="224" w:lineRule="exact"/>
        <w:rPr>
          <w:sz w:val="20"/>
          <w:szCs w:val="20"/>
          <w:color w:val="auto"/>
        </w:rPr>
      </w:pPr>
      <w:r>
        <w:rPr>
          <w:rFonts w:ascii="Times New Roman" w:cs="Times New Roman" w:eastAsia="Times New Roman" w:hAnsi="Times New Roman"/>
          <w:sz w:val="18"/>
          <w:szCs w:val="18"/>
          <w:color w:val="auto"/>
        </w:rPr>
        <w:t>We have a pilot manufacturing facility at our Watertown, Massachusetts location where we conduct process development, scale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activities and the manufacture of SVP product candidates for preclinical use. We rely on the scale equipment at our CMOs for the manufacture of the clinical supply of all of our product candidates. If our facility, or our CMOs’ facilities, were damaged or destroyed, or otherwise subject to disruption, it would require substantial lead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to replace our manufacturing capabilities. In such event, we would be forced to identify and rely entirely on alternative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 manufacturers for an indefinite period of time. Any disruptions or delays at our facility or its failure to meet regulatory compliance would impair our ability to develop and commercialize our product candidates, which would adversely affect our business and results of operations.</w:t>
      </w:r>
    </w:p>
    <w:p>
      <w:pPr>
        <w:spacing w:after="0" w:line="20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addition, the FDA and other comparable foreign regulatory agencies must, pursuant to inspections that are conducted after submitting a BLA or relevant foreign marketing submission, confirm that the manufacturing processes for the product candidate meet cGMP regulations. We do not currently have any of our own manufacturing facilities that meet the FDA’s cGMP requirements for the production of any product candidates used in humans, and rely on our CMOs for clinical production.</w:t>
      </w:r>
    </w:p>
    <w:p>
      <w:pPr>
        <w:spacing w:after="0" w:line="180" w:lineRule="exact"/>
        <w:rPr>
          <w:sz w:val="20"/>
          <w:szCs w:val="20"/>
          <w:color w:val="auto"/>
        </w:rPr>
      </w:pPr>
    </w:p>
    <w:p>
      <w:pPr>
        <w:ind w:right="160"/>
        <w:spacing w:after="0" w:line="224" w:lineRule="exact"/>
        <w:rPr>
          <w:sz w:val="20"/>
          <w:szCs w:val="20"/>
          <w:color w:val="auto"/>
        </w:rPr>
      </w:pPr>
      <w:r>
        <w:rPr>
          <w:rFonts w:ascii="Times New Roman" w:cs="Times New Roman" w:eastAsia="Times New Roman" w:hAnsi="Times New Roman"/>
          <w:sz w:val="18"/>
          <w:szCs w:val="18"/>
          <w:color w:val="auto"/>
        </w:rPr>
        <w:t>We may choose to establish a manufacturing facility for our product candidates for production at a commercial scale. However, we have no experience in commercial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manufacturing of our product candidates. We currently intend to develop our manufacturing capacity in part by expanding our current facility or building additional facilities. This activity will require substantial additional funds and we would need to hire and train significant numbers of qualified employees to staff these facilities. We may not be able to develop commercial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manufacturing facilities that are adequate to produce materials for additional later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or commercial use.</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equipment and facilities employed in the manufacture of pharmaceuticals are subject to stringent qualification requirements by regulatory agencies, including validation of such facilities, equipment, systems, processes and analytics. We may be subject to lengthy delays and expense in conducting validation studies, if we can meet the requirements at all.</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121"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 OF OUR PRODUCT CANDIDATES AND OTHER LEGAL COMPLIANCE MATTERS</w:t>
      </w:r>
    </w:p>
    <w:p>
      <w:pPr>
        <w:spacing w:after="0" w:line="225" w:lineRule="exact"/>
        <w:rPr>
          <w:sz w:val="20"/>
          <w:szCs w:val="20"/>
          <w:color w:val="auto"/>
        </w:rPr>
      </w:pPr>
    </w:p>
    <w:p>
      <w:pPr>
        <w:ind w:right="560"/>
        <w:spacing w:after="0" w:line="238" w:lineRule="exact"/>
        <w:rPr>
          <w:sz w:val="20"/>
          <w:szCs w:val="20"/>
          <w:color w:val="auto"/>
        </w:rPr>
      </w:pPr>
      <w:r>
        <w:rPr>
          <w:rFonts w:ascii="Times New Roman" w:cs="Times New Roman" w:eastAsia="Times New Roman" w:hAnsi="Times New Roman"/>
          <w:sz w:val="18"/>
          <w:szCs w:val="18"/>
          <w:b w:val="1"/>
          <w:bCs w:val="1"/>
          <w:i w:val="1"/>
          <w:iCs w:val="1"/>
          <w:color w:val="auto"/>
        </w:rPr>
        <w:t>Even if any of our product candidates receives marketing approval, it may fail to achieve the degree of market acceptance by physicians, patients,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payors and others in the medical community necessary for commercial success.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233045</wp:posOffset>
            </wp:positionH>
            <wp:positionV relativeFrom="paragraph">
              <wp:posOffset>-99695</wp:posOffset>
            </wp:positionV>
            <wp:extent cx="64135" cy="393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29" w:lineRule="exact"/>
        <w:rPr>
          <w:sz w:val="20"/>
          <w:szCs w:val="20"/>
          <w:color w:val="auto"/>
        </w:rPr>
      </w:pPr>
    </w:p>
    <w:p>
      <w:pPr>
        <w:ind w:right="20"/>
        <w:spacing w:after="0" w:line="228" w:lineRule="exact"/>
        <w:rPr>
          <w:sz w:val="20"/>
          <w:szCs w:val="20"/>
          <w:color w:val="auto"/>
        </w:rPr>
      </w:pPr>
      <w:r>
        <w:rPr>
          <w:rFonts w:ascii="Times New Roman" w:cs="Times New Roman" w:eastAsia="Times New Roman" w:hAnsi="Times New Roman"/>
          <w:sz w:val="18"/>
          <w:szCs w:val="18"/>
          <w:color w:val="auto"/>
        </w:rPr>
        <w:t>If any of our product candidates receives marketing approval, it may nonetheless fail to gain sufficient market acceptance by physicians, patients,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and others in the medical community. If our product candidates do not achieve an adequate level of acceptance, we may not generate significant product revenues and we may not become profitable. The degree of market acceptance of our product candidates, if any, will depend on a number of factors, including:</w:t>
      </w:r>
    </w:p>
    <w:p>
      <w:pPr>
        <w:spacing w:after="0" w:line="198" w:lineRule="exact"/>
        <w:rPr>
          <w:sz w:val="20"/>
          <w:szCs w:val="20"/>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efficacy, safety and other potential advantages compared to alternative treatments;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indications for which our product candidates are approved;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offer them for sale at competitive prices;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convenience and ease of administration compared to alternative treatments;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w:t>
      </w:r>
    </w:p>
    <w:p>
      <w:pPr>
        <w:spacing w:after="0" w:line="196"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coverage and adequate reimbursement for our product candidates;</w:t>
      </w:r>
    </w:p>
    <w:p>
      <w:pPr>
        <w:spacing w:after="0" w:line="25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their side effects and their overall safety profiles;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 candidates together with other medications;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interactions of our product candidates with other medicines patients are taking;</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create awareness with patients and physicians about the harmful effects of uric acid deposits;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 of any approved product candidates as well as competitive products and other therapies;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certain types of patients to take our product candidates;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ability to remain attractive in the event of changing treatment guidelines;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about the product or favorable publicity about competitive products;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product liability claims.</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research, development and commercialization of our product candidates depends upon our maintaining strong working relationships with the medical community. We rely on these professionals to provide us with considerable knowledge and experience regarding the development, marketing and commercialization of our product candidates. If we are unable to maintain our strong relationships with these professionals and continue to receive their advice and input, our products and product candidates may not be developed and marketed in line with such professionals’ needs and expectations. Accordingly, the development and commercialization of our products and product candidates could suffer, which could have a material adverse effect on our business and results of operations.</w:t>
      </w:r>
    </w:p>
    <w:p>
      <w:pPr>
        <w:spacing w:after="0" w:line="400" w:lineRule="exact"/>
        <w:rPr>
          <w:sz w:val="20"/>
          <w:szCs w:val="20"/>
          <w:color w:val="auto"/>
        </w:rPr>
      </w:pPr>
    </w:p>
    <w:p>
      <w:pPr>
        <w:ind w:right="2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currently have no sales organization. If we are unable to establish effective sales, marketing and distribution capabilities, or enter into agreements with third parties with such capabilities, we may not be successful in commercializing our product candidates if and when they are approved.</w:t>
      </w:r>
    </w:p>
    <w:p>
      <w:pPr>
        <w:spacing w:after="0" w:line="1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pharmaceutical products. To achieve commercial success for any product candidate for which we obtain marketing approval, we will need to establish a sales and marketing organization or make arrangements with third parties to perform sales and marketing functions and we may not be successful in doing so.</w:t>
      </w:r>
    </w:p>
    <w:p>
      <w:pPr>
        <w:sectPr>
          <w:pgSz w:w="11900" w:h="16838" w:orient="portrait"/>
          <w:cols w:equalWidth="0" w:num="1">
            <w:col w:w="11320"/>
          </w:cols>
          <w:pgMar w:left="240" w:top="121" w:right="3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320"/>
          </w:cols>
          <w:pgMar w:left="240" w:top="121"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ind w:right="20"/>
        <w:spacing w:after="0" w:line="224" w:lineRule="exact"/>
        <w:rPr>
          <w:sz w:val="20"/>
          <w:szCs w:val="20"/>
          <w:color w:val="auto"/>
        </w:rPr>
      </w:pPr>
      <w:r>
        <w:rPr>
          <w:rFonts w:ascii="Times New Roman" w:cs="Times New Roman" w:eastAsia="Times New Roman" w:hAnsi="Times New Roman"/>
          <w:sz w:val="18"/>
          <w:szCs w:val="18"/>
          <w:color w:val="auto"/>
        </w:rPr>
        <w:t>In the future, we expect to build a focused sales and marketing infrastructure to market or co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promote our product candidates in the United States and potentially elsewhere, if and when they are approved. There are risks involved with establishing our own sales, marketing and distribution capabilities. For example, recruiting and training a sales force is expensive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product candidates on our own include:</w:t>
      </w:r>
    </w:p>
    <w:p>
      <w:pPr>
        <w:spacing w:after="0" w:line="225" w:lineRule="exact"/>
        <w:rPr>
          <w:sz w:val="20"/>
          <w:szCs w:val="20"/>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educate physicians on the benefits of our products;</w:t>
      </w:r>
    </w:p>
    <w:p>
      <w:pPr>
        <w:spacing w:after="0" w:line="225"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and</w:t>
      </w:r>
    </w:p>
    <w:p>
      <w:pPr>
        <w:spacing w:after="0" w:line="196"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obtain sufficient coverage and reimbursement from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and governmental agencies for our product candidates.</w:t>
      </w:r>
    </w:p>
    <w:p>
      <w:pPr>
        <w:spacing w:after="0" w:line="25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Outside the United States, we may rely on third parties to sell, market and distribute our product candidates. We may not be successful in entering into arrangements with such third parties or may be unable to do so on terms that are favorable to us.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do not establish sales, marketing and distribution capabilities successfully, either on our own or in collaboration with third parties, we will not be successful in commercializing our product candidates.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 candidates, if approved, may fail to offer material commercial advantages over other treatments.</w:t>
      </w:r>
    </w:p>
    <w:p>
      <w:pPr>
        <w:spacing w:after="0" w:line="229"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The therapeutic advantages that we believe may be offered by our product candidates, if approved, may fail to materialize, or may not be recognized by physicians, hospital administrators, patients, caregivers, healthcare payors and others in the medical community. For example, physicians may be skeptical to use SEL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212 for the treatment of refractory and chronic tophaceous gout. Patients may also be skeptical of using a product based on our SVP technology. The therapeutic advantages of our product candidates may not be sufficient to either move market share to us or expand the population of patients using our treatments.</w:t>
      </w:r>
    </w:p>
    <w:p>
      <w:pPr>
        <w:spacing w:after="0" w:line="200" w:lineRule="exact"/>
        <w:rPr>
          <w:sz w:val="20"/>
          <w:szCs w:val="20"/>
          <w:color w:val="auto"/>
        </w:rPr>
      </w:pPr>
    </w:p>
    <w:p>
      <w:pPr>
        <w:spacing w:after="0" w:line="213"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competing products before or more successfully than we do.</w:t>
      </w:r>
    </w:p>
    <w:p>
      <w:pPr>
        <w:spacing w:after="0" w:line="15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drug and biologic products and technologies is highly competitive and is characterized by rapid and substantial technological development and product innovations. We protect our products and technologies by filing patent applications in major pharmaceutical markets as well as leading emerging growth markets. We have either been granted patents or filed patent applications covering our SVP technology, our immune tolerance programs and our SEL-212 product candidate. To the extent that our product candidates and technologies are protected by such intellectual property rights, they will be protected from competition for the life of the applicable patents. However, we are aware of a number of large pharmaceutical and biotechnology companies, including Sanofi, Horizon Pharma plc, Pfizer Inc., and Merck &amp; Co., Inc., as well as smaller, early-stage companies, that offer or are pursuing the development of pharmaceutical products or technologies that may address one or more indications that our product candidates target.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w:t>
      </w:r>
    </w:p>
    <w:p>
      <w:pPr>
        <w:spacing w:after="0" w:line="186"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established presence in the market and expertise in research and development, manufacturing, preclinical testing, conducting clinical trials, obtaining regulatory approvals and reimbursement for product candidates and in</w:t>
      </w: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00"/>
          </w:cols>
          <w:pgMar w:left="240" w:top="121" w:right="2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marketing approved products than we do. Mergers and acquisitions in the pharmaceutical and biotechnology industries may result in even more resources being concentrated among a smaller number of our competitors.</w:t>
      </w:r>
    </w:p>
    <w:p>
      <w:pPr>
        <w:spacing w:after="0" w:line="16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These third parties compete with us in recruiting and retaining qualified scientific, sales and marketing and management personnel, establishing clinical trial sites and patient registration for clinical trials, as well as in acquiring technologies complementary to, or necessary for, our programs.</w:t>
      </w:r>
    </w:p>
    <w:p>
      <w:pPr>
        <w:spacing w:after="0" w:line="162" w:lineRule="exact"/>
        <w:rPr>
          <w:sz w:val="20"/>
          <w:szCs w:val="20"/>
          <w:color w:val="auto"/>
        </w:rPr>
      </w:pPr>
    </w:p>
    <w:p>
      <w:pPr>
        <w:ind w:right="140"/>
        <w:spacing w:after="0" w:line="220" w:lineRule="exact"/>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products that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especially for any competitor developing a microbiome therapeutic which will likely share our same regulatory approval requirements. In addition, our ability to compete may be affected in many cases by insurers or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seeking to encourage the use of generic or biosimilar products.</w:t>
      </w:r>
    </w:p>
    <w:p>
      <w:pPr>
        <w:spacing w:after="0" w:line="170" w:lineRule="exact"/>
        <w:rPr>
          <w:sz w:val="20"/>
          <w:szCs w:val="20"/>
          <w:color w:val="auto"/>
        </w:rPr>
      </w:pPr>
    </w:p>
    <w:p>
      <w:pPr>
        <w:ind w:right="40"/>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product candidates, the products may become subject to unfavorable pricing regulations or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coverage or reimbursement policies, any of which would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6490335</wp:posOffset>
            </wp:positionH>
            <wp:positionV relativeFrom="paragraph">
              <wp:posOffset>-223520</wp:posOffset>
            </wp:positionV>
            <wp:extent cx="64135"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9"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product candidates for which we obtain regulatory approval. Our ability to commercialize any product candidates successfully will depend, in part, on the extent to which coverage and adequate reimbursement for these products and related treatments will be available from government health administration authorities, private health insurers and other organizations. Government authorities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such as private health insurers and health maintenance organizations, decide which medications they will pay for and establish reimbursement levels.</w:t>
      </w:r>
    </w:p>
    <w:p>
      <w:pPr>
        <w:spacing w:after="0" w:line="173"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Obtaining and maintaining adequate reimbursement for our products may be difficult. The process for determining whether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 will provide coverage for a product may be separate from the process for setting the price of a product or for establishing the reimbursement rate that such a payor will pay for the product. Further, one payor’s determination to provide coverage for a product does not assure that other payors will also provide coverage and adequate reimbursement for the product. We cannot be certain if and when we will obtain an adequate level of reimbursement for our products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Even if we do obtain adequate levels of reimbursement,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such as government or private healthcare insurers, carefully review and increasingly question the coverage of, and challenge the prices charged for, products. Reimbursement rates from private health insurance companies vary depending on the company, the insurance plan and other factors. A primary trend in the U.S. healthcare industry and elsewhere is cost containment. Government authorities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have attempted to control costs by limiting coverage and the amount of reimbursement for particular medications. Increasingly,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are requiring that pharmaceutical companies provide them with predetermined discounts from list prices and are challenging the prices charged for products. We may also be required to conduct expensive pharmacoeconomic studies to justify coverage and reimbursement or the level of reimbursement relative to other therapies. If coverage and reimbursement are not available or reimbursement is available only to limited levels, we may not be able to successfully commercialize any product candidate for which we obtain marketing approval.</w:t>
      </w:r>
    </w:p>
    <w:p>
      <w:pPr>
        <w:spacing w:after="0" w:line="199" w:lineRule="exact"/>
        <w:rPr>
          <w:sz w:val="20"/>
          <w:szCs w:val="20"/>
          <w:color w:val="auto"/>
        </w:rPr>
      </w:pPr>
    </w:p>
    <w:p>
      <w:pPr>
        <w:ind w:right="60"/>
        <w:spacing w:after="0" w:line="218" w:lineRule="exact"/>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products, and coverage may be more limited than the purposes for which the product is approved by the FDA or similar regulatory authorities outside of the United States. Moreover, eligibility for reimbursement does not imply that a product will be paid for in all cases or at a rate that covers our costs, including research, development, manufacture, sale and distribution. Interim reimbursement levels for new products, if applicable, may also not be sufficient to cover our costs and may not be made permanent. Reimbursement rates may vary according to the use of the product and the clinical setting in which it is used, may be based on reimbursement levels already set for lower cost products and may be incorporated into existing payments for other services. Net prices for products may be reduced by mandatory discounts or rebates required by government healthcare programs or private payors and by any future relaxation of laws that presently restrict imports of products from countries where they may be sold at lower prices than in the United States. Our inability to promptly obtain coverage and adequate reimbursement rates from both government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and private payors for any approved products that we develop could have a material adverse effect on our operating results, our ability to raise capital needed to commercialize products and our overall financial condition.</w:t>
      </w:r>
    </w:p>
    <w:p>
      <w:pPr>
        <w:spacing w:after="0" w:line="204"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The regulations that govern marketing approvals, pricing, coverage and reimbursement for new products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121"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80"/>
        <w:spacing w:after="0" w:line="220" w:lineRule="exact"/>
        <w:rPr>
          <w:sz w:val="20"/>
          <w:szCs w:val="20"/>
          <w:color w:val="auto"/>
        </w:rPr>
      </w:pPr>
      <w:r>
        <w:rPr>
          <w:rFonts w:ascii="Times New Roman" w:cs="Times New Roman" w:eastAsia="Times New Roman" w:hAnsi="Times New Roman"/>
          <w:sz w:val="18"/>
          <w:szCs w:val="18"/>
          <w:color w:val="auto"/>
        </w:rPr>
        <w:t>including possible price reductions,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There can be no assurance that our product candidates, if they are approved for sale in the United States or in other countries, will be considered medically necessary for a specific indication or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or that coverage or an adequate level of reimbursement will be available.</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limit commercialization of any products that we may develop.</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testing of our product candidates in clinical trials and will face an even greater risk if we commercially sell any products that we may develop. If we cannot successfully defend ourselves against claims that our product candidates or products caused injuries, we will incur substantial liabilities. Regardless of merit or eventual outcome, liability claims may result in:</w:t>
      </w:r>
    </w:p>
    <w:p>
      <w:pPr>
        <w:spacing w:after="0" w:line="176" w:lineRule="exact"/>
        <w:rPr>
          <w:sz w:val="20"/>
          <w:szCs w:val="20"/>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investigations, product recalls or withdrawals, or labeling, marketing or promotional restrictions;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product candidates or products that we may develop;</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clinical trial participants or increased difficulty in enrolling future participants;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or to reach a settlement;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payments to trial participants or patients;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resources of our management to pursue our business strategy;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5"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maintain general liability, product liability and umbrella liability insurance. Our existing insurance coverage may not fully cover potential liabilities that we may incur. The cost of any product liability litigation or other proceeding, even if resolved in our favor, could be substantial. We will need to increase our insurance coverage as our risks of exposure increase, which, for example, would happen if and when we begin selling any product candidate that receives marketing approval. In addition, certain types of insurance coverage are becoming increasingly expensive. If we are unable to obtain or maintain sufficient insurance coverage at an acceptable cost or to otherwise protect against potential product liability claims, it could prevent or inhibit the development and commercial production and sale of any approved product candidates, which could adversely affect our business, financial condition, results of operations and prospects.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obtain marketing approval in international jurisdictions would prevent our product candidates from being marketed abroad.</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Although we do not have any current plans to market and sell our products in other jurisdictions outside of the United States, we may decide to do so in the future and either we or our collaborators would need to obtain separate marketing approvals and comply with numerous and varying regulatory requirements. The approval procedure varies among countries and can involve additional testing. The time required to obtain approval in foreign countries may differ substantially from that required to obtain FDA approval. Clinical trials conducted in one country may not be accepted by regulatory authorities in other countries. The regulatory approval process outside the United States generally includes all of the risks associated with obtaining FDA approval. In addition, in many countries outside the United States, it is required that the product candidate be approved for reimbursement before the product candidate can be approved for sale in that country. We or our collaborators may not obtain approvals for our product candidates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a failure or delay in obtaining regulatory approval in one country may have a negative</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121"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effect on the regulatory process in others. We may not be able to file for marketing approvals and may not receive necessary approvals to commercialize our product candidates in any market.</w:t>
      </w:r>
    </w:p>
    <w:p>
      <w:pPr>
        <w:spacing w:after="0" w:line="374" w:lineRule="exact"/>
        <w:rPr>
          <w:sz w:val="20"/>
          <w:szCs w:val="20"/>
          <w:color w:val="auto"/>
        </w:rPr>
      </w:pPr>
    </w:p>
    <w:p>
      <w:pPr>
        <w:ind w:right="40"/>
        <w:spacing w:after="0" w:line="222" w:lineRule="exact"/>
        <w:rPr>
          <w:sz w:val="20"/>
          <w:szCs w:val="20"/>
          <w:color w:val="auto"/>
        </w:rPr>
      </w:pPr>
      <w:r>
        <w:rPr>
          <w:rFonts w:ascii="Times New Roman" w:cs="Times New Roman" w:eastAsia="Times New Roman" w:hAnsi="Times New Roman"/>
          <w:sz w:val="18"/>
          <w:szCs w:val="18"/>
          <w:b w:val="1"/>
          <w:bCs w:val="1"/>
          <w:i w:val="1"/>
          <w:iCs w:val="1"/>
          <w:color w:val="auto"/>
        </w:rPr>
        <w:t>Although we are not currently marketing our product candidates, including to healthcare providers, if and when we do, our relationships with healthcare providers, customers and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payors may be subject to applicable anti</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1439545</wp:posOffset>
            </wp:positionH>
            <wp:positionV relativeFrom="paragraph">
              <wp:posOffset>-361315</wp:posOffset>
            </wp:positionV>
            <wp:extent cx="64135"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3625215</wp:posOffset>
            </wp:positionH>
            <wp:positionV relativeFrom="paragraph">
              <wp:posOffset>-361315</wp:posOffset>
            </wp:positionV>
            <wp:extent cx="64135" cy="39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49" w:lineRule="exact"/>
        <w:rPr>
          <w:sz w:val="20"/>
          <w:szCs w:val="20"/>
          <w:color w:val="auto"/>
        </w:rPr>
      </w:pPr>
    </w:p>
    <w:p>
      <w:pPr>
        <w:spacing w:after="0" w:line="226" w:lineRule="exact"/>
        <w:rPr>
          <w:sz w:val="20"/>
          <w:szCs w:val="20"/>
          <w:color w:val="auto"/>
        </w:rPr>
      </w:pPr>
      <w:r>
        <w:rPr>
          <w:rFonts w:ascii="Times New Roman" w:cs="Times New Roman" w:eastAsia="Times New Roman" w:hAnsi="Times New Roman"/>
          <w:sz w:val="18"/>
          <w:szCs w:val="18"/>
          <w:color w:val="auto"/>
        </w:rPr>
        <w:t>Healthcare providers, customers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will play a primary role in the recommendation and prescription of any product candidates for which we may obtain marketing approval. Our future arrangements with third party payors and customers may expose us to broadly applicable fraud and abuse and other healthcare laws and regulations that may constrain the business or financial arrangements and relationships through which we market, sell and distribute any products for which we obtain marketing approval. Restrictions under applicable federal and state healthcare laws and regulations may include the following:</w:t>
      </w:r>
    </w:p>
    <w:p>
      <w:pPr>
        <w:spacing w:after="0" w:line="171" w:lineRule="exact"/>
        <w:rPr>
          <w:sz w:val="20"/>
          <w:szCs w:val="20"/>
          <w:color w:val="auto"/>
        </w:rPr>
      </w:pPr>
    </w:p>
    <w:p>
      <w:pPr>
        <w:ind w:left="340" w:right="120" w:hanging="332"/>
        <w:spacing w:after="0" w:line="227" w:lineRule="exact"/>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 which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 or specific intent to violate it to have committed a violation; in addition, the government may assert that a claim including items or services resulting from a violation of the federal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 constitutes a false or fraudulent claim for purposes of the False Claims Act);</w:t>
      </w:r>
    </w:p>
    <w:p>
      <w:pPr>
        <w:spacing w:after="0" w:line="180" w:lineRule="exact"/>
        <w:rPr>
          <w:rFonts w:ascii="Times New Roman" w:cs="Times New Roman" w:eastAsia="Times New Roman" w:hAnsi="Times New Roman"/>
          <w:sz w:val="18"/>
          <w:szCs w:val="18"/>
          <w:color w:val="auto"/>
        </w:rPr>
      </w:pPr>
    </w:p>
    <w:p>
      <w:pPr>
        <w:ind w:left="340" w:right="140" w:hanging="332"/>
        <w:spacing w:after="0" w:line="289" w:lineRule="auto"/>
        <w:tabs>
          <w:tab w:leader="none" w:pos="3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false claims and civil monetary penalties laws, including the civil False Claims Act, which impose criminal and civil penalties,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158" w:lineRule="exact"/>
        <w:rPr>
          <w:rFonts w:ascii="Times New Roman" w:cs="Times New Roman" w:eastAsia="Times New Roman" w:hAnsi="Times New Roman"/>
          <w:sz w:val="17"/>
          <w:szCs w:val="17"/>
          <w:color w:val="auto"/>
        </w:rPr>
      </w:pPr>
    </w:p>
    <w:p>
      <w:pPr>
        <w:ind w:left="340" w:right="80" w:hanging="332"/>
        <w:spacing w:after="0" w:line="220" w:lineRule="exact"/>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imposes criminal and civil liability for, among other things, executing or attempting to execute a scheme to defraud any healthcare benefit program or making false statements relating to healthcare matters. Similar to the federal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 a person or entity does not need to have actual knowledge of the statute or specific intent to violate it to have committed a violation;</w:t>
      </w:r>
    </w:p>
    <w:p>
      <w:pPr>
        <w:spacing w:after="0" w:line="200"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or HITECH, and its implementing regulations, which also imposes obligations, including mandatory contractual terms, on certain types of people and entities with respect to safeguarding the privacy, security and transmission of individually identifiable health information;</w:t>
      </w:r>
    </w:p>
    <w:p>
      <w:pPr>
        <w:spacing w:after="0" w:line="176" w:lineRule="exact"/>
        <w:rPr>
          <w:rFonts w:ascii="Times New Roman" w:cs="Times New Roman" w:eastAsia="Times New Roman" w:hAnsi="Times New Roman"/>
          <w:sz w:val="18"/>
          <w:szCs w:val="18"/>
          <w:color w:val="auto"/>
        </w:rPr>
      </w:pPr>
    </w:p>
    <w:p>
      <w:pPr>
        <w:ind w:left="340" w:hanging="332"/>
        <w:spacing w:after="0" w:line="258" w:lineRule="auto"/>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Physician Payments Sunshine Act, which requires manufacturers of drugs, devices, biologics and medical supplies for which payment is available under Medicare, Medicaid or the Children’s Health Insurance Program (with certain exceptions) to report annually to the government information related to certain payments or other “transfers of value” made to physicians (defined to include doctors, dentists, optometrists, podiatrists and chiropractors) and teaching hospitals, and requires applicable manufacturers to report annually to the government ownership and investment interests held by the physicians described above and their immediate family members and payments or other “transfers of value” to such physician owners; and</w:t>
      </w:r>
    </w:p>
    <w:p>
      <w:pPr>
        <w:spacing w:after="0" w:line="155" w:lineRule="exact"/>
        <w:rPr>
          <w:rFonts w:ascii="Times New Roman" w:cs="Times New Roman" w:eastAsia="Times New Roman" w:hAnsi="Times New Roman"/>
          <w:sz w:val="18"/>
          <w:szCs w:val="18"/>
          <w:color w:val="auto"/>
        </w:rPr>
      </w:pPr>
    </w:p>
    <w:p>
      <w:pPr>
        <w:ind w:left="340" w:right="80" w:hanging="332"/>
        <w:spacing w:after="0" w:line="223" w:lineRule="exact"/>
        <w:tabs>
          <w:tab w:leader="none" w:pos="3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and foreign laws and regulations, such as state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and false claims laws, which may apply to sales or marketing arrangements and claims involving healthcare items or services reimbursed by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including private insurers; state laws that require pharmaceutical companies to comply with the pharmaceutical industry’s voluntary compliance guidelines and the relevant compliance guidance promulgated by the federal government; state laws that require drug manufacturers to report information related to payments and other transfers of value to physicians and other healthcare providers or marketing expenditures and pricing information; and state and foreign laws governing the privacy and security of health information in some circumstances, many of which differ from each other in significant ways and often are not preempted by HIPAA, thus complicating compliance efforts.</w:t>
      </w:r>
    </w:p>
    <w:p>
      <w:pPr>
        <w:spacing w:after="0" w:line="20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Efforts to ensure that our business arrangements with third parties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00"/>
          </w:cols>
          <w:pgMar w:left="240" w:top="121" w:right="2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regulations. If our operations are found to be in violation of any of these laws or any other governmental laws and regulations that may apply to us, we may be subject to significant civil, criminal and administrative penalties, damages, fines, imprisonment, exclusion of products from government funded healthcare programs, such as Medicare and Medicaid, disgorgement, contractual damages, reputational harm, diminished profits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government funded healthcare programs. The risk of our being found in violation of these laws is increased by the fact that many of them have not been fully interpreted by the regulatory authorities or the courts, and their provisions are open to a variety of interpretations. Because of the breadth of these laws and the narrowness of the statutory exceptions and safe harbors available under such laws, it is possible that some of our business activities, including our relationships with physicians and other healthcare providers, some of whom will recommend, purchase and/or prescribe our product candidates, if approved, could be subject to challenge under one or more of such laws.</w:t>
      </w:r>
    </w:p>
    <w:p>
      <w:pPr>
        <w:spacing w:after="0" w:line="398"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obtain marketing approval of and commercialize our product candidates and affect the prices we may obtain.</w:t>
      </w:r>
    </w:p>
    <w:p>
      <w:pPr>
        <w:spacing w:after="0" w:line="159" w:lineRule="exact"/>
        <w:rPr>
          <w:sz w:val="20"/>
          <w:szCs w:val="20"/>
          <w:color w:val="auto"/>
        </w:rPr>
      </w:pPr>
    </w:p>
    <w:p>
      <w:pPr>
        <w:ind w:right="140"/>
        <w:spacing w:after="0" w:line="222" w:lineRule="exact"/>
        <w:rPr>
          <w:sz w:val="20"/>
          <w:szCs w:val="20"/>
          <w:color w:val="auto"/>
        </w:rPr>
      </w:pPr>
      <w:r>
        <w:rPr>
          <w:rFonts w:ascii="Times New Roman" w:cs="Times New Roman" w:eastAsia="Times New Roman" w:hAnsi="Times New Roman"/>
          <w:sz w:val="18"/>
          <w:szCs w:val="18"/>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activities and affect our ability to profitably sell any product candidates for which we obtain marketing approval.</w:t>
      </w:r>
    </w:p>
    <w:p>
      <w:pPr>
        <w:spacing w:after="0" w:line="199"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For example, in the United States, in 2010, President Obama signed into law the Patient Protection and Affordable Care Act, as amended by the Health Care and Education Reconciliation Act, or collectively the 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Among the provisions of the ACA of importance to our potential product candidates are the following:</w:t>
      </w:r>
    </w:p>
    <w:p>
      <w:pPr>
        <w:spacing w:after="0" w:line="225" w:lineRule="exact"/>
        <w:rPr>
          <w:sz w:val="20"/>
          <w:szCs w:val="20"/>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payable by any entity that manufactures or imports specified branded prescription drugs and biologic agents;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w:t>
      </w:r>
    </w:p>
    <w:p>
      <w:pPr>
        <w:spacing w:after="0" w:line="225"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Medicaid Drug Rebate Program are calculated for drugs that are inhaled, infused, instilled, implanted or injected;</w:t>
      </w:r>
    </w:p>
    <w:p>
      <w:pPr>
        <w:spacing w:after="0" w:line="133" w:lineRule="exact"/>
        <w:rPr>
          <w:rFonts w:ascii="Times New Roman" w:cs="Times New Roman" w:eastAsia="Times New Roman" w:hAnsi="Times New Roman"/>
          <w:sz w:val="18"/>
          <w:szCs w:val="18"/>
          <w:color w:val="auto"/>
        </w:rPr>
      </w:pPr>
    </w:p>
    <w:p>
      <w:pPr>
        <w:ind w:left="340" w:right="120" w:hanging="332"/>
        <w:spacing w:after="0" w:line="232" w:lineRule="exact"/>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Medicare Part D coverage gap discount program, in which manufacturers must agree to offer 50% point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discounts off negotiated prices of applicable brand drugs to eligible beneficiaries under their coverage gap period, as a condition for the manufacturer’s outpatient drugs to be covered under Medicare Part D;</w:t>
      </w:r>
    </w:p>
    <w:p>
      <w:pPr>
        <w:spacing w:after="0" w:line="19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manufacturers’ Medicaid rebate liability to individuals enrolled in Medicaid managed care organizations;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the entities eligible for discounts under the Public Health Service pharmaceutical pricing program;</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requirement to annually report drug samples that manufacturers and distributors provide to physicians; and</w:t>
      </w:r>
    </w:p>
    <w:p>
      <w:pPr>
        <w:spacing w:after="0" w:line="196" w:lineRule="exact"/>
        <w:rPr>
          <w:rFonts w:ascii="Times New Roman" w:cs="Times New Roman" w:eastAsia="Times New Roman" w:hAnsi="Times New Roman"/>
          <w:sz w:val="18"/>
          <w:szCs w:val="18"/>
          <w:color w:val="auto"/>
        </w:rPr>
      </w:pPr>
    </w:p>
    <w:p>
      <w:pPr>
        <w:ind w:left="340" w:right="20" w:hanging="332"/>
        <w:spacing w:after="0" w:line="239" w:lineRule="exact"/>
        <w:tabs>
          <w:tab w:leader="none" w:pos="3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Centered Outcomes Research Institute to oversee, identify priorities in, and conduct comparative clinical effectiveness research, along with funding for such research.</w:t>
      </w:r>
    </w:p>
    <w:p>
      <w:pPr>
        <w:spacing w:after="0" w:line="19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expect that the new presidential administration and U.S. Congress will seek to modify, repeal, or otherwise invalidate all, or certain provisions of, the ACA. Since taking office, President Trump has continued to support the repeal of all or portions of the ACA. In January 2017, the House and Senate passed a budget resolution that authorizes congressional committees to draft legislation to repeal all or portions of the ACA and permits such legislation to pass with a majority vote in the Senate. President Trump has also recently issued an executive order in which he stated that it is his administration’s policy to seek the prompt repeal of the ACA and directed executive departments and federal agencies to waive, defer, grant exemptions from, or delay the implementation of the provisions of the ACA to the maximum extent permitted by law. There is still uncertainty with</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121"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respect to the impact the current presidential administration and the U.S. Congress may have, if any, and any changes will likely take time to unfold, and could have an impact on coverage and reimbursement for healthcare items and services covered by plans that were authorized by the ACA. However, we cannot predict the ultimate content, timing or effect of any healthcare reform legislation or the impact of potential legislation on us.</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ACA was enacted. These changes included aggregate reductions to Medicare payments to providers of 2% per fiscal year, which went into effect in April 2013 and, due to subsequent legislative amendments to the statute, will remain in effect through 2025 unless additional Congressional action is taken. In January 2013, President Obama signed into law the American Taxpayer Relief Act of 2012, which, among other things, further reduced Medicare payments to several types of providers, and increased the statute of limitations period for the government to recover overpayments to providers from three to five years. These new laws may result in additional reductions in Medicare and other healthcare funding.</w:t>
      </w:r>
    </w:p>
    <w:p>
      <w:pPr>
        <w:spacing w:after="0" w:line="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expect that the ACA, as well as other healthcare reform measures that may be adopted in the future, may result in additional reductions in Medicare and other healthcare funding, more rigorous coverage criteria, new payment methodologies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products.</w:t>
      </w:r>
    </w:p>
    <w:p>
      <w:pPr>
        <w:spacing w:after="0" w:line="18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Moreover, there has recently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For example, the 21st Century Cures Act changed the reimbursement methodology for infusion drugs and biologics furnished through durable medical equipment in an attempt to remedy over- and underpayment of certain products. Individual states in the United States have become increasingly aggressive in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 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if approved, or put pressure on our product pricing, which could negatively affect our business, results of operations, financial condition and prospects.</w:t>
      </w:r>
    </w:p>
    <w:p>
      <w:pPr>
        <w:spacing w:after="0" w:line="162" w:lineRule="exact"/>
        <w:rPr>
          <w:sz w:val="20"/>
          <w:szCs w:val="20"/>
          <w:color w:val="auto"/>
        </w:rPr>
      </w:pPr>
    </w:p>
    <w:p>
      <w:pPr>
        <w:ind w:right="40"/>
        <w:spacing w:after="0" w:line="230" w:lineRule="exact"/>
        <w:rPr>
          <w:sz w:val="20"/>
          <w:szCs w:val="20"/>
          <w:color w:val="auto"/>
        </w:rPr>
      </w:pPr>
      <w:r>
        <w:rPr>
          <w:rFonts w:ascii="Times New Roman" w:cs="Times New Roman" w:eastAsia="Times New Roman" w:hAnsi="Times New Roman"/>
          <w:sz w:val="18"/>
          <w:szCs w:val="18"/>
          <w:color w:val="auto"/>
        </w:rPr>
        <w:t>Legislative and regulatory proposals have been made to expand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requirements and restrict sales and promotional activities for pharmaceutical products. We cannot be sure whether additional legislative changes will be enacted, or whether the FDA’s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and other requirements.</w:t>
      </w:r>
    </w:p>
    <w:p>
      <w:pPr>
        <w:spacing w:after="0" w:line="366" w:lineRule="exact"/>
        <w:rPr>
          <w:sz w:val="20"/>
          <w:szCs w:val="20"/>
          <w:color w:val="auto"/>
        </w:rPr>
      </w:pPr>
    </w:p>
    <w:p>
      <w:pPr>
        <w:ind w:right="60"/>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Any product candidate for which we obtain marketing approval could be subject to post</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marketing restrictions or withdrawal from the market, and we may be subject to penalties if we fail to comply with regulatory requirements or if we experience unexpected problems with our products, when and if any of them are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4109720</wp:posOffset>
            </wp:positionH>
            <wp:positionV relativeFrom="paragraph">
              <wp:posOffset>-360045</wp:posOffset>
            </wp:positionV>
            <wp:extent cx="64135" cy="39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51" w:lineRule="exact"/>
        <w:rPr>
          <w:sz w:val="20"/>
          <w:szCs w:val="20"/>
          <w:color w:val="auto"/>
        </w:rPr>
      </w:pPr>
    </w:p>
    <w:p>
      <w:pPr>
        <w:spacing w:after="0" w:line="223" w:lineRule="exact"/>
        <w:rPr>
          <w:sz w:val="20"/>
          <w:szCs w:val="20"/>
          <w:color w:val="auto"/>
        </w:rPr>
      </w:pPr>
      <w:r>
        <w:rPr>
          <w:rFonts w:ascii="Times New Roman" w:cs="Times New Roman" w:eastAsia="Times New Roman" w:hAnsi="Times New Roman"/>
          <w:sz w:val="18"/>
          <w:szCs w:val="18"/>
          <w:color w:val="auto"/>
        </w:rPr>
        <w:t>Any product candidate for which we obtain marketing approval, along with the manufacturing processes,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clinical data, labeling, advertising and promotional activities for such product, will be subject to the continual requirements of and review by the FDA and other regulatory authorities. These requirements include submissions of safety and other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information and reports, registration and listing requirements, cGMP requirements relating to manufacturing, quality control, quality assurance and corresponding maintenance of records and documents, requirements regarding the distribution of samples to physicians and recordkeeping. We and our contract manufacturers will also be subject to continual review and periodic inspections to assess compliance with cGMP. Accordingly, we and others with whom we work must continue to expend time, money and effort in all areas of regulatory compliance, including manufacturing, production and quality control.</w:t>
      </w:r>
    </w:p>
    <w:p>
      <w:pPr>
        <w:spacing w:after="0" w:line="20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Even if marketing approval of a product candidate is granted, the approval may be subject to limitations on the indicated uses for which the product may be marketed or to the conditions of approval, including the requirement to implement a risk</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00"/>
          </w:cols>
          <w:pgMar w:left="240" w:top="121" w:right="2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evaluation and mitigation strategy, or REMS, which could include requirements for a medication guide, physician communication plans or additional elements to ensure safe use, such as restricted distribution methods, patient registries and other risk mitigation tools. If any of our product candidates receives marketing approval, the accompanying label may limit the approved use of our product, which could limit sales of the product.</w:t>
      </w:r>
    </w:p>
    <w:p>
      <w:pPr>
        <w:spacing w:after="0" w:line="147" w:lineRule="exact"/>
        <w:rPr>
          <w:sz w:val="20"/>
          <w:szCs w:val="20"/>
          <w:color w:val="auto"/>
        </w:rPr>
      </w:pPr>
    </w:p>
    <w:p>
      <w:pPr>
        <w:spacing w:after="0" w:line="224" w:lineRule="exact"/>
        <w:rPr>
          <w:sz w:val="20"/>
          <w:szCs w:val="20"/>
          <w:color w:val="auto"/>
        </w:rPr>
      </w:pPr>
      <w:r>
        <w:rPr>
          <w:rFonts w:ascii="Times New Roman" w:cs="Times New Roman" w:eastAsia="Times New Roman" w:hAnsi="Times New Roman"/>
          <w:sz w:val="18"/>
          <w:szCs w:val="18"/>
          <w:color w:val="auto"/>
        </w:rPr>
        <w:t>The FDA may also impose requirements for costly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studies or clinical trials and surveillance to monitor the safety or efficacy of our approved products. The FDA closely regulates the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marketing and promotion of drugs and biologics to ensure they are marketed only for the approved indications and in accordance with the provisions of the approved labeling. The FDA imposes stringent restrictions on manufacturers’ communications regarding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use, and if we market our products outside of their approved indications, we may be subject to enforcement action for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label marketing. Violations of the FDA’s restrictions relating to the promotion of prescription products may also lead to investigations alleging violations of federal and state health care fraud and abuse laws, as well as state consumer protection laws.</w:t>
      </w:r>
    </w:p>
    <w:p>
      <w:pPr>
        <w:spacing w:after="0" w:line="201"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addition, if a regulatory agency or we later discover previously unknown problems with our products, such as adverse events of unexpected severity or frequency, problems with manufacturers or manufacturing processes, or failure to comply with regulatory requirements, the regulatory agency may impose restrictions on the products or us, including requiring withdrawal of the product from the market. Any failure to comply with applicable regulatory requirements may yield various results, including:</w:t>
      </w:r>
    </w:p>
    <w:p>
      <w:pPr>
        <w:spacing w:after="0" w:line="180" w:lineRule="exact"/>
        <w:rPr>
          <w:sz w:val="20"/>
          <w:szCs w:val="20"/>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patients taking our products;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such products, manufacturers or manufacturing processes;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labeling or marketing of a product;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product distribution or use;</w:t>
      </w:r>
    </w:p>
    <w:p>
      <w:pPr>
        <w:spacing w:after="0" w:line="196"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studies or clinical trials;</w:t>
      </w:r>
    </w:p>
    <w:p>
      <w:pPr>
        <w:spacing w:after="0" w:line="25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products from the market;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termination of ongoing clinical trials;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 of products;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relationships with existing and potential collaborators;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press coverage and damage to our reputation;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civil or criminal penalties.</w:t>
      </w:r>
    </w:p>
    <w:p>
      <w:pPr>
        <w:spacing w:after="0" w:line="200" w:lineRule="exact"/>
        <w:rPr>
          <w:sz w:val="20"/>
          <w:szCs w:val="20"/>
          <w:color w:val="auto"/>
        </w:rPr>
      </w:pPr>
    </w:p>
    <w:p>
      <w:pPr>
        <w:spacing w:after="0" w:line="241"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Noncompliance with other requirements in foreign jurisdictions regarding safety monitoring or pharmacovigilance can also result in significant financial penalties. Similarly, failure to comply with U.S. and foreign regulatory requirements regarding the</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380"/>
          </w:cols>
          <w:pgMar w:left="240" w:top="121" w:right="2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of products for pediatric populations and the protection of personal health information can also lead to significant penalties and sanctions.</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If regulatory sanctions are applied or if regulatory approval is withheld or withdrawn, the value of our company and our operating results will be adversely affected.</w:t>
      </w:r>
    </w:p>
    <w:p>
      <w:pPr>
        <w:spacing w:after="0" w:line="18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FDA’s and other regulatory authorities’ policies may change and additional government regulations may be enacted that could prevent, limit or delay regulatory approval of our product candidates. For example, in December 2016, the 21st Century Cures Act, or Cures Act, was signed into law. The Cures Act, among other things, is intended to modernize the regulation of drugs and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also cannot predict the likelihood, nature or extent of government regulation that may arise from future legislation or administrative or executive action, either in the United States or abroad. For example, certain policies of the current presidential administration may impact our business and industry. Namely, the current presidential administration has taken several executive actions, including the issuance of a number of Executive Orders, that could impose significant burdens on, or otherwise materially delay, FDA’s ability to engage in routine regulatory and oversight activities such as implementing statutes through rulemaking, issuance of guidance, and review and approval of marketing applications. If these executive actions impose constraints on FDA’s ability to engage in oversight and implementation activities in the normal course, our business may be negatively impacted.</w:t>
      </w:r>
    </w:p>
    <w:p>
      <w:pPr>
        <w:spacing w:after="0" w:line="375" w:lineRule="exact"/>
        <w:rPr>
          <w:sz w:val="20"/>
          <w:szCs w:val="20"/>
          <w:color w:val="auto"/>
        </w:rPr>
      </w:pPr>
    </w:p>
    <w:p>
      <w:pPr>
        <w:ind w:right="140"/>
        <w:spacing w:after="0" w:line="232" w:lineRule="exact"/>
        <w:rPr>
          <w:sz w:val="20"/>
          <w:szCs w:val="20"/>
          <w:color w:val="auto"/>
        </w:rPr>
      </w:pPr>
      <w:r>
        <w:rPr>
          <w:rFonts w:ascii="Times New Roman" w:cs="Times New Roman" w:eastAsia="Times New Roman" w:hAnsi="Times New Roman"/>
          <w:sz w:val="18"/>
          <w:szCs w:val="18"/>
          <w:b w:val="1"/>
          <w:bCs w:val="1"/>
          <w:i w:val="1"/>
          <w:iCs w:val="1"/>
          <w:color w:val="auto"/>
        </w:rPr>
        <w:t>We are subject to U.S. and certain foreign export and import controls, sanctions, embargoes, anti</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corruption laws, and anti</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money laundering laws and regulations. Compliance with these legal standards could impair our ability to compete in domestic and international markets. We can face criminal liability and other serious consequences for violations, which can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4564380</wp:posOffset>
            </wp:positionH>
            <wp:positionV relativeFrom="paragraph">
              <wp:posOffset>-360045</wp:posOffset>
            </wp:positionV>
            <wp:extent cx="64135" cy="393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5795645</wp:posOffset>
            </wp:positionH>
            <wp:positionV relativeFrom="paragraph">
              <wp:posOffset>-360045</wp:posOffset>
            </wp:positionV>
            <wp:extent cx="64135" cy="39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80" w:lineRule="exact"/>
        <w:rPr>
          <w:sz w:val="20"/>
          <w:szCs w:val="20"/>
          <w:color w:val="auto"/>
        </w:rPr>
      </w:pPr>
    </w:p>
    <w:p>
      <w:pPr>
        <w:ind w:right="120"/>
        <w:spacing w:after="0" w:line="218" w:lineRule="exact"/>
        <w:rPr>
          <w:sz w:val="20"/>
          <w:szCs w:val="20"/>
          <w:color w:val="auto"/>
        </w:rPr>
      </w:pPr>
      <w:r>
        <w:rPr>
          <w:rFonts w:ascii="Times New Roman" w:cs="Times New Roman" w:eastAsia="Times New Roman" w:hAnsi="Times New Roman"/>
          <w:sz w:val="18"/>
          <w:szCs w:val="18"/>
          <w:color w:val="auto"/>
        </w:rPr>
        <w:t>We are subject to export control and import laws and regulations, including the U.S. Export Administration Regulations, U.S. Customs regulations, various economic and trade sanctions regulations administered by the U.S. Treasury Department’s Office of Foreign Assets Controls, the U.S. Foreign Corrupt Practices Act of 1977, as amended, the U.S. domestic bribery statute contained in 18 U.S.C. § 201, the U.S. Travel Act, the USA PATRIOT Act, and other state and national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bribery and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money laundering laws in the countries in which we conduct activities.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corruption laws are interpreted broadly and prohibit companies and their employees, agents, contractors and other partners from authorizing, promising, offering or providing, directly or indirectly, improper payments or anything else of value to recipients in the public or private sector. We may engage third parties for clinical trials outside of the United States, to sell our product candidates abroad once we enter a commercialization phase, and/or to obtain necessary permits, licenses, patent registrations, and other regulatory approvals. We have direct or indirect interactions with officials and employees of government agencies or government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affiliated hospitals, universities and other organizations. We can be held liable for the corrupt or other illegal activities of our employees, agents, contractors and other partners, even if we do not explicitly authorize or have actual knowledge of such activities. Our violations of the laws and regulations described above may result in substantial civil and criminal fines and penalties, imprisonment, the loss of export or import privileges, debarment, tax reassessments, breach of contract and fraud litigation, reputational harm and other consequences.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229"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In some countries, the pricing of prescription pharmaceuticals is subject to governmental control. In these countries, pricing negotiations with governmental authorities can take considerable time after the receipt of marketing approval for a product candidates.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coverage and reimbursement have been obtained. Reference pricing used by various countries and parallel distribution or arbitrage between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priced and high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priced countries, can further reduce prices. To obtain reimbursement or pricing approval in some countries, we may be required to conduct a clinical trial that compares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effectiveness of our product candidate to other available therapies, which is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costly. If coverage and reimbursement of our product candidates are unavailable or limited in scope or amount, or if pricing is set at unsatisfactory levels, our business could be harmed, possibly materially.</w:t>
      </w: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00"/>
          </w:cols>
          <w:pgMar w:left="240" w:top="121" w:right="2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contract manufacturers or other third parties fail to comply with environmental, health and safety laws and regulations, we could become subject to fines or penalties or incur costs that could harm our business.</w:t>
      </w:r>
    </w:p>
    <w:p>
      <w:pPr>
        <w:spacing w:after="0" w:line="15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We and our contract manufacturers and other third parties with whom we do business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biological materials and chemicals, such as trichloroethylene.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8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The failure to comply with these laws and regulations also may result in substantial fines, penalties or other sanctions.</w:t>
      </w:r>
    </w:p>
    <w:p>
      <w:pPr>
        <w:spacing w:after="0" w:line="388"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public opinion and increased regulatory scrutiny of gene therapy and genetic research may damage public perception of our product candidates or compromise our ability to conduct our business or obtain regulatory approvals for our product candidates.</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Gene therapy remains a novel technology. Public perception may be influenced by claims that gene therapy is unsafe, and gene therapy may not gain the acceptance of the public or the medical community. In particular, our success will depend upon physicians specializing in the treatment of those diseases that our product candidates target and prescribing treatments that involve the use of our product candidates in lieu of, or in addition to, existing treatments they are already familiar with and for which greater clinical data may be available. More restrictive government regulations or negative public opinion would have a negative effect on our business or financial condition and may delay or impair the development and commercialization of our product candidates or demand for any products we may develop. Our product candidates, including our products that utilize viral delivery systems, could produce adverse events. Adverse events in our clinical trials or following approval of any of our product candidates, even if not ultimately attributable to our product candidates, could result in increased governmental regulation, unfavorable public perception, potential regulatory delays in the testing or approval of our product candidates, stricter labeling requirements for those product candidates that are approved and a decrease in demand for any such product candidates.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obtain and maintain issued patents which are sufficient to protect our product candidates, others could compete against us more directly, which would negatively impact our business.</w:t>
      </w:r>
    </w:p>
    <w:p>
      <w:pPr>
        <w:spacing w:after="0" w:line="15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and other intellectual property protection in the United States and other countries with respect to our proprietary technology and products. We seek to protect our proprietary position by filing patent applications in the United States and abroad related to our novel technologies and product candidates. We also rely on trade secrets to protect aspects of our business that are not amenable to, or that we do not consider appropriate for, patent protection.</w:t>
      </w:r>
    </w:p>
    <w:p>
      <w:pPr>
        <w:spacing w:after="0" w:line="151" w:lineRule="exact"/>
        <w:rPr>
          <w:sz w:val="20"/>
          <w:szCs w:val="20"/>
          <w:color w:val="auto"/>
        </w:rPr>
      </w:pPr>
    </w:p>
    <w:p>
      <w:pPr>
        <w:ind w:right="160"/>
        <w:spacing w:after="0" w:line="223" w:lineRule="exact"/>
        <w:rPr>
          <w:sz w:val="20"/>
          <w:szCs w:val="20"/>
          <w:color w:val="auto"/>
        </w:rPr>
      </w:pPr>
      <w:r>
        <w:rPr>
          <w:rFonts w:ascii="Times New Roman" w:cs="Times New Roman" w:eastAsia="Times New Roman" w:hAnsi="Times New Roman"/>
          <w:sz w:val="18"/>
          <w:szCs w:val="18"/>
          <w:color w:val="auto"/>
        </w:rPr>
        <w:t>The patent prosecution process is expensive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we may not be able to file and prosecute all necessary or desirable patent applications at a reasonable cost, in a timely manner or in all jurisdictions. Prosecution of our patent portfolio is at a very early stage, and we are just beginning to reach the statutory deadlines for deciding whether and where to initiate prosecution in specific foreign jurisdictions by filing national stage applications based on our Patent Cooperation Treaty, or PCT, applications. As those deadlines come due, we will have to decide whether and where to pursue patent protection for the various inventions claimed in our patent portfolio, and we will only have the opportunity to obtain patents in those jurisdictions where we pursue protection. It is also possible that we will fail to identify patentable aspects of our research and development output before it is too late to obtain patent protection. It is possible that defects of form in the preparation or filing of our</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121"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00"/>
        <w:spacing w:after="0" w:line="220" w:lineRule="exact"/>
        <w:rPr>
          <w:sz w:val="20"/>
          <w:szCs w:val="20"/>
          <w:color w:val="auto"/>
        </w:rPr>
      </w:pPr>
      <w:r>
        <w:rPr>
          <w:rFonts w:ascii="Times New Roman" w:cs="Times New Roman" w:eastAsia="Times New Roman" w:hAnsi="Times New Roman"/>
          <w:sz w:val="18"/>
          <w:szCs w:val="18"/>
          <w:color w:val="auto"/>
        </w:rPr>
        <w:t>patents or patent applications may exist, or may arise in the future, such as, with respect to proper priority claims, inventorship, claim scope or patent term adjustments. If there are material defects in the form or preparation of our patents or patent applications, such patents or applications may be invalid and unenforceable. Moreover, our competitors may independently develop equivalent knowledge, methods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Any of these outcomes could impair our ability to prevent competition from third parties, which may have an adverse impact on our business.</w:t>
      </w:r>
    </w:p>
    <w:p>
      <w:pPr>
        <w:spacing w:after="0" w:line="20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some circumstances, we may not have the right to control the preparation, filing and prosecution of patent applications, or to maintain the patents covering technology that we license from third parties. We may also require the cooperation of our licensors to enforce any licensed patent rights, and such cooperation may not be provided. Therefore, these patents and applications may not be prosecuted and enforced in a manner consistent with the best interests of our business. Moreover, we have obligations under our licenses, and any failure to satisfy those obligations could give our licensor the right to terminate the license. Termination of a necessary license could have a material adverse impact on our business.</w:t>
      </w:r>
    </w:p>
    <w:p>
      <w:pPr>
        <w:spacing w:after="0" w:line="184" w:lineRule="exact"/>
        <w:rPr>
          <w:sz w:val="20"/>
          <w:szCs w:val="20"/>
          <w:color w:val="auto"/>
        </w:rPr>
      </w:pPr>
    </w:p>
    <w:p>
      <w:pPr>
        <w:ind w:right="40"/>
        <w:spacing w:after="0" w:line="220" w:lineRule="exact"/>
        <w:rPr>
          <w:sz w:val="20"/>
          <w:szCs w:val="20"/>
          <w:color w:val="auto"/>
        </w:rPr>
      </w:pPr>
      <w:r>
        <w:rPr>
          <w:rFonts w:ascii="Times New Roman" w:cs="Times New Roman" w:eastAsia="Times New Roman" w:hAnsi="Times New Roman"/>
          <w:sz w:val="18"/>
          <w:szCs w:val="18"/>
          <w:color w:val="auto"/>
        </w:rPr>
        <w:t>We currently own nine issued U.S. patents. Although we have patent applications pending, we cannot provide any assurances that any of these pending patent applications will mature into issued patents and, if they do, that such patents or our current patents will include claims with a scope sufficient to protect our product candidates or otherwise provide any competitive advantage. Further, it is possible that a patent claim may provide coverage for some but not all parts of a product candidate or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product. These and other factors may provide opportunities for our competitors to design around our patents, should they issue.</w:t>
      </w:r>
    </w:p>
    <w:p>
      <w:pPr>
        <w:spacing w:after="0" w:line="20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Moreover, other parties may have developed technologies that may be related or competitive to our approach, and may have filed or may file patent applications, and may have received or may receive patents that may overlap or conflict with our patent applications, either by claiming similar methods or by claiming subject matter that could dominate our patent position. In addition, given the early stage of prosecution of our portfolio, it may be some time before we understand how patent offices react to our patent claims and whether they identify prior art of relevance that we have not already considered.</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any owned patents or pending patent applications, or that we were the first to file for patent protection of such inventions, nor can we know whether those from whom we may license patents were the first to make the inventions claimed or were the first to file. For these and other reasons, the issuance, scope, validity, enforceability and commercial value of our patent rights are subject to a level of uncertainty. Our pending and future patent applications may not result in patents being issued that protect our technology or products, in whole or in part, or which effectively prevent others from commercializing competitive technologies and products. Changes in either the patent laws or interpretation of the patent laws in the United States and other countries may diminish the value of our patents or narrow the scope of our patent protection.</w:t>
      </w:r>
    </w:p>
    <w:p>
      <w:pPr>
        <w:spacing w:after="0" w:line="157" w:lineRule="exact"/>
        <w:rPr>
          <w:sz w:val="20"/>
          <w:szCs w:val="20"/>
          <w:color w:val="auto"/>
        </w:rPr>
      </w:pPr>
    </w:p>
    <w:p>
      <w:pPr>
        <w:spacing w:after="0" w:line="221" w:lineRule="exact"/>
        <w:rPr>
          <w:sz w:val="20"/>
          <w:szCs w:val="20"/>
          <w:color w:val="auto"/>
        </w:rPr>
      </w:pPr>
      <w:r>
        <w:rPr>
          <w:rFonts w:ascii="Times New Roman" w:cs="Times New Roman" w:eastAsia="Times New Roman" w:hAnsi="Times New Roman"/>
          <w:sz w:val="18"/>
          <w:szCs w:val="18"/>
          <w:color w:val="auto"/>
        </w:rPr>
        <w:t>We may be subject to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preissuance submission of prior art to the U.S. Patent and Trademark Office, or USPTO, or become involved in opposition, derivation, reexamination, inter partes review,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products and compete directly with us, without payment to us, or result in our inability to manufacture or commercialize product candidates without infringing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 rights. In addition, if the breadth or strength of protection provided by our patents and patent applications is threatened, it could dissuade companies from collaborating with us to license, develop or commercialize current or future product candidates. Furthermore, an adverse decision in an interference proceeding can result in a third party receiving the patent right sought by us, which in turn could affect our ability to develop, market or otherwise commercialize our product candidates. The issuance, scope, validity, enforceability and commercial value of our patents are subject to a level of uncertainty.</w:t>
      </w:r>
    </w:p>
    <w:p>
      <w:pPr>
        <w:spacing w:after="0" w:line="20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 Due to legal standards relating to patentability, validity, enforceability and claim scope of patents covering biotechnological and pharmaceutical inventions, our ability to obtain, maintain and enforce patents is uncertain and involves complex legal and factual questions. Even if issued, a patent’s validity, inventorship, ownership or enforceability is not conclusive. Accordingly, rights under any existing patent or any patents we might obtain or license may not cover our product candidates, or may not provide us with sufficient protection for our product candidates to afford a commercial advantage against competitive products or processes, including those from branded and generic pharmaceutical companies.</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121"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 addition to the protection afforded by patents, we rely on trade secret protection and confidentiality agreements to protect proprietary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or technology that is not covered by our patents. Although our agreements require all of our employees to assign their inventions to us, and we</w:t>
      </w:r>
    </w:p>
    <w:p>
      <w:pPr>
        <w:spacing w:after="0" w:line="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require all of our employees, consultants, advisors and any other third parties who have access to our trade secrets, proprietary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and other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confidential information and technology to enter into appropriate confidentiality agreements, we cannot be certain that our trade secrets, proprietary</w:t>
      </w:r>
    </w:p>
    <w:p>
      <w:pPr>
        <w:spacing w:after="0" w:line="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and other confidential information and technology will not be subject to unauthorized disclosure or that our competitors will not otherwise gain</w:t>
      </w:r>
    </w:p>
    <w:p>
      <w:pPr>
        <w:spacing w:after="0" w:line="11"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access to or independently develop substantially equivalent trade secrets, proprietary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and other information and technology. Furthermore, the 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some foreign countries do not protect proprietary rights to the same extent or in the same manner as the laws of the United States As a result, we may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encounter significant problems in protecting and defending our intellectual property globally. If we are unable to prevent unauthorized disclosure of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 related to our product candidates and technology to third parties, we may not be able to establish or maintain a competitive advantage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market, which could adversely affect our business and operations.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prevent all potential threats to competitive advantages we may have.</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examples are illustrative:</w:t>
      </w:r>
    </w:p>
    <w:p>
      <w:pPr>
        <w:spacing w:after="0" w:line="225" w:lineRule="exact"/>
        <w:rPr>
          <w:sz w:val="20"/>
          <w:szCs w:val="20"/>
          <w:color w:val="auto"/>
        </w:rPr>
      </w:pPr>
    </w:p>
    <w:p>
      <w:pPr>
        <w:ind w:left="34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161"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licensors or collaborators might not have been the first to make the inventions covered by the patents or pending patent applications that we own or have exclusively licensed;</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licensors or collaborators might not have been the first to file patent applications covering certain of our inventions;</w:t>
      </w:r>
    </w:p>
    <w:p>
      <w:pPr>
        <w:spacing w:after="0" w:line="225" w:lineRule="exact"/>
        <w:rPr>
          <w:rFonts w:ascii="Times New Roman" w:cs="Times New Roman" w:eastAsia="Times New Roman" w:hAnsi="Times New Roman"/>
          <w:sz w:val="18"/>
          <w:szCs w:val="18"/>
          <w:color w:val="auto"/>
        </w:rPr>
      </w:pPr>
    </w:p>
    <w:p>
      <w:pPr>
        <w:ind w:left="340" w:right="34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prosecution of our pending patent applications may not result in granted patents;</w:t>
      </w:r>
    </w:p>
    <w:p>
      <w:pPr>
        <w:spacing w:after="0" w:line="225" w:lineRule="exact"/>
        <w:rPr>
          <w:rFonts w:ascii="Times New Roman" w:cs="Times New Roman" w:eastAsia="Times New Roman" w:hAnsi="Times New Roman"/>
          <w:sz w:val="18"/>
          <w:szCs w:val="18"/>
          <w:color w:val="auto"/>
        </w:rPr>
      </w:pPr>
    </w:p>
    <w:p>
      <w:pPr>
        <w:ind w:left="340" w:right="48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patents that we own or have licensed may not cover our products or may be held not infringed, invalid or unenforceable, as a result of legal challenges by our competitors;</w:t>
      </w:r>
    </w:p>
    <w:p>
      <w:pPr>
        <w:spacing w:after="0" w:line="133" w:lineRule="exact"/>
        <w:rPr>
          <w:rFonts w:ascii="Times New Roman" w:cs="Times New Roman" w:eastAsia="Times New Roman" w:hAnsi="Times New Roman"/>
          <w:sz w:val="18"/>
          <w:szCs w:val="18"/>
          <w:color w:val="auto"/>
        </w:rPr>
      </w:pPr>
    </w:p>
    <w:p>
      <w:pPr>
        <w:ind w:left="340" w:right="200" w:hanging="332"/>
        <w:spacing w:after="0" w:line="239" w:lineRule="exact"/>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granted patents that we own or have licensed, especially patents that we either acquire or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if certain information was withheld from or misrepresented to the patent examiner, such patents might be held to be unenforceable;</w:t>
      </w:r>
    </w:p>
    <w:p>
      <w:pPr>
        <w:spacing w:after="0" w:line="199"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protection on our product candidates may expire before we are able to develop and commercialize the product, or before we are able to recover our investment in the product candidates;</w:t>
      </w:r>
    </w:p>
    <w:p>
      <w:pPr>
        <w:spacing w:after="0" w:line="161" w:lineRule="exact"/>
        <w:rPr>
          <w:rFonts w:ascii="Times New Roman" w:cs="Times New Roman" w:eastAsia="Times New Roman" w:hAnsi="Times New Roman"/>
          <w:sz w:val="18"/>
          <w:szCs w:val="18"/>
          <w:color w:val="auto"/>
        </w:rPr>
      </w:pPr>
    </w:p>
    <w:p>
      <w:pPr>
        <w:ind w:left="340" w:right="40" w:hanging="332"/>
        <w:spacing w:after="0" w:line="266" w:lineRule="auto"/>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proprietary technologies that are patentable;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 and</w:t>
      </w:r>
    </w:p>
    <w:p>
      <w:pPr>
        <w:spacing w:after="0" w:line="196" w:lineRule="exact"/>
        <w:rPr>
          <w:rFonts w:ascii="Times New Roman" w:cs="Times New Roman" w:eastAsia="Times New Roman" w:hAnsi="Times New Roman"/>
          <w:sz w:val="18"/>
          <w:szCs w:val="18"/>
          <w:color w:val="auto"/>
        </w:rPr>
      </w:pPr>
    </w:p>
    <w:p>
      <w:pPr>
        <w:ind w:left="340" w:right="540" w:hanging="332"/>
        <w:spacing w:after="0" w:line="239" w:lineRule="exact"/>
        <w:tabs>
          <w:tab w:leader="none" w:pos="3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choose not to file a patent application for certain technologies, trade secrets or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and a third party may subsequently file a patent covering such intellectual property.</w:t>
      </w:r>
    </w:p>
    <w:p>
      <w:pPr>
        <w:spacing w:after="0" w:line="19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patents or may incorrectly interpret the relevance, scope or expiration of a patent, which might adversely affect our ability to develop and market our product candidates.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121" w:right="2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cannot guarantee that any of our patent searches or analyses, including but not limited to the identification of relevant patents, the scope of patent claims or the expiration of relevant patents, are complete and thorough, nor can we be certain that we have identified each and every patent and pending application in the United States and abroad that is relevant to or necessary for the commercialization of our product candidates in any jurisdiction.</w:t>
      </w:r>
    </w:p>
    <w:p>
      <w:pPr>
        <w:spacing w:after="0" w:line="176" w:lineRule="exact"/>
        <w:rPr>
          <w:sz w:val="20"/>
          <w:szCs w:val="20"/>
          <w:color w:val="auto"/>
        </w:rPr>
      </w:pPr>
    </w:p>
    <w:p>
      <w:pPr>
        <w:ind w:right="460"/>
        <w:spacing w:after="0" w:line="229" w:lineRule="exact"/>
        <w:rPr>
          <w:sz w:val="20"/>
          <w:szCs w:val="20"/>
          <w:color w:val="auto"/>
        </w:rPr>
      </w:pPr>
      <w:r>
        <w:rPr>
          <w:rFonts w:ascii="Times New Roman" w:cs="Times New Roman" w:eastAsia="Times New Roman" w:hAnsi="Times New Roman"/>
          <w:sz w:val="18"/>
          <w:szCs w:val="18"/>
          <w:color w:val="auto"/>
        </w:rPr>
        <w:t>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or pipeline molecules. We may incorrectly determine that our product candidates are not covered by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w:t>
      </w:r>
    </w:p>
    <w:p>
      <w:pPr>
        <w:spacing w:after="0" w:line="1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Many patents may cover a marketed product, including but not limited to the composition of the product, methods of use, formulations, cell line constructs, vectors, growth media, production processes and purification processes. The identification of all patents and their expiration dates relevant to the production and sale of an originator product is extraordinarily complex and requires sophisticated legal knowledge in the relevant jurisdiction. It may be impossible to identify all patents in all jurisdictions relevant to a marketed product. Our determination of the expiration date of any patent in the United States or abroad that we consider relevant may be incorrect which may negatively impact our ability to develop and market our product candidates.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failure to identify and correctly interpret relevant patents may negatively impact our ability to develop and market our product candidates.</w:t>
      </w:r>
    </w:p>
    <w:p>
      <w:pPr>
        <w:spacing w:after="0" w:line="200" w:lineRule="exact"/>
        <w:rPr>
          <w:sz w:val="20"/>
          <w:szCs w:val="20"/>
          <w:color w:val="auto"/>
        </w:rPr>
      </w:pPr>
    </w:p>
    <w:p>
      <w:pPr>
        <w:spacing w:after="0" w:line="213"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and know</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how, our business and competitive position would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-51435</wp:posOffset>
            </wp:positionV>
            <wp:extent cx="64135" cy="39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05"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In addition to seeking patents for some of our technology and product candidates, we also rely on trade secrets, including unpatented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technology and other proprietary information, to maintain our competitive position. We seek to protect these trade secrets, in part, by entering into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disclosure and confidentiality agreements with parties who have access to them, such as our employees, corporate collaborators, outside scientific collaborators, contract manufacturers, consultants, advisors and other third parties. We also seek to enter into confidentiality and invention or patent assignment agreements with our employees, advisors and consultants. Despite these efforts, any of these parties may breach the agreements and disclose our proprietary information, including our trade secrets, and we may not be able to obtain adequate remedies for such breaches. Our trade secrets may also be obtained by third parties by other means, such as breaches of our physical or computer security systems. Enforcing a claim that a party illegally disclosed or misappropriated a trade secret is difficult, expensive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the outcome is unpredictable. In addition, some courts inside and outside the United States are less willing or unwilling to protect trade secrets. Moreover,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U.S. patent law could diminish the value of patents in general, thereby impairing our ability to protect our product candidates.</w:t>
      </w:r>
    </w:p>
    <w:p>
      <w:pPr>
        <w:spacing w:after="0" w:line="229" w:lineRule="exact"/>
        <w:rPr>
          <w:sz w:val="20"/>
          <w:szCs w:val="20"/>
          <w:color w:val="auto"/>
        </w:rPr>
      </w:pPr>
    </w:p>
    <w:p>
      <w:pPr>
        <w:ind w:right="20"/>
        <w:spacing w:after="0" w:line="218" w:lineRule="exact"/>
        <w:rPr>
          <w:sz w:val="20"/>
          <w:szCs w:val="20"/>
          <w:color w:val="auto"/>
        </w:rPr>
      </w:pPr>
      <w:r>
        <w:rPr>
          <w:rFonts w:ascii="Times New Roman" w:cs="Times New Roman" w:eastAsia="Times New Roman" w:hAnsi="Times New Roman"/>
          <w:sz w:val="18"/>
          <w:szCs w:val="18"/>
          <w:color w:val="auto"/>
        </w:rPr>
        <w:t>As is the case with other biotechnology companies, our success is heavily dependent on intellectual property, particularly patents. Obtaining and enforcing patents in the biotechnology industry involves both technological and legal complexity, and is therefore costly,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inherently uncertain. In addition, recent patent reform legislation could further increase the uncertainties and costs surrounding the prosecution of our patent applications and the enforcement or defense of our issued patents. On September 16, 2011,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America Invents Act, or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was signed into law.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includes a number of significant changes to U.S. patent law. These include provisions that affect the way patent applications are prosecuted and may also affect patent litigation. The USPTO recently developed new regulations and procedures to govern administration of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and many of the substantive changes to patent law associated with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in particular the first to file provisions, became effective on March 16, 2013. A third party that files a patent application in the USPTO after that date but before us could therefore be awarded a patent covering an invention of ours even if we had made the invention before it was made by the third party. This requires us to be cognizant of the time from invention to filing of a patent application. Thus, for our U.S. patent applications containing a priority claim after March 16, 2013, there is a greater level of uncertainty in the patent law. Moreover, some of the patent applications in our portfolio will be subject to examination under the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law and regulations, while other patents applications in our portfolio will be subject to examination under the law and regulations, as amended by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This introduces additional complexities into the prosecution and management of our portfolio.</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121" w:right="2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line="226" w:lineRule="exact"/>
        <w:rPr>
          <w:sz w:val="20"/>
          <w:szCs w:val="20"/>
          <w:color w:val="auto"/>
        </w:rPr>
      </w:pPr>
      <w:r>
        <w:rPr>
          <w:rFonts w:ascii="Times New Roman" w:cs="Times New Roman" w:eastAsia="Times New Roman" w:hAnsi="Times New Roman"/>
          <w:sz w:val="18"/>
          <w:szCs w:val="18"/>
          <w:color w:val="auto"/>
        </w:rPr>
        <w:t>In addition,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limits where a patentee may file a patent infringement suit and provides opportunities for third parties to challenge any issued patent in the USPTO. These provisions apply to all of our U.S. patents, even those issued before March 16, 2013.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federal court action.</w:t>
      </w:r>
    </w:p>
    <w:p>
      <w:pPr>
        <w:spacing w:after="0" w:line="200" w:lineRule="exact"/>
        <w:rPr>
          <w:sz w:val="20"/>
          <w:szCs w:val="20"/>
          <w:color w:val="auto"/>
        </w:rPr>
      </w:pPr>
    </w:p>
    <w:p>
      <w:pPr>
        <w:ind w:right="140"/>
        <w:spacing w:after="0" w:line="220" w:lineRule="exact"/>
        <w:rPr>
          <w:sz w:val="20"/>
          <w:szCs w:val="20"/>
          <w:color w:val="auto"/>
        </w:rPr>
      </w:pPr>
      <w:r>
        <w:rPr>
          <w:rFonts w:ascii="Times New Roman" w:cs="Times New Roman" w:eastAsia="Times New Roman" w:hAnsi="Times New Roman"/>
          <w:sz w:val="18"/>
          <w:szCs w:val="18"/>
          <w:color w:val="auto"/>
        </w:rPr>
        <w:t>Accordingly, a third party may attempt to use the USPTO procedures to invalidate our patent claims because it may be easier for them to do so relative to challenging the patent in a federal court action. It is not clear what, if any, impact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will have on the operation of our business. However,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20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addition, recent U.S. Supreme Court rulings have narrowed the scope of patent protection available in certain circumstances and weakened the rights of patent owners in certain situations. From time to time, the U.S. Supreme Court, other federal courts, the U.S. Congress or the USPTO may change the standards of patentability, and any such changes could have a negative impact on our business.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Depending on these and other decisions by the U.S. Congress, the federal courts and the USPTO, the laws and regulations governing patents could change or be interpreted in unpredictable ways that would weaken our ability to obtain new patents or to enforce any patents that may issue to us in the future. In addition, these events may adversely affect our ability to defend any patents that may issue in procedures in the USPTO or in courts.</w:t>
      </w:r>
    </w:p>
    <w:p>
      <w:pPr>
        <w:spacing w:after="0" w:line="364" w:lineRule="exact"/>
        <w:rPr>
          <w:sz w:val="20"/>
          <w:szCs w:val="20"/>
          <w:color w:val="auto"/>
        </w:rPr>
      </w:pPr>
    </w:p>
    <w:p>
      <w:pPr>
        <w:ind w:right="500"/>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or other intellectual property, which could be expensive, time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consuming and ultimately unsuccessful.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6150610</wp:posOffset>
            </wp:positionH>
            <wp:positionV relativeFrom="paragraph">
              <wp:posOffset>-223520</wp:posOffset>
            </wp:positionV>
            <wp:extent cx="64135" cy="393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9"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Competitors may infringe our issued patents or other intellectual property. To counter infringement or unauthorized use, we may be required to file infringement claims, which can be expensive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Any claims we assert against perceived infringers could provoke these parties to assert counterclaims against us alleging that we infringe their patents. In addition, in a patent infringement proceeding, a court may decide that one of our patents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which could materially and adversely affect us and our collaborators.</w:t>
      </w:r>
    </w:p>
    <w:p>
      <w:pPr>
        <w:spacing w:after="0" w:line="170" w:lineRule="exact"/>
        <w:rPr>
          <w:sz w:val="20"/>
          <w:szCs w:val="20"/>
          <w:color w:val="auto"/>
        </w:rPr>
      </w:pPr>
    </w:p>
    <w:p>
      <w:pPr>
        <w:ind w:right="40"/>
        <w:spacing w:after="0" w:line="220" w:lineRule="exact"/>
        <w:rPr>
          <w:sz w:val="20"/>
          <w:szCs w:val="20"/>
          <w:color w:val="auto"/>
        </w:rPr>
      </w:pPr>
      <w:r>
        <w:rPr>
          <w:rFonts w:ascii="Times New Roman" w:cs="Times New Roman" w:eastAsia="Times New Roman" w:hAnsi="Times New Roman"/>
          <w:sz w:val="18"/>
          <w:szCs w:val="18"/>
          <w:color w:val="auto"/>
        </w:rPr>
        <w:t>Any litigation to enforce or defend our patent rights, even if we were to prevail, could be costly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would divert the attention of our management and key personnel from our business operations. We may not prevail in any lawsuits that we initiate and the damages or other remedies awarded if we were to prevail may not be commercially meaningful. Even if we are successful, domestic or foreign litigation, or USPTO or foreign patent office proceedings, may result in substantial costs and distraction to our management. We may not be able, alone or with our licensors or potential collaborators, to prevent misappropriation of our proprietary rights, particularly in countries where the laws may not protect such rights as fully as in the United States. Furthermore, because of the substantial amount of discovery required in connection with intellectual property litigation or other proceedings, there is a risk that some of our confidential information could be compromised by disclosure during this type of litigation or other proceedings. In addition, during the course of this kind of litigation or proceedings, there could be public announcements of the results of hearings, motions or other interim proceedings or developments or public access to related documents. If investors perceive these results to be negative, the market price for our common stock could be significantly harmed.</w:t>
      </w:r>
    </w:p>
    <w:p>
      <w:pPr>
        <w:spacing w:after="0" w:line="200" w:lineRule="exact"/>
        <w:rPr>
          <w:sz w:val="20"/>
          <w:szCs w:val="20"/>
          <w:color w:val="auto"/>
        </w:rPr>
      </w:pPr>
    </w:p>
    <w:p>
      <w:pPr>
        <w:spacing w:after="0" w:line="21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59" w:lineRule="exact"/>
        <w:rPr>
          <w:sz w:val="20"/>
          <w:szCs w:val="20"/>
          <w:color w:val="auto"/>
        </w:rPr>
      </w:pPr>
    </w:p>
    <w:p>
      <w:pPr>
        <w:spacing w:after="0" w:line="224" w:lineRule="exact"/>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While no such litigation has been brought against us and we have not been held by any court to have infringed a third party’s intellectual property rights, we cannot guarantee that our technology, product candidates or use of our product candidates do not infringe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are aware of numerous patents and pending applications owned by third parties, and we monitor patents and patent applications in the fields in which we are developing product candidates, both in the United States and elsewhere. However, we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00"/>
          </w:cols>
          <w:pgMar w:left="240" w:top="121" w:right="2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4" w:lineRule="exact"/>
        <w:rPr>
          <w:sz w:val="20"/>
          <w:szCs w:val="20"/>
          <w:color w:val="auto"/>
        </w:rPr>
      </w:pPr>
    </w:p>
    <w:p>
      <w:pPr>
        <w:spacing w:after="0" w:line="221" w:lineRule="exact"/>
        <w:rPr>
          <w:sz w:val="20"/>
          <w:szCs w:val="20"/>
          <w:color w:val="auto"/>
        </w:rPr>
      </w:pPr>
      <w:r>
        <w:rPr>
          <w:rFonts w:ascii="Times New Roman" w:cs="Times New Roman" w:eastAsia="Times New Roman" w:hAnsi="Times New Roman"/>
          <w:sz w:val="18"/>
          <w:szCs w:val="18"/>
          <w:color w:val="auto"/>
        </w:rPr>
        <w:t>may have failed to identify relevant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patents or applications. For example, applications filed before November 29, 2000 and certain applications filed after that date that will not be filed outside the United States remain confidential until patents issue. Moreover, it is difficult for industry participants, including us, to identify all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 rights that may be relevant to our product candidates and technologies because patent searching is imperfect due to differences in terminology among patents, incomplete databases and the difficulty in assessing the meaning of patent claims. We may fail to identify relevant patents or patent applications or may identify pending patent applications of potential interest but incorrectly predict the likelihood that such patent applications may issue with claims of relevance to our technology. In addition, we may be unaware of one or more issued patents that would be infringed by the manufacture, sale or use of a current or future product candidate, or we may incorrectly conclude that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 is invalid, unenforceable or not infringed by our activities. Additionally, pending patent applications that have been published can, subject to certain limitations, be later amended in a manner that could cover our technologies, our product candidates or the use of our product candidates.</w:t>
      </w:r>
    </w:p>
    <w:p>
      <w:pPr>
        <w:spacing w:after="0" w:line="20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biotechnology and pharmaceutical industries are characterized by extensive litigation regarding patents and other intellectual property rights. Other parties may allege that our product candidates or the use of our technologies infringes patent claims or other intellectual property rights held by them or that we are employing their proprietary technology without authorization. We may become party to, or threatened with, future adversarial proceedings or litigation regarding intellectual property rights with respect to our product candidates and technology, including interference or derivation proceedings before the USPTO and similar bodies in other countries. Third parties may assert infringement claims against us based on existing intellectual property rights and intellectual property rights that may be granted in the future. If we were to challenge the validity of an issued U.S. patent in court, such as an issued U.S. patent of potential relevance to some of our product candidates or methods of use, we would need to overcome a statutory presumption of validity that attaches to every U.S. patent. This means that in order to prevail, we would have to present clear and convincing evidence as to the invalidity of the patent’s claims. There is no assurance that a court would find in our favor on questions of infringement or validity.</w:t>
      </w:r>
    </w:p>
    <w:p>
      <w:pPr>
        <w:spacing w:after="0" w:line="189"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Patent and other types of intellectual property litigation can involve complex factual and legal questions, and their outcome is uncertain. If we are found, or believe there is a risk we may be found, to infringe a third party’s intellectual property rights, we could be required or may choose to obtain a license from such third party to continue developing and marketing our product candidates and technology. However, we may not be able to obtain any such license on commercially reasonable terms or at all. Even if we were able to obtain a license, it could be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w:t>
      </w:r>
    </w:p>
    <w:p>
      <w:pPr>
        <w:spacing w:after="0" w:line="205"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Even if we are successful in such proceedings, we may incur substantial costs and divert management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or redesign our product candidates. Patent litigation is costly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We may not have sufficient resources to bring these actions to a successful conclusion.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intellectual property litigation or claims could force us to do one or more of the following:</w:t>
      </w:r>
    </w:p>
    <w:p>
      <w:pPr>
        <w:spacing w:after="0" w:line="225" w:lineRule="exact"/>
        <w:rPr>
          <w:sz w:val="20"/>
          <w:szCs w:val="20"/>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developing, selling or otherwise commercializing our product candidates;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 for past use of the asserted intellectual property;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asserted intellectual property, which license may not be available on reasonable terms, if at all; and</w:t>
      </w:r>
    </w:p>
    <w:p>
      <w:pPr>
        <w:spacing w:after="0" w:line="225" w:lineRule="exact"/>
        <w:rPr>
          <w:rFonts w:ascii="Times New Roman" w:cs="Times New Roman" w:eastAsia="Times New Roman" w:hAnsi="Times New Roman"/>
          <w:sz w:val="18"/>
          <w:szCs w:val="18"/>
          <w:color w:val="auto"/>
        </w:rPr>
      </w:pPr>
    </w:p>
    <w:p>
      <w:pPr>
        <w:ind w:left="340" w:right="300" w:hanging="332"/>
        <w:spacing w:after="0" w:line="235" w:lineRule="exact"/>
        <w:tabs>
          <w:tab w:leader="none" w:pos="3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trademark claims, redesign or rename some or all of our product candidates, or other brands to avoid infringing the intellectual property rights of third parties, which may not be possible and, even if possible, could be costly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w:t>
      </w:r>
    </w:p>
    <w:p>
      <w:pPr>
        <w:spacing w:after="0" w:line="17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conduct such litigation or proceedings adequately. Some of our competitors may be able to sustain the costs of such litigation or proceedings more effectively than we can because of their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00"/>
          </w:cols>
          <w:pgMar w:left="240" w:top="121" w:right="2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greater financial resources. Uncertainties resulting from the initiation and continuation of patent litigation or other proceedings could compromise our ability to compete in the marketplace.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risks coming to fruition could harm our business.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Issued patents covering our product candidates could be found invalid or unenforceable or could be interpreted narrowly if challenged in court.</w:t>
      </w:r>
    </w:p>
    <w:p>
      <w:pPr>
        <w:spacing w:after="0" w:line="229" w:lineRule="exact"/>
        <w:rPr>
          <w:sz w:val="20"/>
          <w:szCs w:val="20"/>
          <w:color w:val="auto"/>
        </w:rPr>
      </w:pPr>
    </w:p>
    <w:p>
      <w:pPr>
        <w:spacing w:after="0" w:line="217" w:lineRule="exact"/>
        <w:rPr>
          <w:sz w:val="20"/>
          <w:szCs w:val="20"/>
          <w:color w:val="auto"/>
        </w:rPr>
      </w:pPr>
      <w:r>
        <w:rPr>
          <w:rFonts w:ascii="Times New Roman" w:cs="Times New Roman" w:eastAsia="Times New Roman" w:hAnsi="Times New Roman"/>
          <w:sz w:val="18"/>
          <w:szCs w:val="18"/>
          <w:color w:val="auto"/>
        </w:rPr>
        <w:t>Competitors may infringe our intellectual property, including our patents or the patents of our licensors. As a result, we may be required to file infringement claims to stop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infringement or unauthorized use. This can be expensive, particularly for a company of our size,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If we initiated legal proceedings against a third party to enforce a patent, if and when issued, covering one of our product candidates, the defendant could counterclaim that the patent covering our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enablement, or failure to claim patent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eligible subject matter. Grounds for unenforceability assertions include allegations that someone connected with the prosecution of the patent withheld relevant information from the USPTO, or made a misleading statement, during prosecution. Third parties may also raise similar claims before administrative bodies in the United States or abroad, even outside the context of litigation. Such mechanisms include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examination,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grant review, inter partes review, interference proceedings and equivalent proceedings in foreign jurisdictions, such as opposition proceedings. Such proceedings could result in revocation or amendment of our patents in such a way that they no longer cover our product candidates or competitive products. The outcome following legal assertions of invalidity and unenforceability is unpredictable. With respect to validity,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our product candidates. Moreover, even if not found invalid or unenforceable, the claims of our patents could be construed narrowly or in a manner that does not cover the allegedly infringing technology in question. Such a loss of patent protection would have a material adverse impact on our business.</w:t>
      </w:r>
    </w:p>
    <w:p>
      <w:pPr>
        <w:spacing w:after="0" w:line="200" w:lineRule="exact"/>
        <w:rPr>
          <w:sz w:val="20"/>
          <w:szCs w:val="20"/>
          <w:color w:val="auto"/>
        </w:rPr>
      </w:pPr>
    </w:p>
    <w:p>
      <w:pPr>
        <w:spacing w:after="0" w:line="222" w:lineRule="exact"/>
        <w:rPr>
          <w:sz w:val="20"/>
          <w:szCs w:val="20"/>
          <w:color w:val="auto"/>
        </w:rPr>
      </w:pPr>
    </w:p>
    <w:p>
      <w:pPr>
        <w:jc w:val="both"/>
        <w:ind w:right="7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75" w:lineRule="exact"/>
        <w:rPr>
          <w:sz w:val="20"/>
          <w:szCs w:val="20"/>
          <w:color w:val="auto"/>
        </w:rPr>
      </w:pPr>
    </w:p>
    <w:p>
      <w:pPr>
        <w:ind w:right="100"/>
        <w:spacing w:after="0" w:line="219" w:lineRule="exact"/>
        <w:rPr>
          <w:sz w:val="20"/>
          <w:szCs w:val="20"/>
          <w:color w:val="auto"/>
        </w:rPr>
      </w:pPr>
      <w:r>
        <w:rPr>
          <w:rFonts w:ascii="Times New Roman" w:cs="Times New Roman" w:eastAsia="Times New Roman" w:hAnsi="Times New Roman"/>
          <w:sz w:val="18"/>
          <w:szCs w:val="18"/>
          <w:color w:val="auto"/>
        </w:rPr>
        <w:t>Periodic maintenance fees on any issued patent are due to be paid to the USPTO and foreign patent agencies in several stages over the lifetime of the patent and, in some jurisdictions, during the pendency of a patent application.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payment of fees and failure to properly legalize and submit formal documents. In such an event, our competitors might be able to enter the market, which would have an adverse effect on our business.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or ownership of our patents and other intellectual property.</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It is our policy to enter into confidentiality and intellectual property assignment agreements with our employees, consultants, contractors and advisors. These agreements generally provide that inventions conceived by the party in the course of rendering services to us will be our exclusive property. However, these agreements may not be honored and may not 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w:t>
      </w:r>
    </w:p>
    <w:p>
      <w:pPr>
        <w:spacing w:after="0" w:line="18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Litigation may be necessary to defend against these and other claims challenging inventorship or ownership. If we fail in defending any such claims, in addition to paying monetary damages, we may lose valuable intellectual property rights, such as exclusive ownership of, or right to use, valuable intellectual property. Such an outcome could have a material adverse effect on our business. Even if we are successful in defending against such claims, litigation could result in substantial costs and be a distraction to management and other employees.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00"/>
          </w:cols>
          <w:pgMar w:left="240" w:top="121" w:right="2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in our intellectual property licenses and funding arrangements with third parties, we could lose rights that are important to our business.</w:t>
      </w:r>
    </w:p>
    <w:p>
      <w:pPr>
        <w:spacing w:after="0" w:line="15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are party to multiple license agreements that impose, and we may enter into additional licensing and funding arrangements with third parties that may impose, diligence, development and commercialization timelines, milestone payment, royalty, insurance and other obligations on us. Under our existing licensing agreements, we are obligated to pay royalties on net product sales of product candidates or related technologies to the extent they are covered by the agreement. Our results of operations will be affected by the level of royalty payments that we are required to pay to third parties. We cannot precisely predict the amount, if any, of royalties that we will be required to pay to third parties in the future. Any disagreements with the counterparty over the amount of royalties owed could lead to litigation, which is costly. In addition, if we fail to comply with our obligations under current or future license agreements, our counterparties may have the right to terminate these agreements, in which event we might not be able to develop, manufacture or market any product candidate that is covered by these agreements, or may face other penalties under the agreements. Such an occurrence could materially adversely affect the value of product candidates being developed using rights licensed to us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Furthermore, our counterparties may allege that we are operating outside the scope of the licenses granted and terminate our license or otherwise require us to alter development, manufacturing or marketing activities.</w:t>
      </w:r>
    </w:p>
    <w:p>
      <w:pPr>
        <w:spacing w:after="0" w:line="376"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b w:val="1"/>
          <w:bCs w:val="1"/>
          <w:i w:val="1"/>
          <w:iCs w:val="1"/>
          <w:color w:val="auto"/>
        </w:rPr>
        <w:t>We may not be successful in obtaining or maintaining necessary rights to our product candidates through acquisitions and in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licenses.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-51435</wp:posOffset>
            </wp:positionV>
            <wp:extent cx="64135" cy="393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234" w:lineRule="exact"/>
        <w:rPr>
          <w:sz w:val="20"/>
          <w:szCs w:val="20"/>
          <w:color w:val="auto"/>
        </w:rPr>
      </w:pPr>
    </w:p>
    <w:p>
      <w:pPr>
        <w:spacing w:after="0" w:line="218" w:lineRule="exact"/>
        <w:rPr>
          <w:sz w:val="20"/>
          <w:szCs w:val="20"/>
          <w:color w:val="auto"/>
        </w:rPr>
      </w:pPr>
      <w:r>
        <w:rPr>
          <w:rFonts w:ascii="Times New Roman" w:cs="Times New Roman" w:eastAsia="Times New Roman" w:hAnsi="Times New Roman"/>
          <w:sz w:val="18"/>
          <w:szCs w:val="18"/>
          <w:color w:val="auto"/>
        </w:rPr>
        <w:t>We currently have rights to certain intellectual property, through licenses from third parties and under patents and patent applications that we own, to develop our product candidates. Because we may find that our programs require the use of proprietary rights held by third parties, the growth of our business may depend in part on our ability to acquire,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or use these proprietary rights. We may be unable to acquire or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compositions, methods of use, processes or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intellectual property rights from third parties that we identify as necessary for our product candidates. The licensing and acquisition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intellectual property rights is a competitive area, and a number of more established companies are also pursuing strategies to license or acquire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We also may be unable to license or acquire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intellectual property rights on terms that would allow us to make an appropriate return on our investment.</w:t>
      </w:r>
    </w:p>
    <w:p>
      <w:pPr>
        <w:spacing w:after="0" w:line="176" w:lineRule="exact"/>
        <w:rPr>
          <w:sz w:val="20"/>
          <w:szCs w:val="20"/>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If we are unable to successfully obtain rights to required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intellectual property rights or maintain the existing intellectual property rights we have, we may have to abandon development of that program and our business and financial condition could suffer.</w:t>
      </w:r>
    </w:p>
    <w:p>
      <w:pPr>
        <w:spacing w:after="0" w:line="200" w:lineRule="exact"/>
        <w:rPr>
          <w:sz w:val="20"/>
          <w:szCs w:val="20"/>
          <w:color w:val="auto"/>
        </w:rPr>
      </w:pPr>
    </w:p>
    <w:p>
      <w:pPr>
        <w:spacing w:after="0" w:line="21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159" w:lineRule="exact"/>
        <w:rPr>
          <w:sz w:val="20"/>
          <w:szCs w:val="20"/>
          <w:color w:val="auto"/>
        </w:rPr>
      </w:pPr>
    </w:p>
    <w:p>
      <w:pPr>
        <w:ind w:right="20"/>
        <w:spacing w:after="0" w:line="220" w:lineRule="exact"/>
        <w:rPr>
          <w:sz w:val="20"/>
          <w:szCs w:val="20"/>
          <w:color w:val="auto"/>
        </w:rPr>
      </w:pPr>
      <w:r>
        <w:rPr>
          <w:rFonts w:ascii="Times New Roman" w:cs="Times New Roman" w:eastAsia="Times New Roman" w:hAnsi="Times New Roman"/>
          <w:sz w:val="18"/>
          <w:szCs w:val="18"/>
          <w:color w:val="auto"/>
        </w:rPr>
        <w:t>Many of our employees were previously employed at universities or other biotechnology or pharmaceutical companies, including our competitors or potential competitors. We may also engage advisors and consultants who are concurrently employed at universities or other organizations or who perform services for other entities. Although we try to ensure that our employees, advisors and consultants do not use the proprietary information or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of others in their work for us, we may be subject to claims that we or our employees, advisors or consultants have used or disclosed intellectual property, including trade secrets or other proprietary information, of any such party’s former or current employer or in violation of an agreement with another party. Although we have no knowledge of any such claims being alleged to date, if such claims were to arise, litigation may be necessary to defend against any such claims.</w:t>
      </w:r>
    </w:p>
    <w:p>
      <w:pPr>
        <w:spacing w:after="0" w:line="198" w:lineRule="exact"/>
        <w:rPr>
          <w:sz w:val="20"/>
          <w:szCs w:val="20"/>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In addition, while it is our policy to require our employees, consultants, advisors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executing or may be breached, and we may be forced to bring claims against third parties, or defend claims they may bring against us, to determine the ownership of what we regard as our intellectual property. Similarly, we may be subject to claims that an employee, advisor or consultant performed work for us that conflicts with that person’s obligations to a third party, such as an employer, and thus, that the third party has an ownership interest in the intellectual property arising out of work performed for us. Litigation may be necessary to defend against these claims. Although</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00"/>
          </w:cols>
          <w:pgMar w:left="240" w:top="121" w:right="2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 knowledge of any such claims being alleged to date, if such claims were to arise, litigation may be necessary to defend against any such claims.</w:t>
      </w:r>
    </w:p>
    <w:p>
      <w:pPr>
        <w:spacing w:after="0" w:line="225"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Even if we are successful in prosecuting or defending against such claims, litigation could result in substantial costs and be a distraction to management.</w:t>
      </w:r>
    </w:p>
    <w:p>
      <w:pPr>
        <w:spacing w:after="0" w:line="388"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registered or unregistered trademarks or trade names may be challenged, infringed, circumvented or declared generic or determined to be infringing on other marks. We may not be able to protect our rights to these trademarks and trade names, which we need to build name recognition among potential collaborators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impact our financial condition or results of operations.</w:t>
      </w:r>
    </w:p>
    <w:p>
      <w:pPr>
        <w:spacing w:after="0" w:line="200" w:lineRule="exact"/>
        <w:rPr>
          <w:sz w:val="20"/>
          <w:szCs w:val="20"/>
          <w:color w:val="auto"/>
        </w:rPr>
      </w:pPr>
    </w:p>
    <w:p>
      <w:pPr>
        <w:spacing w:after="0" w:line="201"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need to obtain FDA approval for any proposed product names, and any failure or delay associated with such approval may adversely affect our business.</w:t>
      </w:r>
    </w:p>
    <w:p>
      <w:pPr>
        <w:spacing w:after="0" w:line="15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Any proprietary name or trademark we intend to use for our product candidates will require approval from the FDA regardless of whether we have secured a formal trademark registration from the USPTO. The FDA typically conducts a review of proposed product names, including an evaluation of the potential for confusion with other product names. The FDA may also object to a product name if it believes the name inappropriately implies certain medical claims or contributes to an overstatement of efficacy. If the FDA objects to any product names we propose, we may be required to adopt an alternative name for our product candidates. If we adopt an alternative name,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397" w:lineRule="exact"/>
        <w:rPr>
          <w:sz w:val="20"/>
          <w:szCs w:val="20"/>
          <w:color w:val="auto"/>
        </w:rPr>
      </w:pPr>
    </w:p>
    <w:p>
      <w:pPr>
        <w:ind w:right="4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not seek to protect our intellectual property rights in all jurisdictions throughout the world and we may not be able to adequately enforce our intellectual property rights even in the jurisdictions where we seek protection.</w:t>
      </w:r>
    </w:p>
    <w:p>
      <w:pPr>
        <w:spacing w:after="0" w:line="159"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Filing, prosecuting and defending patents on product candidates in all countries and jurisdictions throughout the world would be prohibitively expensive, and our intellectual property rights in some countries outside the United States could be less extensive than in the United States, assuming that rights are obtained in the United States and assuming that rights are pursued outside the United States. In this regard, in addition to the United States, we also seek to protect our intellectual property rights in other countries, including Russia. The statutory deadlines for pursuing patent protection in individual foreign jurisdictions are based on the priority date of each of our patent applications. For all of the patent families in our portfolio, including the families that may provide coverage for our lead product candidate, the relevant statutory deadlines have not yet expired. Therefore, for each of the patent families that we believe provide coverage for our lead product candidate, we will need to decide whether and where to pursue additional protection outside the United States or Russia. In addition, the laws of some foreign countries, do not protect intellectual property rights to the same extent as federal and state laws in the United States. Consequently, for our existing patent rights outside the United States and any foreign patent rights we may decide to pursue in the future, we may not be able to obtain relevant claims and/or we may not be able to prevent third parties from practicing our inventions in all countries outside the United States, or from selling or importing products made using our inventions in and into the United States or other jurisdictions.</w:t>
      </w:r>
    </w:p>
    <w:p>
      <w:pPr>
        <w:spacing w:after="0" w:line="19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Competitors may use our technologies in jurisdictions where we do not pursue and obtain patent protection to develop their own products and further, may export otherwise infringing products to territories where we have patent protection, but enforcement is not as strong as in the United States. These products may compete with our product candidates and our patents or other intellectual property rights may not be effective or sufficient to prevent them from competing. Even if we pursue and</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121"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obtain issued patents in particular jurisdictions, our patent claims or other intellectual property rights may not be effective or sufficient to prevent third parties from so competing.</w:t>
      </w:r>
    </w:p>
    <w:p>
      <w:pPr>
        <w:spacing w:after="0" w:line="162" w:lineRule="exact"/>
        <w:rPr>
          <w:sz w:val="20"/>
          <w:szCs w:val="20"/>
          <w:color w:val="auto"/>
        </w:rPr>
      </w:pPr>
    </w:p>
    <w:p>
      <w:pPr>
        <w:ind w:right="40"/>
        <w:spacing w:after="0" w:line="218" w:lineRule="exact"/>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protection, especially those relating to biotechnology. This could make it difficult for us to stop the infringement of our patents, if obtained,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 Patent protection must ultimately be sought on a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basis, which is an expensive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process with uncertain outcomes. Accordingly, we may choose not to seek patent protection in certain countries, and we will not have the benefit of patent protection in such countries.</w:t>
      </w:r>
    </w:p>
    <w:p>
      <w:pPr>
        <w:spacing w:after="0" w:line="20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If our ability to obtain and, if obtained, enforce our patents to stop infringing activities is inadequate, third parties may compete with our product candidates, and our patents or other intellectual property rights may not be effective or sufficient to prevent them from competing. Accordingly, our intellectual property rights around the world may be inadequate to obtain a significant commercial advantage from the intellectual property we develop or license.</w:t>
      </w:r>
    </w:p>
    <w:p>
      <w:pPr>
        <w:spacing w:after="0" w:line="364" w:lineRule="exact"/>
        <w:rPr>
          <w:sz w:val="20"/>
          <w:szCs w:val="20"/>
          <w:color w:val="auto"/>
        </w:rPr>
      </w:pPr>
    </w:p>
    <w:p>
      <w:pPr>
        <w:ind w:right="80"/>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If we do not obtain additional protection under the Hatch</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Waxman Act and similar foreign legislation extending the terms of our patents for our product candidates, our business may be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-223520</wp:posOffset>
            </wp:positionV>
            <wp:extent cx="64135" cy="393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79"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Depending upon the timing, duration and specifics of FDA regulatory approval for our product candidates, one or more of our U.S. patents may be eligible for limited patent term restoration under the Hatch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Waxman Act. The Hatch</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Waxman Act permits a patent restoration term of up to five years as compensation for patent term lost during product development and the FDA regulatory review process. Patent term restorations, however, are limited to a maximum of five years and cannot extend the remaining term of a patent beyond a total of 14 years from the date of product approval by the FDA.</w:t>
      </w:r>
    </w:p>
    <w:p>
      <w:pPr>
        <w:spacing w:after="0" w:line="20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application for patent term extension is subject to approval by the USPTO, in conjunction with the FDA. It takes at least six months to obtain approval of the application for patent term extension. We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the period during which we will have the right to exclusively market our product will be shortened, our competitors may obtain earlier approval of competing products and our ability to generate revenues could be materially adversely affected.</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competition from biosimilars, which may have a material adverse effect on the future commercial prospects of our product candidates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40"/>
        <w:spacing w:after="0" w:line="218" w:lineRule="exact"/>
        <w:rPr>
          <w:sz w:val="20"/>
          <w:szCs w:val="20"/>
          <w:color w:val="auto"/>
        </w:rPr>
      </w:pPr>
      <w:r>
        <w:rPr>
          <w:rFonts w:ascii="Times New Roman" w:cs="Times New Roman" w:eastAsia="Times New Roman" w:hAnsi="Times New Roman"/>
          <w:sz w:val="18"/>
          <w:szCs w:val="18"/>
          <w:color w:val="auto"/>
        </w:rPr>
        <w:t>Even if we are successful in achieving regulatory approval to commercialize a product candidate faster than our competitors, we may face competition from biosimilars. In the United States, the Biologics Price Competition and Innovation Act of 2009 created an abbreviated approval pathway for biological products that are demonstrated to be “highly similar,” or biosimilar, to or “interchangeable” with an FDA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approved biological product. This new pathway could allow competitors to reference data from innovative biological products 12 years after the time of approval of the innovative biological product. This data exclusivity does not prevent another company from developing a product that is highly similar to the innovative product, generating its own data, and seeking approval. Data exclusivity only assures that another company cannot rely upon the data within the innovator’s application to support the biosimilar product’s approval. In his proposed budget for fiscal year 2017, President Obama proposed to cut this 12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of exclusivity down to seven years. He also proposed to prohibit additional periods of exclusivity due to minor changes in product formulations, a practice often referred to as “evergreening.” While President Obama has proposed these measures in previous years without success, it is possible that Congress may take these or other measures to reduce or eliminate periods of exclusivity. The Biologics Price Competition and Innovation Act of 2009 is complex and only beginning to be interpreted and implemented by the FDA. As a result, its ultimate impact, implementation and meaning is subject to uncertainty. Although it is uncertain when any such processes may be fully adopted by the FDA, any such processes could have a material adverse effect on the future commercial prospects for our product candidates.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420"/>
          </w:cols>
          <w:pgMar w:left="240" w:top="121" w:right="2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ind w:right="980"/>
        <w:spacing w:after="0" w:line="503" w:lineRule="auto"/>
        <w:rPr>
          <w:sz w:val="20"/>
          <w:szCs w:val="20"/>
          <w:color w:val="auto"/>
        </w:rPr>
      </w:pPr>
      <w:r>
        <w:rPr>
          <w:rFonts w:ascii="Times New Roman" w:cs="Times New Roman" w:eastAsia="Times New Roman" w:hAnsi="Times New Roman"/>
          <w:sz w:val="18"/>
          <w:szCs w:val="18"/>
          <w:b w:val="1"/>
          <w:bCs w:val="1"/>
          <w:color w:val="auto"/>
        </w:rPr>
        <w:t xml:space="preserve">RISKS RELATED TO EMPLOYEE MATTERS AND MANAGING GROWTH AND OTHER RISKS RELATED TO OUR BUSINESS </w:t>
      </w: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We are highly dependent on Werner Cautreels, Ph.D., our President and Chief Executive Officer, as well as the other principal members of our management, scientific and clinical team. Although we have entered into employment agreements or offer letters with Dr. Cautreels and certain of our executive officers, each of them may terminate their employment with us at any time. We do not maintain “key person” insurance for any of our executives or other employees.</w:t>
      </w:r>
    </w:p>
    <w:p>
      <w:pPr>
        <w:spacing w:after="0" w:line="15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Recruiting and retaining qualified scientific, clinical,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200" w:lineRule="exact"/>
        <w:rPr>
          <w:sz w:val="20"/>
          <w:szCs w:val="20"/>
          <w:color w:val="auto"/>
        </w:rPr>
      </w:pPr>
    </w:p>
    <w:p>
      <w:pPr>
        <w:spacing w:after="0" w:line="205"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expand our development and regulatory capabilities and potentially implement sales, marketing and distribution capabilities, and as a result, we may encounter difficulties in managing our growth, which could disrupt our operations.</w:t>
      </w:r>
    </w:p>
    <w:p>
      <w:pPr>
        <w:spacing w:after="0" w:line="15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expect to experience significant growth in the number of our employees and the scope of our operations, particularly in the areas of lead discovery and product development, regulatory affairs, clinical affairs and manufacturing and, if any of our product candidates receives marketing approval, sales, marketing and distribution. To manage our expected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expected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variety of risks associated with operating in Russia and internationally could adversely affect our business.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In addition to our U.S. operations, we have operations in Russia through our wholly owned subsidiary, Selecta RUS, and may expand international operations in the future, including by conducting clinical trials of our product candidates in countries outside the United States, including Russia and Belgium. We face risks associated with our operations in Russia, including possible unfavorable regulatory, pricing and reimbursement, legal, political, tax and labor conditions, which could harm our business.</w:t>
      </w:r>
    </w:p>
    <w:p>
      <w:pPr>
        <w:spacing w:after="0" w:line="180"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We may also rely on collaborators to commercialize any approved product candidates outside of the United States. Doing business in Russia and internationally involves a number of risks, including but not limited to:</w:t>
      </w:r>
    </w:p>
    <w:p>
      <w:pPr>
        <w:spacing w:after="0" w:line="162" w:lineRule="exact"/>
        <w:rPr>
          <w:sz w:val="20"/>
          <w:szCs w:val="20"/>
          <w:color w:val="auto"/>
        </w:rPr>
      </w:pPr>
    </w:p>
    <w:p>
      <w:pPr>
        <w:ind w:left="340" w:right="72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privacy regulations, tax laws, export and import restrictions, employment laws, regulatory requirements and other governmental approvals, permits and licenses;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obtain and maintain regulatory approvals for the use of our product candidates in various countries;</w:t>
      </w:r>
    </w:p>
    <w:p>
      <w:pPr>
        <w:spacing w:after="0" w:line="196"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potentially relevant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 rights;</w:t>
      </w:r>
    </w:p>
    <w:p>
      <w:pPr>
        <w:spacing w:after="0" w:line="25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and difficulties in obtaining protection of and enforcing our intellectual property rights;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operations;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121" w:right="2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40" w:lineRule="exact"/>
        <w:rPr>
          <w:sz w:val="20"/>
          <w:szCs w:val="20"/>
          <w:color w:val="auto"/>
        </w:rPr>
      </w:pPr>
    </w:p>
    <w:p>
      <w:pPr>
        <w:ind w:left="340" w:hanging="332"/>
        <w:spacing w:after="0" w:line="207" w:lineRule="exact"/>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payor reimbursement regimes, government payors or patient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 systems;</w:t>
      </w:r>
    </w:p>
    <w:p>
      <w:pPr>
        <w:spacing w:after="0" w:line="25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w:t>
      </w:r>
    </w:p>
    <w:p>
      <w:pPr>
        <w:spacing w:after="0" w:line="225" w:lineRule="exact"/>
        <w:rPr>
          <w:rFonts w:ascii="Times New Roman" w:cs="Times New Roman" w:eastAsia="Times New Roman" w:hAnsi="Times New Roman"/>
          <w:sz w:val="18"/>
          <w:szCs w:val="18"/>
          <w:color w:val="auto"/>
        </w:rPr>
      </w:pPr>
    </w:p>
    <w:p>
      <w:pPr>
        <w:jc w:val="both"/>
        <w:ind w:left="340" w:right="100" w:hanging="332"/>
        <w:spacing w:after="0" w:line="266"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collecting accounts receivable, the impact of local and regional financial crises on demand and payment for our product candidates and exposure to foreign currency exchange rate fluctuations, which could result in increased operating expenses and reduced revenues;</w:t>
      </w:r>
    </w:p>
    <w:p>
      <w:pPr>
        <w:spacing w:after="0" w:line="176" w:lineRule="exact"/>
        <w:rPr>
          <w:rFonts w:ascii="Times New Roman" w:cs="Times New Roman" w:eastAsia="Times New Roman" w:hAnsi="Times New Roman"/>
          <w:sz w:val="18"/>
          <w:szCs w:val="18"/>
          <w:color w:val="auto"/>
        </w:rPr>
      </w:pPr>
    </w:p>
    <w:p>
      <w:pPr>
        <w:ind w:left="340" w:right="10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events of terrorism and political unrest, outbreak of disease, boycotts, curtailment of trade and other business restrictions and economic weakness, including inflation;</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diplomatic and trade relationships;</w:t>
      </w:r>
    </w:p>
    <w:p>
      <w:pPr>
        <w:spacing w:after="0" w:line="225" w:lineRule="exact"/>
        <w:rPr>
          <w:rFonts w:ascii="Times New Roman" w:cs="Times New Roman" w:eastAsia="Times New Roman" w:hAnsi="Times New Roman"/>
          <w:sz w:val="18"/>
          <w:szCs w:val="18"/>
          <w:color w:val="auto"/>
        </w:rPr>
      </w:pPr>
    </w:p>
    <w:p>
      <w:pPr>
        <w:ind w:left="340" w:right="24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enforcing our contractual and intellectual property rights, especially in those foreign countries that do not respect and protect intellectual property rights to the same extent as the United States;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expenses including, among others, expenses for travel, translation and insurance;</w:t>
      </w:r>
    </w:p>
    <w:p>
      <w:pPr>
        <w:spacing w:after="0" w:line="225" w:lineRule="exact"/>
        <w:rPr>
          <w:rFonts w:ascii="Times New Roman" w:cs="Times New Roman" w:eastAsia="Times New Roman" w:hAnsi="Times New Roman"/>
          <w:sz w:val="18"/>
          <w:szCs w:val="18"/>
          <w:color w:val="auto"/>
        </w:rPr>
      </w:pPr>
    </w:p>
    <w:p>
      <w:pPr>
        <w:ind w:left="340" w:right="120" w:hanging="332"/>
        <w:spacing w:after="0" w:line="282" w:lineRule="auto"/>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risks, including use of the legal system by the government to benefit itself or affiliated entities at our expense, including expropriation of property; and</w:t>
      </w:r>
    </w:p>
    <w:p>
      <w:pPr>
        <w:spacing w:after="0" w:line="161" w:lineRule="exact"/>
        <w:rPr>
          <w:rFonts w:ascii="Times New Roman" w:cs="Times New Roman" w:eastAsia="Times New Roman" w:hAnsi="Times New Roman"/>
          <w:sz w:val="18"/>
          <w:szCs w:val="18"/>
          <w:color w:val="auto"/>
        </w:rPr>
      </w:pPr>
    </w:p>
    <w:p>
      <w:pPr>
        <w:ind w:left="340" w:right="200" w:hanging="332"/>
        <w:spacing w:after="0" w:line="235" w:lineRule="exact"/>
        <w:tabs>
          <w:tab w:leader="none" w:pos="3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sales and activities that may fall within the purview of the FCPA its books and records provisions, or its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bribery provisions.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of these factors could significantly harm our future international expansion and operations and, consequently, our results of operations.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Sanctions relating to Russia, and Russia’s response to those sanctions, could adversely affect our business.</w:t>
      </w:r>
    </w:p>
    <w:p>
      <w:pPr>
        <w:spacing w:after="0" w:line="229" w:lineRule="exact"/>
        <w:rPr>
          <w:sz w:val="20"/>
          <w:szCs w:val="20"/>
          <w:color w:val="auto"/>
        </w:rPr>
      </w:pPr>
    </w:p>
    <w:p>
      <w:pPr>
        <w:ind w:right="200"/>
        <w:spacing w:after="0" w:line="220" w:lineRule="exact"/>
        <w:rPr>
          <w:sz w:val="20"/>
          <w:szCs w:val="20"/>
          <w:color w:val="auto"/>
        </w:rPr>
      </w:pPr>
      <w:r>
        <w:rPr>
          <w:rFonts w:ascii="Times New Roman" w:cs="Times New Roman" w:eastAsia="Times New Roman" w:hAnsi="Times New Roman"/>
          <w:sz w:val="18"/>
          <w:szCs w:val="18"/>
          <w:color w:val="auto"/>
        </w:rPr>
        <w:t>Due to Russia’s intervention in Ukraine, the United States and the European Union have imposed sanctions on certain individuals, companies and financial institutions in Russia and additional sanctions could be forthcoming. In response, Russia has imposed entry bans on certain U.S. lawmakers and officials. If the United States and European Union were to impose additional sanctions on Russian businesses, or if Russia were to take retaliatory action against U.S. companies operating in Russia, our research and development activities with respect to our program for HPV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associated cancers currently conducted by Selecta RUS, or any other research and development activities with respect to our other immune stimulation programs conducted by Selecta RUS in the future, could be adversely affected.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would suffer in the event of system failures.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current and future contractors and consultants are vulnerable to damage from computer viruses, unauthorized access, natural disasters, terrorism, war and telecommunication and electrical failures. While we are not aware of any such material system failure, accident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third parties to manufacture our product candidates and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200" w:lineRule="exact"/>
        <w:rPr>
          <w:sz w:val="20"/>
          <w:szCs w:val="20"/>
          <w:color w:val="auto"/>
        </w:rPr>
      </w:pPr>
    </w:p>
    <w:p>
      <w:pPr>
        <w:spacing w:after="0" w:line="201"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principal investigators, CROs, consultants, commercial partners and vendors may engage in misconduct or other improper activities, including noncompliance with regulatory standards and requirements, which could expose us to liability and hurt our reputation.</w:t>
      </w:r>
    </w:p>
    <w:p>
      <w:pPr>
        <w:spacing w:after="0" w:line="17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are exposed to the risk that our employees, independent contractors, principal investigators, CROs, consultants, commercial partners and vendors may engage in fraudulent conduct or other illegal activity. Misconduct by these parties could include</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00"/>
          </w:cols>
          <w:pgMar w:left="240" w:top="121" w:right="25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intentional, reckless and/or negligent conduct or disclosure of unauthorized activities to us that violates: (1) FDA laws and regulations, including those laws that require the reporting of true, complete and accurate information to the FDA, (2) manufacturing standards, (3) healthcare fraud and abuse laws, or (4) laws that require the true, complete and accurate reporting of financial information or data. Activities subject to these laws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financial results, including, without limitation, the imposition of significant civil, criminal and administrative penalties, damages, monetary fines, possible exclusion from participation in Medicare, Medicaid and other federal healthcare programs, reputational harm, diminished profits and future earnings, and curtailment of our operations, any of which could adversely affect our ability to operate our business and our results of operations.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Acquisitions or joint ventures could disrupt our business, cause dilution to our stockholders and otherwise harm our business.</w:t>
      </w:r>
    </w:p>
    <w:p>
      <w:pPr>
        <w:spacing w:after="0" w:line="22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We may acquire other businesses, product candidates or technologies as well as pursue strategic alliances, joint ventures, technology licenses or investments in complementary businesses. We have not made any acquisitions to date, and our ability to do so successfully is unproven. Any of these transactions could be material to our financial condition and operating results and expose us to many risks, including:</w:t>
      </w:r>
    </w:p>
    <w:p>
      <w:pPr>
        <w:spacing w:after="0" w:line="176"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our relationships with future customers or with current or future distributors or suppliers as a result of such a transaction;</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liabilities related to acquired companies;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integrating acquired personnel, technologies and operations into our existing business;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our business to acquisition integration challenges;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our expenses and reductions in our cash available for operations and other uses;</w:t>
      </w:r>
    </w:p>
    <w:p>
      <w:pPr>
        <w:spacing w:after="0" w:line="196"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offs or impairment charges relating to acquired businesses; and</w:t>
      </w:r>
    </w:p>
    <w:p>
      <w:pPr>
        <w:spacing w:after="0" w:line="25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develop a sales force for any additional product candidates.</w:t>
      </w:r>
    </w:p>
    <w:p>
      <w:pPr>
        <w:spacing w:after="0" w:line="225"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w:t>
      </w:r>
    </w:p>
    <w:p>
      <w:pPr>
        <w:spacing w:after="0" w:line="162" w:lineRule="exact"/>
        <w:rPr>
          <w:sz w:val="20"/>
          <w:szCs w:val="20"/>
          <w:color w:val="auto"/>
        </w:rPr>
      </w:pPr>
    </w:p>
    <w:p>
      <w:pPr>
        <w:jc w:val="both"/>
        <w:ind w:right="360"/>
        <w:spacing w:after="0" w:line="220" w:lineRule="exact"/>
        <w:rPr>
          <w:sz w:val="20"/>
          <w:szCs w:val="20"/>
          <w:color w:val="auto"/>
        </w:rPr>
      </w:pPr>
      <w:r>
        <w:rPr>
          <w:rFonts w:ascii="Times New Roman" w:cs="Times New Roman" w:eastAsia="Times New Roman" w:hAnsi="Times New Roman"/>
          <w:sz w:val="18"/>
          <w:szCs w:val="18"/>
          <w:color w:val="auto"/>
        </w:rPr>
        <w:t>Also, the expected benefit of any acquisition may not materialize. Future acquisitions or dispositions could result in potentially dilutive issuances of our equity securities, the incurrence of debt, contingent liabilities or amortization expenses or write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offs of goodwill, any of which could harm our financial condition. We cannot predict the number, timing or size of future joint ventures or acquisitions, or the effect that any such transactions might have on our operating results.</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00" w:lineRule="exact"/>
        <w:rPr>
          <w:sz w:val="20"/>
          <w:szCs w:val="20"/>
          <w:color w:val="auto"/>
        </w:rPr>
      </w:pPr>
    </w:p>
    <w:p>
      <w:pPr>
        <w:spacing w:after="0" w:line="24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and fluctuate substantially, which could result in substantial losses for purchasers of our common stock.</w:t>
      </w:r>
    </w:p>
    <w:p>
      <w:pPr>
        <w:spacing w:after="0" w:line="159"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is likely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00"/>
          </w:cols>
          <w:pgMar w:left="240" w:top="121" w:right="2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particular companies. As a result of this volatility, you may not be able to sell your common stock at or above the price at which you purchased. The market price for our common stock may be influenced by many factors, including:</w:t>
      </w:r>
    </w:p>
    <w:p>
      <w:pPr>
        <w:spacing w:after="0" w:line="162"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clinical trials of our product candidates or those of our competitors;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or discontinuation of any of our development programs;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termination of, or any development related to any collaboration or licensing arrangement;</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United States and other countries;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 candidates that may address our markets and make our product candidates less attractive;</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physician, hospital or healthcare provider practices that may make our product candidates less useful;</w:t>
      </w:r>
    </w:p>
    <w:p>
      <w:pPr>
        <w:spacing w:after="0" w:line="225" w:lineRule="exact"/>
        <w:rPr>
          <w:rFonts w:ascii="Times New Roman" w:cs="Times New Roman" w:eastAsia="Times New Roman" w:hAnsi="Times New Roman"/>
          <w:sz w:val="18"/>
          <w:szCs w:val="18"/>
          <w:color w:val="auto"/>
        </w:rPr>
      </w:pPr>
    </w:p>
    <w:p>
      <w:pPr>
        <w:ind w:left="340" w:right="600" w:hanging="332"/>
        <w:spacing w:after="0" w:line="282"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our partners or our competitors of significant acquisitions, strategic partnerships, joint ventures, collaborations or capital commitments;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market expectation of additional financing efforts;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expenses related to any of our product candidates or clinical development programs;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meet or exceed financial estimates, projections or development timelines of the investment community or that we provide to the public;</w:t>
      </w:r>
    </w:p>
    <w:p>
      <w:pPr>
        <w:spacing w:after="0" w:line="196" w:lineRule="exact"/>
        <w:rPr>
          <w:rFonts w:ascii="Times New Roman" w:cs="Times New Roman" w:eastAsia="Times New Roman" w:hAnsi="Times New Roman"/>
          <w:sz w:val="18"/>
          <w:szCs w:val="18"/>
          <w:color w:val="auto"/>
        </w:rPr>
      </w:pPr>
    </w:p>
    <w:p>
      <w:pPr>
        <w:ind w:left="340" w:hanging="332"/>
        <w:spacing w:after="0" w:line="207" w:lineRule="exact"/>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discover, develop, acquire or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additional product candidates or products;</w:t>
      </w:r>
    </w:p>
    <w:p>
      <w:pPr>
        <w:spacing w:after="0" w:line="25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expected changes in estimates as to financial results, development timelines or recommendations by securities analysts;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of common stock by us or our stockholders in the future as well as the overall trading volume of our common stock;</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00" w:lineRule="exact"/>
        <w:rPr>
          <w:sz w:val="20"/>
          <w:szCs w:val="20"/>
          <w:color w:val="auto"/>
        </w:rPr>
      </w:pPr>
    </w:p>
    <w:p>
      <w:pPr>
        <w:spacing w:after="0" w:line="237"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and principal stockholders, if they choose to act together, will continue to have the ability to control or significantly influence all matters submitted to stockholders for approval.</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Our executive officers, directors and stockholders who own more than 5% of our outstanding common stock and their respective affiliates, in the aggregate, hold shares representing approximately 35% of our outstanding voting stock as of March 31, 2017. As a result, if these stockholders choose to act together, they would be able to control or significantly influence all matters submitted to our stockholders for approval, as well as our management and affairs. For example, these persons, if they choose to act together, would control or significantly influence the election of directors, the composition of our management and approval of any merger, consolidation or sale of all or substantially all of our assets.</w:t>
      </w:r>
    </w:p>
    <w:p>
      <w:pPr>
        <w:spacing w:after="0" w:line="200" w:lineRule="exact"/>
        <w:rPr>
          <w:sz w:val="20"/>
          <w:szCs w:val="20"/>
          <w:color w:val="auto"/>
        </w:rPr>
      </w:pPr>
    </w:p>
    <w:p>
      <w:pPr>
        <w:spacing w:after="0" w:line="2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240"/>
          </w:cols>
          <w:pgMar w:left="240" w:top="121" w:right="4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total outstanding shares are eligible to be sold into the market, which could cause the market price of our common stock to drop significantly, even if our business is doing well.</w:t>
      </w:r>
    </w:p>
    <w:p>
      <w:pPr>
        <w:spacing w:after="0" w:line="15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or the perception in the market that the holders of a large number of shares intend to sell shares, could reduce the market price of our common stock. Approximately 12.9 million shares of our common stock became eligible to be sold into the market on December 19, 2016, unless held by one of our affiliates, in which case the resale of those securities is subject to volume limitations under Rule 144 of the Securities Act of 1933, as amended, or Rule 144. Moreover, holders of an aggregate of approximately 12.3 million shares of our common stock as of the completion of the initial public offering of our common stock on June 27, 2016 have rights, subject to specified conditions, to require us to file registration statements covering their shares or to include their shares in registration statements that we may file for ourselves or other stockholders, until such shares can otherwise be sold without restriction under Rule 144 or until the rights terminate pursuant to the terms of the investors’ rights agreement between us and such holders. We have also registered and intend to continue to register all shares of common stock that we may issue under our equity compensation plans. Once we register these shares, they can be freely sold in the public market upon issuance, subject to volume limitations applicable to affiliates and the lock-up agreements.</w:t>
      </w:r>
    </w:p>
    <w:p>
      <w:pPr>
        <w:spacing w:after="0" w:line="39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spacing w:after="0" w:line="220" w:lineRule="exact"/>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and may remain an emerging growth company until the last day of the fiscal year following the fifth anniversary of the closing of the initial public offering of our common stock. However, if certain events occur prior to the end of such five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including if we become a “large accelerated filer,” our annual gross revenues exceed</w:t>
      </w:r>
    </w:p>
    <w:p>
      <w:pPr>
        <w:spacing w:after="0" w:line="2" w:lineRule="exact"/>
        <w:rPr>
          <w:sz w:val="20"/>
          <w:szCs w:val="20"/>
          <w:color w:val="auto"/>
        </w:rPr>
      </w:pPr>
    </w:p>
    <w:p>
      <w:pPr>
        <w:ind w:right="40"/>
        <w:spacing w:after="0" w:line="218" w:lineRule="exact"/>
        <w:rPr>
          <w:sz w:val="20"/>
          <w:szCs w:val="20"/>
          <w:color w:val="auto"/>
        </w:rPr>
      </w:pPr>
      <w:r>
        <w:rPr>
          <w:rFonts w:ascii="Times New Roman" w:cs="Times New Roman" w:eastAsia="Times New Roman" w:hAnsi="Times New Roman"/>
          <w:sz w:val="18"/>
          <w:szCs w:val="18"/>
          <w:color w:val="auto"/>
        </w:rPr>
        <w:t>$1.0 billion or we issue more than $1.0 billion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convertible debt in any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we will cease to be an emerging growth company prior to the end of such five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period.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99" w:lineRule="exact"/>
        <w:rPr>
          <w:sz w:val="20"/>
          <w:szCs w:val="20"/>
          <w:color w:val="auto"/>
        </w:rPr>
      </w:pPr>
    </w:p>
    <w:p>
      <w:pPr>
        <w:ind w:left="340" w:right="60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being permitted to provide only two years of audited financial statements, in addition to any required unaudited interim financial statements, with correspondingly reduced “Management’s discussion and analysis of financial condition and results of operations”;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the auditor attestation requirements in the assessment of our internal control over financial reporting;</w:t>
      </w:r>
    </w:p>
    <w:p>
      <w:pPr>
        <w:spacing w:after="0" w:line="225" w:lineRule="exact"/>
        <w:rPr>
          <w:rFonts w:ascii="Times New Roman" w:cs="Times New Roman" w:eastAsia="Times New Roman" w:hAnsi="Times New Roman"/>
          <w:sz w:val="18"/>
          <w:szCs w:val="18"/>
          <w:color w:val="auto"/>
        </w:rPr>
      </w:pPr>
    </w:p>
    <w:p>
      <w:pPr>
        <w:ind w:left="340" w:right="8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and</w:t>
      </w:r>
    </w:p>
    <w:p>
      <w:pPr>
        <w:spacing w:after="0" w:line="225"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162"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reduced or more volatile. In addition, the JOBS Act provides that an emerging growth company can take advantage of an extended transition period for complying with new or revised accounting standards. This allows an emerging growth company to delay the adoption of these accounting standards until they would otherwise apply to private companies. We have irrevocably elected not to avail ourselves of this exemption and, therefore, we will be subject to the same new or revised accounting standards as other public companies that are not emerging growth companies.</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sell shares of our common stock in future financings, stockholders may experience immediate dilution and, as a result, our stock price may decline.</w:t>
      </w:r>
    </w:p>
    <w:p>
      <w:pPr>
        <w:spacing w:after="0" w:line="200" w:lineRule="exact"/>
        <w:rPr>
          <w:sz w:val="20"/>
          <w:szCs w:val="20"/>
          <w:color w:val="auto"/>
        </w:rPr>
      </w:pPr>
    </w:p>
    <w:p>
      <w:pPr>
        <w:spacing w:after="0" w:line="24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may from time to time issue additional shares of common stock at a discount from the current trading price of our common stock. As a result, our stockholders would experience immediate dilution upon the sale of any shares of our common stock at such discount. In addition, as opportunities present themselves, we may enter into financing or similar arrangements in the future, including the issuance of debt securities, preferred stock or common stock. If we issue common stock or securities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400"/>
          </w:cols>
          <w:pgMar w:left="240" w:top="121" w:right="25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exercisable for or convertible into common stock, our common stockholders would experience additional dilution and, as a result, our stock price may decline.</w:t>
      </w:r>
    </w:p>
    <w:p>
      <w:pPr>
        <w:spacing w:after="0" w:line="378"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For instance, on December 2, 2016 we entered into a stock purchase agreement, or the Spark SPA, with Spark Therapeutics, Inc., or Spark, in conjunction with a license and option agreement with Spark. Pursuant to the Spark SPA, we issued and sold 197,238 shares of our common stock to Spark for gross proceeds of $5.0 million, which purchase price per share represented a 115.0% premium to the average of the daily volume-weighted average price, or VWAP, of the common stock during the thirty consecutive calendar days ending on, and including, December 1, 2016. Spark has also agreed to make two additional investments of $5.0 million in our common stock, the first between May 1, 2017 and June 1, 2017, and the second between October 1, 2017 and November 1, 2017, in each case at a 115.0% premium, subject to the terms and conditions of the Spark SPA.</w:t>
      </w:r>
    </w:p>
    <w:p>
      <w:pPr>
        <w:spacing w:after="0" w:line="400"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increased costs as a result of operating as a public company, and our management will be required to devote substantial time to new compliance initiatives and corporate governance practices.</w:t>
      </w:r>
    </w:p>
    <w:p>
      <w:pPr>
        <w:spacing w:after="0" w:line="159" w:lineRule="exact"/>
        <w:rPr>
          <w:sz w:val="20"/>
          <w:szCs w:val="20"/>
          <w:color w:val="auto"/>
        </w:rPr>
      </w:pPr>
    </w:p>
    <w:p>
      <w:pPr>
        <w:ind w:right="20"/>
        <w:spacing w:after="0" w:line="222" w:lineRule="exact"/>
        <w:rPr>
          <w:sz w:val="20"/>
          <w:szCs w:val="20"/>
          <w:color w:val="auto"/>
        </w:rPr>
      </w:pPr>
      <w:r>
        <w:rPr>
          <w:rFonts w:ascii="Times New Roman" w:cs="Times New Roman" w:eastAsia="Times New Roman" w:hAnsi="Times New Roman"/>
          <w:sz w:val="18"/>
          <w:szCs w:val="18"/>
          <w:color w:val="auto"/>
        </w:rPr>
        <w:t>As a public company, and particularly after we are no longer an emerging growth company, we have incurred and expect to continue to incur significant legal, accounting and other expenses that we did not incur as a private company.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the Dodd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have increased our legal and financial compliance costs and made some activities more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costly.</w:t>
      </w:r>
    </w:p>
    <w:p>
      <w:pPr>
        <w:spacing w:after="0" w:line="183"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147" w:lineRule="exact"/>
        <w:rPr>
          <w:sz w:val="20"/>
          <w:szCs w:val="20"/>
          <w:color w:val="auto"/>
        </w:rPr>
      </w:pPr>
    </w:p>
    <w:p>
      <w:pPr>
        <w:ind w:right="40"/>
        <w:spacing w:after="0" w:line="220" w:lineRule="exact"/>
        <w:rPr>
          <w:sz w:val="20"/>
          <w:szCs w:val="20"/>
          <w:color w:val="auto"/>
        </w:rPr>
      </w:pPr>
      <w:r>
        <w:rPr>
          <w:rFonts w:ascii="Times New Roman" w:cs="Times New Roman" w:eastAsia="Times New Roman" w:hAnsi="Times New Roman"/>
          <w:sz w:val="18"/>
          <w:szCs w:val="18"/>
          <w:color w:val="auto"/>
        </w:rPr>
        <w:t>Pursuant to Section 404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or Section 404, we will be required to furnish a report by our management on our internal control over financial reporting.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are engaged in a process to document and evaluate our internal control over financial reporting, which is both costly and challenging. In this regard, we continue to dedicate internal resources, engage outside consultants, developed a detailed work plan to assess and document the adequacy of internal control over financial reporting, continue steps to improve control processes as appropriate, validate through testing whether such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200" w:lineRule="exact"/>
        <w:rPr>
          <w:sz w:val="20"/>
          <w:szCs w:val="20"/>
          <w:color w:val="auto"/>
        </w:rPr>
      </w:pPr>
    </w:p>
    <w:p>
      <w:pPr>
        <w:spacing w:after="0" w:line="218"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our business, or if they issue an adverse or misleading opinion regarding our stock, our stock price and trading volume could decline.</w:t>
      </w:r>
    </w:p>
    <w:p>
      <w:pPr>
        <w:spacing w:after="0" w:line="15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animal studies and operating results fail to meet the expectations of analysts, our stock price would likely decline. If one or more of these analysts ceases coverage of us or fails to publish reports on us regularly, we could lose visibility in the financial markets, which in turn could cause our stock price or trading volume to decline.</w:t>
      </w:r>
    </w:p>
    <w:p>
      <w:pPr>
        <w:spacing w:after="0" w:line="396"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restated certificate of incorporation and restated bylaws and under Delaware law could make an acquisition of our company, which may be beneficial to our stockholders, more difficult and may prevent attempts by our stockholders to replace or remove our current management.</w:t>
      </w:r>
    </w:p>
    <w:p>
      <w:pPr>
        <w:spacing w:after="0" w:line="15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Provisions in our restated certificate of incorporation and our restated bylaws, which became effective upon the closing of the initial public offering of our common stock may discourage, delay or prevent a merger, acquisition or other change in control of our company that stockholders may consider favorable, including transactions in which you might otherwise receive a premium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121" w:right="2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include those establishing:</w:t>
      </w:r>
    </w:p>
    <w:p>
      <w:pPr>
        <w:spacing w:after="0" w:line="151" w:lineRule="exact"/>
        <w:rPr>
          <w:sz w:val="20"/>
          <w:szCs w:val="20"/>
          <w:color w:val="auto"/>
        </w:rPr>
      </w:pPr>
    </w:p>
    <w:p>
      <w:pPr>
        <w:ind w:left="340" w:right="280" w:hanging="332"/>
        <w:spacing w:after="0" w:line="239" w:lineRule="exact"/>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classified board of directors with three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staggered terms, which may delay the ability of stockholders to change the membership of a majority of our board of directors;</w:t>
      </w:r>
    </w:p>
    <w:p>
      <w:pPr>
        <w:spacing w:after="0" w:line="19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cumulative voting in the election of directors, which limits the ability of minority stockholders to elect director candidates;</w:t>
      </w:r>
    </w:p>
    <w:p>
      <w:pPr>
        <w:spacing w:after="0" w:line="225" w:lineRule="exact"/>
        <w:rPr>
          <w:rFonts w:ascii="Times New Roman" w:cs="Times New Roman" w:eastAsia="Times New Roman" w:hAnsi="Times New Roman"/>
          <w:sz w:val="18"/>
          <w:szCs w:val="18"/>
          <w:color w:val="auto"/>
        </w:rPr>
      </w:pPr>
    </w:p>
    <w:p>
      <w:pPr>
        <w:ind w:left="340" w:right="6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exclusive right of our board of directors to elect a director to fill a vacancy created by the expansion of the board of directors or the resignation, death or removal of a director, which prevents stockholders from filling vacancies on our board of directors;</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authorize the issuance of shares of preferred stock and to determine the terms of those shares, including preferences and voting rights, without stockholder approval, which could be used to significantly dilute the ownership of a hostile acquirer;</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alter our bylaws without obtaining stockholder approval;</w:t>
      </w:r>
    </w:p>
    <w:p>
      <w:pPr>
        <w:spacing w:after="0" w:line="196" w:lineRule="exact"/>
        <w:rPr>
          <w:rFonts w:ascii="Times New Roman" w:cs="Times New Roman" w:eastAsia="Times New Roman" w:hAnsi="Times New Roman"/>
          <w:sz w:val="18"/>
          <w:szCs w:val="18"/>
          <w:color w:val="auto"/>
        </w:rPr>
      </w:pPr>
    </w:p>
    <w:p>
      <w:pPr>
        <w:ind w:left="340" w:right="100" w:hanging="332"/>
        <w:spacing w:after="0" w:line="239" w:lineRule="exact"/>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approval of the holders of at least two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thirds of the shares entitled to vote at an election of directors to adopt, amend or repeal our bylaws or repeal the provisions of our restated certificate of incorporation regarding the election and removal of directors;</w:t>
      </w:r>
    </w:p>
    <w:p>
      <w:pPr>
        <w:spacing w:after="0" w:line="19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by written consent, which forces stockholder action to be taken at an annual or special meeting of our stockholders;</w:t>
      </w:r>
    </w:p>
    <w:p>
      <w:pPr>
        <w:spacing w:after="0" w:line="225" w:lineRule="exact"/>
        <w:rPr>
          <w:rFonts w:ascii="Times New Roman" w:cs="Times New Roman" w:eastAsia="Times New Roman" w:hAnsi="Times New Roman"/>
          <w:sz w:val="18"/>
          <w:szCs w:val="18"/>
          <w:color w:val="auto"/>
        </w:rPr>
      </w:pPr>
    </w:p>
    <w:p>
      <w:pPr>
        <w:ind w:left="340" w:right="280" w:hanging="332"/>
        <w:spacing w:after="0" w:line="266"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special meeting of stockholders may be called only by the chairman of the board of directors, the chief executive officer, the president or the board of directors, which may delay the ability of our stockholders to force consideration of a proposal or to take action, including the removal of directors; and</w:t>
      </w:r>
    </w:p>
    <w:p>
      <w:pPr>
        <w:spacing w:after="0" w:line="176" w:lineRule="exact"/>
        <w:rPr>
          <w:rFonts w:ascii="Times New Roman" w:cs="Times New Roman" w:eastAsia="Times New Roman" w:hAnsi="Times New Roman"/>
          <w:sz w:val="18"/>
          <w:szCs w:val="18"/>
          <w:color w:val="auto"/>
        </w:rPr>
      </w:pPr>
    </w:p>
    <w:p>
      <w:pPr>
        <w:jc w:val="both"/>
        <w:ind w:left="340" w:right="60" w:hanging="332"/>
        <w:spacing w:after="0" w:line="266" w:lineRule="auto"/>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procedures that stockholders must comply with in order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176"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General Corporation Law of the State of Delaware,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76" w:lineRule="exact"/>
        <w:rPr>
          <w:sz w:val="20"/>
          <w:szCs w:val="20"/>
          <w:color w:val="auto"/>
        </w:rPr>
      </w:pPr>
    </w:p>
    <w:p>
      <w:pPr>
        <w:jc w:val="both"/>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restated certificate of incorporation provides that, unless we consent in writing to the selection of an alternative forum, the Court of Chancery of the State of Delaware will be the sole and exclusive forum for most legal actions between us and our stockholders, which could limit our stockholders’ ability to obtain a favorable judicial forum for disputes with us or our directors, officers, employees or agents.</w:t>
      </w:r>
    </w:p>
    <w:p>
      <w:pPr>
        <w:spacing w:after="0" w:line="17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restated certificate of incorporation specifies that, unless we consent in writing to the selection of an alternative forum, the Court of Chancery of the State of Delaware will be the sole and exclusive forum for most legal actions involving claims brought against us by stockholders. Any person or entity purchasing or otherwise acquiring any interest in shares of our capital stock shall be deemed to have notice of and to have consented to the provisions of our restated certificate of incorporation described above.</w:t>
      </w:r>
    </w:p>
    <w:p>
      <w:pPr>
        <w:spacing w:after="0" w:line="180" w:lineRule="exact"/>
        <w:rPr>
          <w:sz w:val="20"/>
          <w:szCs w:val="20"/>
          <w:color w:val="auto"/>
        </w:rPr>
      </w:pPr>
    </w:p>
    <w:p>
      <w:pPr>
        <w:ind w:right="280"/>
        <w:spacing w:after="0" w:line="220" w:lineRule="exact"/>
        <w:rPr>
          <w:sz w:val="20"/>
          <w:szCs w:val="20"/>
          <w:color w:val="auto"/>
        </w:rPr>
      </w:pPr>
      <w:r>
        <w:rPr>
          <w:rFonts w:ascii="Times New Roman" w:cs="Times New Roman" w:eastAsia="Times New Roman" w:hAnsi="Times New Roman"/>
          <w:sz w:val="18"/>
          <w:szCs w:val="18"/>
          <w:color w:val="auto"/>
        </w:rPr>
        <w:t>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forum litigation. However, the provision may have the effect of discouraging lawsuits against our directors, officers, employees and agents as it may limit any stockholder’s ability to bring a</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121"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52"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claim in a judicial forum that such stockholder finds favorable for disputes with us or our directors, officers, employees or agents. The enforceability of similar choice of forum provisions in other companies’ certificates of incorporation has been challenged in legal proceedings, and it is possible that, in connection with any applicable action brought against us, a court could find the choice of forum provisions contained in our restated certificate of incorporation to be inapplicable or unenforceable in such action. If a court were to find the choice of forum provision contained in our restated certificate of incorporation to be inapplicable or unenforceable in an action, we may incur additional costs associated with resolving such action in other jurisdictions, which could adversely affect our business, financial condition or results of operations.</w:t>
      </w:r>
    </w:p>
    <w:p>
      <w:pPr>
        <w:spacing w:after="0" w:line="18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expect paying any cash dividends on our capital stock in the foreseeable future, capital appreciation, if any, will be your sole source of gain.</w:t>
      </w:r>
    </w:p>
    <w:p>
      <w:pPr>
        <w:spacing w:after="0" w:line="15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our credit facility with Oxford and Pacific Western Bank currently prohibits us from paying cash dividends on our equity securities, and any future debt agreements may likewise preclude us from paying dividends. As a result, capital appreciation, if any, of our common stock will be your sole source of gain for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could be subject to securities class action litigation.</w:t>
      </w:r>
    </w:p>
    <w:p>
      <w:pPr>
        <w:spacing w:after="0" w:line="22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past, securities class action litigation has often been brought against a company following a decline in the market price of its securities. This risk is especially relevant for us because biopharmaceutical companies have experienced significant stock price volatility in recent years. If we face such litigation, it could result in substantial costs and a diversion of management’s attention and resources,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Proceeds from Registered Securities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June 21, 2016, we completed the initial public offering of our common stock and issued and sold 5,000,000 shares of our common stock at a public offering price of $14.00 per share.</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offer and sale of all of the shares in the offering was registered under the Securities Act pursuant to a registration on Form S-1 (File No. 333-211555), as amended, which was declared effective by the Securities and Exchange Commission (the “SEC”) on June 21, 2016, and a registration statement on Form S-1MEF (File No. 333-212162), which was automatically effective upon filing with the SEC on June 21, 2016. On July 25, 2016, we closed the underwriters’ over-allotment option, and we sold 289,633 shares at a price to the public of $14.00 per share.</w:t>
      </w:r>
    </w:p>
    <w:p>
      <w:pPr>
        <w:spacing w:after="0" w:line="18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The net proceeds of approximately $64.5 million from our initial public offering have been invested in short-term, investment-grade, interest-bearing instruments and U.S. government securities. There has been no material change in the expected use of the net proceeds from our initial public offering as described in our final prospectus, dated June 21, 2016, filed with the SEC pursuant to Rule 424(b) relating to our Registration Statement on Form S-1.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420"/>
          </w:cols>
          <w:pgMar w:left="240" w:top="121" w:right="2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exhibits filed as part of this Quarterly Report on Form 10-Q are set forth on the Exhibit Index, which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220"/>
          </w:cols>
          <w:pgMar w:left="240" w:top="121"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by the following persons on behalf of the registrant in the capacities and on the dates indicated.</w:t>
      </w: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760" w:type="dxa"/>
            <w:vAlign w:val="bottom"/>
            <w:gridSpan w:val="2"/>
          </w:tcPr>
          <w:p>
            <w:pPr>
              <w:ind w:left="2200"/>
              <w:spacing w:after="0"/>
              <w:rPr>
                <w:sz w:val="20"/>
                <w:szCs w:val="20"/>
                <w:color w:val="auto"/>
              </w:rPr>
            </w:pPr>
            <w:r>
              <w:rPr>
                <w:rFonts w:ascii="Times New Roman" w:cs="Times New Roman" w:eastAsia="Times New Roman" w:hAnsi="Times New Roman"/>
                <w:sz w:val="18"/>
                <w:szCs w:val="18"/>
                <w:b w:val="1"/>
                <w:bCs w:val="1"/>
                <w:color w:val="auto"/>
              </w:rPr>
              <w:t>SELECTA BIOSCIENCES, INC.</w:t>
            </w:r>
          </w:p>
        </w:tc>
      </w:tr>
      <w:tr>
        <w:trPr>
          <w:trHeight w:val="540"/>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2017</w:t>
            </w:r>
          </w:p>
        </w:tc>
        <w:tc>
          <w:tcPr>
            <w:tcW w:w="262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 Werner Cautreels, Ph.D.</w:t>
            </w:r>
          </w:p>
        </w:tc>
      </w:tr>
      <w:tr>
        <w:trPr>
          <w:trHeight w:val="27"/>
        </w:trPr>
        <w:tc>
          <w:tcPr>
            <w:tcW w:w="3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Werner Cautreels, Ph.D.</w:t>
            </w:r>
          </w:p>
        </w:tc>
      </w:tr>
      <w:tr>
        <w:trPr>
          <w:trHeight w:val="270"/>
        </w:trPr>
        <w:tc>
          <w:tcPr>
            <w:tcW w:w="36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President and Chief Executive Officer, and Director</w:t>
            </w:r>
          </w:p>
        </w:tc>
      </w:tr>
      <w:tr>
        <w:trPr>
          <w:trHeight w:val="270"/>
        </w:trPr>
        <w:tc>
          <w:tcPr>
            <w:tcW w:w="36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837"/>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May 11, 2017</w:t>
            </w:r>
          </w:p>
        </w:tc>
        <w:tc>
          <w:tcPr>
            <w:tcW w:w="2620" w:type="dxa"/>
            <w:vAlign w:val="bottom"/>
          </w:tcPr>
          <w:p>
            <w:pPr>
              <w:ind w:left="22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 David Siewers</w:t>
            </w:r>
          </w:p>
        </w:tc>
      </w:tr>
      <w:tr>
        <w:trPr>
          <w:trHeight w:val="27"/>
        </w:trPr>
        <w:tc>
          <w:tcPr>
            <w:tcW w:w="36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6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David Siewers</w:t>
            </w:r>
          </w:p>
        </w:tc>
      </w:tr>
    </w:tbl>
    <w:p>
      <w:pPr>
        <w:spacing w:after="0" w:line="34"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i w:val="1"/>
          <w:iCs w:val="1"/>
          <w:color w:val="auto"/>
        </w:rPr>
        <w:t>Chief Financial Officer and Treasurer</w:t>
      </w:r>
    </w:p>
    <w:p>
      <w:pPr>
        <w:spacing w:after="0" w:line="6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1420"/>
          </w:cols>
          <w:pgMar w:left="240" w:top="121"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07"/>
        </w:trPr>
        <w:tc>
          <w:tcPr>
            <w:tcW w:w="13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w w:val="99"/>
              </w:rPr>
              <w:t>Table of Contents</w:t>
            </w:r>
          </w:p>
        </w:tc>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0"/>
        </w:trPr>
        <w:tc>
          <w:tcPr>
            <w:tcW w:w="40" w:type="dxa"/>
            <w:vAlign w:val="bottom"/>
            <w:tcBorders>
              <w:top w:val="single" w:sz="8" w:color="0000EE"/>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28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0" w:type="dxa"/>
            <w:vAlign w:val="bottom"/>
            <w:gridSpan w:val="4"/>
          </w:tcPr>
          <w:p>
            <w:pPr>
              <w:ind w:left="48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Filed</w:t>
            </w: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1260" w:type="dxa"/>
            <w:vAlign w:val="bottom"/>
            <w:gridSpan w:val="3"/>
            <w:vMerge w:val="continue"/>
          </w:tcPr>
          <w:p>
            <w:pPr>
              <w:spacing w:after="0"/>
              <w:rPr>
                <w:sz w:val="18"/>
                <w:szCs w:val="18"/>
                <w:color w:val="auto"/>
              </w:rPr>
            </w:pPr>
          </w:p>
        </w:tc>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3"/>
              </w:rPr>
              <w:t>Filing</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12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6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Herewith</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Restated Certificate of Incorporation of Selecta</w:t>
            </w:r>
          </w:p>
        </w:tc>
        <w:tc>
          <w:tcPr>
            <w:tcW w:w="120" w:type="dxa"/>
            <w:vAlign w:val="bottom"/>
          </w:tcPr>
          <w:p>
            <w:pPr>
              <w:spacing w:after="0"/>
              <w:rPr>
                <w:sz w:val="18"/>
                <w:szCs w:val="18"/>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001-37798</w:t>
            </w:r>
          </w:p>
        </w:tc>
        <w:tc>
          <w:tcPr>
            <w:tcW w:w="100" w:type="dxa"/>
            <w:vAlign w:val="bottom"/>
          </w:tcPr>
          <w:p>
            <w:pPr>
              <w:spacing w:after="0"/>
              <w:rPr>
                <w:sz w:val="18"/>
                <w:szCs w:val="18"/>
                <w:color w:val="auto"/>
              </w:rPr>
            </w:pPr>
          </w:p>
        </w:tc>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6/29/2016</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Biosciences, Inc.</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Amended and Restated By-laws of Selecta</w:t>
            </w:r>
          </w:p>
        </w:tc>
        <w:tc>
          <w:tcPr>
            <w:tcW w:w="120" w:type="dxa"/>
            <w:vAlign w:val="bottom"/>
          </w:tcPr>
          <w:p>
            <w:pPr>
              <w:spacing w:after="0"/>
              <w:rPr>
                <w:sz w:val="21"/>
                <w:szCs w:val="21"/>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8-K</w:t>
            </w:r>
          </w:p>
        </w:tc>
        <w:tc>
          <w:tcPr>
            <w:tcW w:w="1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001-37798</w:t>
            </w:r>
          </w:p>
        </w:tc>
        <w:tc>
          <w:tcPr>
            <w:tcW w:w="100" w:type="dxa"/>
            <w:vAlign w:val="bottom"/>
          </w:tcPr>
          <w:p>
            <w:pPr>
              <w:spacing w:after="0"/>
              <w:rPr>
                <w:sz w:val="21"/>
                <w:szCs w:val="21"/>
                <w:color w:val="auto"/>
              </w:rPr>
            </w:pPr>
          </w:p>
        </w:tc>
        <w:tc>
          <w:tcPr>
            <w:tcW w:w="1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6/29/2016</w:t>
            </w: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Biosciences, Inc.</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10.1†</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Patent License Agreement, entered into as of</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April 27, 2017, by and between the U.S.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Department of Health and Human Services, as</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represented by The National Cancer Institute an</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Institute or Center of the National Institutes of</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Health and the Registrant</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Rule 13a-14(a) / 15d-14(a) Certification of Chief</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Officer</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31.2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Rule 13a-14(a) / 15d-14(a) Certification of Chief</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Officer</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32.1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1350 Certification of Chief Executive</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5"/>
              </w:rPr>
              <w:t>32.2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Section 1350 Certification of Chief Financial</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Officer</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101.INS</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Instance Document</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101.SCH</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101.CAL</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Calculation</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Linkbase Document</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101.DEF</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Document</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7"/>
              </w:rPr>
              <w:t>101.LAB</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Document</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40" w:type="dxa"/>
            <w:vAlign w:val="bottom"/>
          </w:tcPr>
          <w:p>
            <w:pPr>
              <w:spacing w:after="0"/>
              <w:rPr>
                <w:sz w:val="21"/>
                <w:szCs w:val="21"/>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101.PRE</w:t>
            </w: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XBRL Taxonomy Extension Presentation</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Linkbase Document</w:t>
            </w: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660"/>
        <w:spacing w:after="0"/>
        <w:tabs>
          <w:tab w:leader="none" w:pos="900" w:val="left"/>
        </w:tabs>
        <w:rPr>
          <w:sz w:val="20"/>
          <w:szCs w:val="20"/>
          <w:color w:val="auto"/>
        </w:rPr>
      </w:pPr>
      <w:r>
        <w:rPr>
          <w:rFonts w:ascii="Times New Roman" w:cs="Times New Roman" w:eastAsia="Times New Roman" w:hAnsi="Times New Roman"/>
          <w:sz w:val="18"/>
          <w:szCs w:val="18"/>
          <w:color w:val="auto"/>
        </w:rPr>
        <w:t>*</w:t>
        <w:tab/>
        <w:t>Filed herewith.</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225" w:lineRule="exact"/>
        <w:rPr>
          <w:sz w:val="20"/>
          <w:szCs w:val="20"/>
          <w:color w:val="auto"/>
        </w:rPr>
      </w:pPr>
    </w:p>
    <w:p>
      <w:pPr>
        <w:ind w:left="660" w:hanging="4"/>
        <w:spacing w:after="0" w:line="282" w:lineRule="auto"/>
        <w:tabs>
          <w:tab w:leader="none" w:pos="80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in this exhibit has been omitted and filed separately with the Securities and Exchange Commission pursuant to a confidential treatment request under 17 C.F.R. Sections 200.80(b)(4) and 24b-2.</w:t>
      </w:r>
    </w:p>
    <w:p>
      <w:pPr>
        <w:sectPr>
          <w:pgSz w:w="11900" w:h="16838" w:orient="portrait"/>
          <w:cols w:equalWidth="0" w:num="1">
            <w:col w:w="11420"/>
          </w:cols>
          <w:pgMar w:left="240" w:top="108" w:right="239" w:bottom="1440" w:gutter="0" w:footer="0" w:header="0"/>
        </w:sectPr>
      </w:pPr>
    </w:p>
    <w:bookmarkStart w:id="91" w:name="page92"/>
    <w:bookmarkEnd w:id="91"/>
    <w:p>
      <w:pPr>
        <w:ind w:left="10400"/>
        <w:spacing w:after="0"/>
        <w:rPr>
          <w:sz w:val="20"/>
          <w:szCs w:val="20"/>
          <w:color w:val="auto"/>
        </w:rPr>
      </w:pPr>
      <w:r>
        <w:rPr>
          <w:rFonts w:ascii="Times New Roman" w:cs="Times New Roman" w:eastAsia="Times New Roman" w:hAnsi="Times New Roman"/>
          <w:sz w:val="19"/>
          <w:szCs w:val="19"/>
          <w:b w:val="1"/>
          <w:bCs w:val="1"/>
          <w:color w:val="828282"/>
        </w:rPr>
        <w:t>Exhibit 10.1</w:t>
      </w:r>
    </w:p>
    <w:p>
      <w:pPr>
        <w:spacing w:after="0" w:line="245"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828282"/>
        </w:rPr>
        <w:t>CERTAIN MATERIAL (INDICATED BY ASTERISKS) HAS BEEN OMITTED FROM THIS DOCUMENT PURSUANT TO A REQUEST FOR CONFIDENTIAL TREATMENT. THE OMITTED MATERIAL HAS BEEN FILED SEPARATELY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PUBLIC HEALTH SERVICE</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PATENT LICENSE AGREEMENT - </w:t>
      </w:r>
      <w:r>
        <w:rPr>
          <w:rFonts w:ascii="Times New Roman" w:cs="Times New Roman" w:eastAsia="Times New Roman" w:hAnsi="Times New Roman"/>
          <w:sz w:val="18"/>
          <w:szCs w:val="18"/>
          <w:b w:val="1"/>
          <w:bCs w:val="1"/>
          <w:i w:val="1"/>
          <w:iCs w:val="1"/>
          <w:color w:val="auto"/>
        </w:rPr>
        <w:t>EXCLUSIVE</w:t>
      </w:r>
    </w:p>
    <w:p>
      <w:pPr>
        <w:spacing w:after="0" w:line="200" w:lineRule="exact"/>
        <w:rPr>
          <w:sz w:val="20"/>
          <w:szCs w:val="20"/>
          <w:color w:val="auto"/>
        </w:rPr>
      </w:pPr>
    </w:p>
    <w:p>
      <w:pPr>
        <w:spacing w:after="0" w:line="241" w:lineRule="exact"/>
        <w:rPr>
          <w:sz w:val="20"/>
          <w:szCs w:val="20"/>
          <w:color w:val="auto"/>
        </w:rPr>
      </w:pPr>
    </w:p>
    <w:p>
      <w:pPr>
        <w:jc w:val="center"/>
        <w:ind w:left="260" w:right="40"/>
        <w:spacing w:after="0" w:line="26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based on the model Patent License Exclusive Agreement adopted by the U.S. Public Health Service (“</w:t>
      </w:r>
      <w:r>
        <w:rPr>
          <w:rFonts w:ascii="Times New Roman" w:cs="Times New Roman" w:eastAsia="Times New Roman" w:hAnsi="Times New Roman"/>
          <w:sz w:val="18"/>
          <w:szCs w:val="18"/>
          <w:b w:val="1"/>
          <w:bCs w:val="1"/>
          <w:color w:val="auto"/>
        </w:rPr>
        <w:t>PHS</w:t>
      </w:r>
      <w:r>
        <w:rPr>
          <w:rFonts w:ascii="Times New Roman" w:cs="Times New Roman" w:eastAsia="Times New Roman" w:hAnsi="Times New Roman"/>
          <w:sz w:val="18"/>
          <w:szCs w:val="18"/>
          <w:color w:val="auto"/>
        </w:rPr>
        <w:t>”) Technology Transfer Policy Board for use by components of the National Institutes of Health (“</w:t>
      </w:r>
      <w:r>
        <w:rPr>
          <w:rFonts w:ascii="Times New Roman" w:cs="Times New Roman" w:eastAsia="Times New Roman" w:hAnsi="Times New Roman"/>
          <w:sz w:val="18"/>
          <w:szCs w:val="18"/>
          <w:b w:val="1"/>
          <w:bCs w:val="1"/>
          <w:color w:val="auto"/>
        </w:rPr>
        <w:t>NIH</w:t>
      </w:r>
      <w:r>
        <w:rPr>
          <w:rFonts w:ascii="Times New Roman" w:cs="Times New Roman" w:eastAsia="Times New Roman" w:hAnsi="Times New Roman"/>
          <w:sz w:val="18"/>
          <w:szCs w:val="18"/>
          <w:color w:val="auto"/>
        </w:rPr>
        <w:t>”), the Centers for Disease Control and Prevention (“</w:t>
      </w:r>
      <w:r>
        <w:rPr>
          <w:rFonts w:ascii="Times New Roman" w:cs="Times New Roman" w:eastAsia="Times New Roman" w:hAnsi="Times New Roman"/>
          <w:sz w:val="18"/>
          <w:szCs w:val="18"/>
          <w:b w:val="1"/>
          <w:bCs w:val="1"/>
          <w:color w:val="auto"/>
        </w:rPr>
        <w:t>CDC</w:t>
      </w:r>
      <w:r>
        <w:rPr>
          <w:rFonts w:ascii="Times New Roman" w:cs="Times New Roman" w:eastAsia="Times New Roman" w:hAnsi="Times New Roman"/>
          <w:sz w:val="18"/>
          <w:szCs w:val="18"/>
          <w:color w:val="auto"/>
        </w:rPr>
        <w:t>”), and the Food and Drug Administration (“</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xml:space="preserve">”), which are agencies of the </w:t>
      </w:r>
      <w:r>
        <w:rPr>
          <w:rFonts w:ascii="Times New Roman" w:cs="Times New Roman" w:eastAsia="Times New Roman" w:hAnsi="Times New Roman"/>
          <w:sz w:val="18"/>
          <w:szCs w:val="18"/>
          <w:b w:val="1"/>
          <w:bCs w:val="1"/>
          <w:color w:val="auto"/>
        </w:rPr>
        <w:t>PHS</w:t>
      </w:r>
      <w:r>
        <w:rPr>
          <w:rFonts w:ascii="Times New Roman" w:cs="Times New Roman" w:eastAsia="Times New Roman" w:hAnsi="Times New Roman"/>
          <w:sz w:val="18"/>
          <w:szCs w:val="18"/>
          <w:color w:val="auto"/>
        </w:rPr>
        <w:t xml:space="preserve"> within the Department of Health and Human Services (“</w:t>
      </w:r>
      <w:r>
        <w:rPr>
          <w:rFonts w:ascii="Times New Roman" w:cs="Times New Roman" w:eastAsia="Times New Roman" w:hAnsi="Times New Roman"/>
          <w:sz w:val="18"/>
          <w:szCs w:val="18"/>
          <w:b w:val="1"/>
          <w:bCs w:val="1"/>
          <w:color w:val="auto"/>
        </w:rPr>
        <w:t>HHS</w:t>
      </w:r>
      <w:r>
        <w:rPr>
          <w:rFonts w:ascii="Times New Roman" w:cs="Times New Roman" w:eastAsia="Times New Roman" w:hAnsi="Times New Roman"/>
          <w:sz w:val="18"/>
          <w:szCs w:val="18"/>
          <w:color w:val="auto"/>
        </w:rPr>
        <w: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This Cover Page identifies the Parties to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U.S. Department of Health and Human Services, as represented by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National Cancer Institute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 Institute or Center (hereinafter referred to as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of the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NIH</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Selecta Biosciences,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hereinafter referred to as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having offices at 480 Arsenal Street, Building One, Watertown, Massachusetts, 02472,</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created and operating under the laws of Delaware.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Tax ID No.: 26-1622110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A-035-2017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NIH </w:t>
      </w:r>
      <w:r>
        <w:rPr>
          <w:rFonts w:ascii="Times New Roman" w:cs="Times New Roman" w:eastAsia="Times New Roman" w:hAnsi="Times New Roman"/>
          <w:sz w:val="14"/>
          <w:szCs w:val="14"/>
          <w:color w:val="auto"/>
        </w:rPr>
        <w:t>Patent License Agreement--</w:t>
      </w:r>
      <w:r>
        <w:rPr>
          <w:rFonts w:ascii="Times New Roman" w:cs="Times New Roman" w:eastAsia="Times New Roman" w:hAnsi="Times New Roman"/>
          <w:sz w:val="14"/>
          <w:szCs w:val="14"/>
          <w:i w:val="1"/>
          <w:iCs w:val="1"/>
          <w:color w:val="auto"/>
        </w:rPr>
        <w:t>Exclusive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Model 10-2015 [Final] [Selecta Biosciences] [3 April 2017]</w:t>
      </w:r>
    </w:p>
    <w:p>
      <w:pPr>
        <w:sectPr>
          <w:pgSz w:w="11900" w:h="16838" w:orient="portrait"/>
          <w:cols w:equalWidth="0" w:num="1">
            <w:col w:w="11420"/>
          </w:cols>
          <w:pgMar w:left="240" w:top="342"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color w:val="auto"/>
        </w:rPr>
        <w:t xml:space="preserve">For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internal use only: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License Number:</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License Application Number: A-035-2017</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Serial Number(s) of Licensed Patent(s) or Patent Application(s):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Group A </w:t>
      </w:r>
      <w:r>
        <w:rPr>
          <w:rFonts w:ascii="Times New Roman" w:cs="Times New Roman" w:eastAsia="Times New Roman" w:hAnsi="Times New Roman"/>
          <w:sz w:val="18"/>
          <w:szCs w:val="18"/>
          <w:u w:val="single" w:color="auto"/>
          <w:color w:val="auto"/>
        </w:rPr>
        <w:t>(Exclusive Rights)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auto"/>
        </w:rPr>
        <w:t>[***]</w:t>
      </w:r>
    </w:p>
    <w:p>
      <w:pPr>
        <w:spacing w:after="0" w:line="200" w:lineRule="exact"/>
        <w:rPr>
          <w:sz w:val="20"/>
          <w:szCs w:val="20"/>
          <w:color w:val="auto"/>
        </w:rPr>
      </w:pP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Group B </w:t>
      </w:r>
      <w:r>
        <w:rPr>
          <w:rFonts w:ascii="Times New Roman" w:cs="Times New Roman" w:eastAsia="Times New Roman" w:hAnsi="Times New Roman"/>
          <w:sz w:val="18"/>
          <w:szCs w:val="18"/>
          <w:u w:val="single" w:color="auto"/>
          <w:color w:val="auto"/>
        </w:rPr>
        <w:t>(Non-exclusive Rights)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auto"/>
        </w:rPr>
        <w:t>[***]</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Cooperative Research and Development Agreement (CRADA) Number (if a subject invention): None</w:t>
      </w:r>
    </w:p>
    <w:p>
      <w:pPr>
        <w:spacing w:after="0" w:line="225" w:lineRule="exact"/>
        <w:rPr>
          <w:sz w:val="20"/>
          <w:szCs w:val="20"/>
          <w:color w:val="auto"/>
        </w:rPr>
      </w:pPr>
    </w:p>
    <w:p>
      <w:pPr>
        <w:ind w:left="660" w:right="260"/>
        <w:spacing w:after="0" w:line="282" w:lineRule="auto"/>
        <w:rPr>
          <w:sz w:val="20"/>
          <w:szCs w:val="20"/>
          <w:color w:val="auto"/>
        </w:rPr>
      </w:pPr>
      <w:r>
        <w:rPr>
          <w:rFonts w:ascii="Times New Roman" w:cs="Times New Roman" w:eastAsia="Times New Roman" w:hAnsi="Times New Roman"/>
          <w:sz w:val="18"/>
          <w:szCs w:val="18"/>
          <w:color w:val="auto"/>
        </w:rPr>
        <w:t>Public Benefit(s): The development of new cancer therapeutics can alleviate pain and suffering for many members of the public who are afflicted with certain cancers, which is collectively the second leading cause of death in the United States.</w:t>
      </w:r>
    </w:p>
    <w:p>
      <w:pPr>
        <w:spacing w:after="0" w:line="37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This Patent License Agreement, hereinafter referred to as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consists of this Cover Page, an attached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 Signature Page, Appendix A (List of Patent(s) or Patent Application(s)), Appendix B (Fields of Use and Territory), Appendix C (Royalties), Appendix D (Benchmarks and Performance), Appendix E (Commercial Development Plan), Appendix F (Example Royalty Report), and Appendix G (Royalty Payment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3960" w:firstLine="8"/>
        <w:spacing w:after="0" w:line="282" w:lineRule="auto"/>
        <w:tabs>
          <w:tab w:leader="none" w:pos="348"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A-035-2017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NIH </w:t>
      </w:r>
      <w:r>
        <w:rPr>
          <w:rFonts w:ascii="Times New Roman" w:cs="Times New Roman" w:eastAsia="Times New Roman" w:hAnsi="Times New Roman"/>
          <w:sz w:val="14"/>
          <w:szCs w:val="14"/>
          <w:color w:val="auto"/>
        </w:rPr>
        <w:t>Patent License Agreement--</w:t>
      </w:r>
      <w:r>
        <w:rPr>
          <w:rFonts w:ascii="Times New Roman" w:cs="Times New Roman" w:eastAsia="Times New Roman" w:hAnsi="Times New Roman"/>
          <w:sz w:val="14"/>
          <w:szCs w:val="14"/>
          <w:i w:val="1"/>
          <w:iCs w:val="1"/>
          <w:color w:val="auto"/>
        </w:rPr>
        <w:t>Exclusive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Model 10-2015 [Final] [Selecta Biosciences] [3 April 2017]</w:t>
      </w:r>
    </w:p>
    <w:p>
      <w:pPr>
        <w:sectPr>
          <w:pgSz w:w="11900" w:h="16838" w:orient="portrait"/>
          <w:cols w:equalWidth="0" w:num="1">
            <w:col w:w="11380"/>
          </w:cols>
          <w:pgMar w:left="240" w:top="360" w:right="27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agree as follows:</w:t>
      </w:r>
    </w:p>
    <w:p>
      <w:pPr>
        <w:spacing w:after="0" w:line="229" w:lineRule="exact"/>
        <w:rPr>
          <w:sz w:val="20"/>
          <w:szCs w:val="20"/>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BACKGROUND</w:t>
      </w:r>
    </w:p>
    <w:p>
      <w:pPr>
        <w:spacing w:after="0" w:line="221" w:lineRule="exact"/>
        <w:rPr>
          <w:rFonts w:ascii="Times New Roman" w:cs="Times New Roman" w:eastAsia="Times New Roman" w:hAnsi="Times New Roman"/>
          <w:sz w:val="18"/>
          <w:szCs w:val="18"/>
          <w:color w:val="auto"/>
        </w:rPr>
      </w:pPr>
    </w:p>
    <w:p>
      <w:pPr>
        <w:ind w:left="1300" w:right="800" w:hanging="648"/>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1.1In the course of conducting biomedical and behavioral research,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investigators made inventions that may have commercial applicability.</w:t>
      </w:r>
    </w:p>
    <w:p>
      <w:pPr>
        <w:spacing w:after="0" w:line="154" w:lineRule="exact"/>
        <w:rPr>
          <w:rFonts w:ascii="Times New Roman" w:cs="Times New Roman" w:eastAsia="Times New Roman" w:hAnsi="Times New Roman"/>
          <w:sz w:val="18"/>
          <w:szCs w:val="18"/>
          <w:color w:val="auto"/>
        </w:rPr>
      </w:pPr>
    </w:p>
    <w:p>
      <w:pPr>
        <w:ind w:left="1300" w:right="340" w:hanging="648"/>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1.2By assignment of rights from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employees and other inventors, </w:t>
      </w:r>
      <w:r>
        <w:rPr>
          <w:rFonts w:ascii="Times New Roman" w:cs="Times New Roman" w:eastAsia="Times New Roman" w:hAnsi="Times New Roman"/>
          <w:sz w:val="18"/>
          <w:szCs w:val="18"/>
          <w:b w:val="1"/>
          <w:bCs w:val="1"/>
          <w:color w:val="auto"/>
        </w:rPr>
        <w:t>HHS</w:t>
      </w:r>
      <w:r>
        <w:rPr>
          <w:rFonts w:ascii="Times New Roman" w:cs="Times New Roman" w:eastAsia="Times New Roman" w:hAnsi="Times New Roman"/>
          <w:sz w:val="18"/>
          <w:szCs w:val="18"/>
          <w:color w:val="auto"/>
        </w:rPr>
        <w:t xml:space="preserve">, on behalf of the </w:t>
      </w:r>
      <w:r>
        <w:rPr>
          <w:rFonts w:ascii="Times New Roman" w:cs="Times New Roman" w:eastAsia="Times New Roman" w:hAnsi="Times New Roman"/>
          <w:sz w:val="18"/>
          <w:szCs w:val="18"/>
          <w:b w:val="1"/>
          <w:bCs w:val="1"/>
          <w:color w:val="auto"/>
        </w:rPr>
        <w:t>Government</w:t>
      </w:r>
      <w:r>
        <w:rPr>
          <w:rFonts w:ascii="Times New Roman" w:cs="Times New Roman" w:eastAsia="Times New Roman" w:hAnsi="Times New Roman"/>
          <w:sz w:val="18"/>
          <w:szCs w:val="18"/>
          <w:color w:val="auto"/>
        </w:rPr>
        <w:t xml:space="preserve">, owns intellectual property rights claimed in any United States or foreign patent applications or patents corresponding to the assigned inventions. </w:t>
      </w:r>
      <w:r>
        <w:rPr>
          <w:rFonts w:ascii="Times New Roman" w:cs="Times New Roman" w:eastAsia="Times New Roman" w:hAnsi="Times New Roman"/>
          <w:sz w:val="18"/>
          <w:szCs w:val="18"/>
          <w:b w:val="1"/>
          <w:bCs w:val="1"/>
          <w:color w:val="auto"/>
        </w:rPr>
        <w:t>HHS</w:t>
      </w:r>
      <w:r>
        <w:rPr>
          <w:rFonts w:ascii="Times New Roman" w:cs="Times New Roman" w:eastAsia="Times New Roman" w:hAnsi="Times New Roman"/>
          <w:sz w:val="18"/>
          <w:szCs w:val="18"/>
          <w:color w:val="auto"/>
        </w:rPr>
        <w:t xml:space="preserve"> also owns any tangible embodiments of these inventions actually reduced to practice by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1.3The Secretary of </w:t>
      </w:r>
      <w:r>
        <w:rPr>
          <w:rFonts w:ascii="Times New Roman" w:cs="Times New Roman" w:eastAsia="Times New Roman" w:hAnsi="Times New Roman"/>
          <w:sz w:val="18"/>
          <w:szCs w:val="18"/>
          <w:b w:val="1"/>
          <w:bCs w:val="1"/>
          <w:color w:val="auto"/>
        </w:rPr>
        <w:t>HHS</w:t>
      </w:r>
      <w:r>
        <w:rPr>
          <w:rFonts w:ascii="Times New Roman" w:cs="Times New Roman" w:eastAsia="Times New Roman" w:hAnsi="Times New Roman"/>
          <w:sz w:val="18"/>
          <w:szCs w:val="18"/>
          <w:color w:val="auto"/>
        </w:rPr>
        <w:t xml:space="preserve"> has delegated to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the authority to enter into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for the licensing of rights to these inventions.</w:t>
      </w:r>
    </w:p>
    <w:p>
      <w:pPr>
        <w:spacing w:after="0" w:line="225" w:lineRule="exact"/>
        <w:rPr>
          <w:rFonts w:ascii="Times New Roman" w:cs="Times New Roman" w:eastAsia="Times New Roman" w:hAnsi="Times New Roman"/>
          <w:sz w:val="18"/>
          <w:szCs w:val="18"/>
          <w:color w:val="auto"/>
        </w:rPr>
      </w:pPr>
    </w:p>
    <w:p>
      <w:pPr>
        <w:ind w:left="1300" w:right="920" w:hanging="648"/>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1.4The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desires to transfer these inventions to the private sector through commercialization licenses to facilitate the commercial development of products and processes for public use and benefit.</w:t>
      </w:r>
    </w:p>
    <w:p>
      <w:pPr>
        <w:spacing w:after="0" w:line="154" w:lineRule="exact"/>
        <w:rPr>
          <w:rFonts w:ascii="Times New Roman" w:cs="Times New Roman" w:eastAsia="Times New Roman" w:hAnsi="Times New Roman"/>
          <w:sz w:val="18"/>
          <w:szCs w:val="18"/>
          <w:color w:val="auto"/>
        </w:rPr>
      </w:pPr>
    </w:p>
    <w:p>
      <w:pPr>
        <w:ind w:left="1300" w:right="740" w:hanging="648"/>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1.5The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desires to acquire commercialization rights to certain of these inventions in order to develop processes, methods, or marketable products for public use and benefit.</w:t>
      </w:r>
    </w:p>
    <w:p>
      <w:pPr>
        <w:spacing w:after="0" w:line="154" w:lineRule="exact"/>
        <w:rPr>
          <w:rFonts w:ascii="Times New Roman" w:cs="Times New Roman" w:eastAsia="Times New Roman" w:hAnsi="Times New Roman"/>
          <w:sz w:val="18"/>
          <w:szCs w:val="18"/>
          <w:color w:val="auto"/>
        </w:rPr>
      </w:pPr>
    </w:p>
    <w:p>
      <w:pPr>
        <w:ind w:left="1300" w:right="20" w:hanging="648"/>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1.6All materials required by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from </w:t>
      </w:r>
      <w:r>
        <w:rPr>
          <w:rFonts w:ascii="Times New Roman" w:cs="Times New Roman" w:eastAsia="Times New Roman" w:hAnsi="Times New Roman"/>
          <w:sz w:val="18"/>
          <w:szCs w:val="18"/>
          <w:b w:val="1"/>
          <w:bCs w:val="1"/>
          <w:color w:val="auto"/>
        </w:rPr>
        <w:t>NIH</w:t>
      </w:r>
      <w:r>
        <w:rPr>
          <w:rFonts w:ascii="Times New Roman" w:cs="Times New Roman" w:eastAsia="Times New Roman" w:hAnsi="Times New Roman"/>
          <w:sz w:val="18"/>
          <w:szCs w:val="18"/>
          <w:color w:val="auto"/>
        </w:rPr>
        <w:t xml:space="preserve"> for the performance of the </w:t>
      </w:r>
      <w:r>
        <w:rPr>
          <w:rFonts w:ascii="Times New Roman" w:cs="Times New Roman" w:eastAsia="Times New Roman" w:hAnsi="Times New Roman"/>
          <w:sz w:val="18"/>
          <w:szCs w:val="18"/>
          <w:b w:val="1"/>
          <w:bCs w:val="1"/>
          <w:color w:val="auto"/>
        </w:rPr>
        <w:t>Commercial Development Plan</w:t>
      </w:r>
      <w:r>
        <w:rPr>
          <w:rFonts w:ascii="Times New Roman" w:cs="Times New Roman" w:eastAsia="Times New Roman" w:hAnsi="Times New Roman"/>
          <w:sz w:val="18"/>
          <w:szCs w:val="18"/>
          <w:color w:val="auto"/>
        </w:rPr>
        <w:t xml:space="preserve"> will be obtained by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under a Cooperative Research and Development Agreement (</w:t>
      </w:r>
      <w:r>
        <w:rPr>
          <w:rFonts w:ascii="Times New Roman" w:cs="Times New Roman" w:eastAsia="Times New Roman" w:hAnsi="Times New Roman"/>
          <w:sz w:val="18"/>
          <w:szCs w:val="18"/>
          <w:b w:val="1"/>
          <w:bCs w:val="1"/>
          <w:color w:val="auto"/>
        </w:rPr>
        <w:t>“CRADA”</w:t>
      </w:r>
      <w:r>
        <w:rPr>
          <w:rFonts w:ascii="Times New Roman" w:cs="Times New Roman" w:eastAsia="Times New Roman" w:hAnsi="Times New Roman"/>
          <w:sz w:val="18"/>
          <w:szCs w:val="18"/>
          <w:color w:val="auto"/>
        </w:rPr>
        <w:t xml:space="preserve">). Therefore, no materials will be distributed under the terms and conditions 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If additional materials are required, they will either be obtained by request and amendment of the </w:t>
      </w:r>
      <w:r>
        <w:rPr>
          <w:rFonts w:ascii="Times New Roman" w:cs="Times New Roman" w:eastAsia="Times New Roman" w:hAnsi="Times New Roman"/>
          <w:sz w:val="18"/>
          <w:szCs w:val="18"/>
          <w:b w:val="1"/>
          <w:bCs w:val="1"/>
          <w:color w:val="auto"/>
        </w:rPr>
        <w:t>CRADA</w:t>
      </w:r>
      <w:r>
        <w:rPr>
          <w:rFonts w:ascii="Times New Roman" w:cs="Times New Roman" w:eastAsia="Times New Roman" w:hAnsi="Times New Roman"/>
          <w:sz w:val="18"/>
          <w:szCs w:val="18"/>
          <w:color w:val="auto"/>
        </w:rPr>
        <w:t xml:space="preserve">, or by request and amendment 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80"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p>
    <w:p>
      <w:pPr>
        <w:spacing w:after="0" w:line="221" w:lineRule="exact"/>
        <w:rPr>
          <w:rFonts w:ascii="Times New Roman" w:cs="Times New Roman" w:eastAsia="Times New Roman" w:hAnsi="Times New Roman"/>
          <w:sz w:val="18"/>
          <w:szCs w:val="18"/>
          <w:color w:val="auto"/>
        </w:rPr>
      </w:pPr>
    </w:p>
    <w:p>
      <w:pPr>
        <w:jc w:val="both"/>
        <w:ind w:left="1300" w:right="20" w:hanging="648"/>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w:t>
      </w:r>
      <w:r>
        <w:rPr>
          <w:rFonts w:ascii="Times New Roman" w:cs="Times New Roman" w:eastAsia="Times New Roman" w:hAnsi="Times New Roman"/>
          <w:sz w:val="18"/>
          <w:szCs w:val="18"/>
          <w:b w:val="1"/>
          <w:bCs w:val="1"/>
          <w:color w:val="auto"/>
        </w:rPr>
        <w:t>Additional License</w:t>
      </w:r>
      <w:r>
        <w:rPr>
          <w:rFonts w:ascii="Times New Roman" w:cs="Times New Roman" w:eastAsia="Times New Roman" w:hAnsi="Times New Roman"/>
          <w:sz w:val="18"/>
          <w:szCs w:val="18"/>
          <w:color w:val="auto"/>
        </w:rPr>
        <w:t>” means an exclusive or non-exclusive license that includes the</w:t>
      </w:r>
      <w:r>
        <w:rPr>
          <w:rFonts w:ascii="Times New Roman" w:cs="Times New Roman" w:eastAsia="Times New Roman" w:hAnsi="Times New Roman"/>
          <w:sz w:val="18"/>
          <w:szCs w:val="18"/>
          <w:b w:val="1"/>
          <w:bCs w:val="1"/>
          <w:color w:val="auto"/>
        </w:rPr>
        <w:t xml:space="preserve"> Licensed Patent Rights </w:t>
      </w:r>
      <w:r>
        <w:rPr>
          <w:rFonts w:ascii="Times New Roman" w:cs="Times New Roman" w:eastAsia="Times New Roman" w:hAnsi="Times New Roman"/>
          <w:sz w:val="18"/>
          <w:szCs w:val="18"/>
          <w:color w:val="auto"/>
        </w:rPr>
        <w:t>and is granted to a</w:t>
      </w:r>
      <w:r>
        <w:rPr>
          <w:rFonts w:ascii="Times New Roman" w:cs="Times New Roman" w:eastAsia="Times New Roman" w:hAnsi="Times New Roman"/>
          <w:sz w:val="18"/>
          <w:szCs w:val="18"/>
          <w:b w:val="1"/>
          <w:bCs w:val="1"/>
          <w:color w:val="auto"/>
        </w:rPr>
        <w:t xml:space="preserve"> Third Party </w:t>
      </w:r>
      <w:r>
        <w:rPr>
          <w:rFonts w:ascii="Times New Roman" w:cs="Times New Roman" w:eastAsia="Times New Roman" w:hAnsi="Times New Roman"/>
          <w:sz w:val="18"/>
          <w:szCs w:val="18"/>
          <w:color w:val="auto"/>
        </w:rPr>
        <w:t>who is responsible for paying a share of patent expenses, and wherein the exclusive or non-exclusive license has a</w:t>
      </w:r>
      <w:r>
        <w:rPr>
          <w:rFonts w:ascii="Times New Roman" w:cs="Times New Roman" w:eastAsia="Times New Roman" w:hAnsi="Times New Roman"/>
          <w:sz w:val="18"/>
          <w:szCs w:val="18"/>
          <w:b w:val="1"/>
          <w:bCs w:val="1"/>
          <w:color w:val="auto"/>
        </w:rPr>
        <w:t xml:space="preserve"> Licensed Field(s) of Use </w:t>
      </w:r>
      <w:r>
        <w:rPr>
          <w:rFonts w:ascii="Times New Roman" w:cs="Times New Roman" w:eastAsia="Times New Roman" w:hAnsi="Times New Roman"/>
          <w:sz w:val="18"/>
          <w:szCs w:val="18"/>
          <w:color w:val="auto"/>
        </w:rPr>
        <w:t>directed to therapeutic applications.</w:t>
      </w:r>
      <w:r>
        <w:rPr>
          <w:rFonts w:ascii="Times New Roman" w:cs="Times New Roman" w:eastAsia="Times New Roman" w:hAnsi="Times New Roman"/>
          <w:sz w:val="18"/>
          <w:szCs w:val="18"/>
          <w:b w:val="1"/>
          <w:bCs w:val="1"/>
          <w:color w:val="auto"/>
        </w:rPr>
        <w:t xml:space="preserve"> Additional License </w:t>
      </w:r>
      <w:r>
        <w:rPr>
          <w:rFonts w:ascii="Times New Roman" w:cs="Times New Roman" w:eastAsia="Times New Roman" w:hAnsi="Times New Roman"/>
          <w:sz w:val="18"/>
          <w:szCs w:val="18"/>
          <w:color w:val="auto"/>
        </w:rPr>
        <w:t>specifically excludes exclusive or non-exclusive licenses directed solely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evaluation, internal research use or commercialization of research reagents.</w:t>
      </w:r>
    </w:p>
    <w:p>
      <w:pPr>
        <w:spacing w:after="0" w:line="176" w:lineRule="exact"/>
        <w:rPr>
          <w:rFonts w:ascii="Times New Roman" w:cs="Times New Roman" w:eastAsia="Times New Roman" w:hAnsi="Times New Roman"/>
          <w:sz w:val="18"/>
          <w:szCs w:val="18"/>
          <w:color w:val="auto"/>
        </w:rPr>
      </w:pPr>
    </w:p>
    <w:p>
      <w:pPr>
        <w:ind w:left="1300" w:hanging="648"/>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18"/>
          <w:szCs w:val="18"/>
          <w:b w:val="1"/>
          <w:bCs w:val="1"/>
          <w:color w:val="auto"/>
        </w:rPr>
        <w:t>Affiliate(s)</w:t>
      </w:r>
      <w:r>
        <w:rPr>
          <w:rFonts w:ascii="Times New Roman" w:cs="Times New Roman" w:eastAsia="Times New Roman" w:hAnsi="Times New Roman"/>
          <w:sz w:val="18"/>
          <w:szCs w:val="18"/>
          <w:color w:val="auto"/>
        </w:rPr>
        <w:t xml:space="preserve">” means a corporation or other business entity, which directly or indirectly is controlled by or controls, or is under common control with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For this purpose, the term "control" shall mean ownership of more than fifty percent (50%) of the voting stock or other ownership interest of the corporation or other business entity, or the power to elect or appoint more than fifty percent (50%) of the members of the governing body of the corporation or other business entity.</w:t>
      </w:r>
    </w:p>
    <w:p>
      <w:pPr>
        <w:spacing w:after="0" w:line="17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w:t>
      </w:r>
      <w:r>
        <w:rPr>
          <w:rFonts w:ascii="Times New Roman" w:cs="Times New Roman" w:eastAsia="Times New Roman" w:hAnsi="Times New Roman"/>
          <w:sz w:val="18"/>
          <w:szCs w:val="18"/>
          <w:b w:val="1"/>
          <w:bCs w:val="1"/>
          <w:color w:val="auto"/>
        </w:rPr>
        <w:t>Benchmarks</w:t>
      </w:r>
      <w:r>
        <w:rPr>
          <w:rFonts w:ascii="Times New Roman" w:cs="Times New Roman" w:eastAsia="Times New Roman" w:hAnsi="Times New Roman"/>
          <w:sz w:val="18"/>
          <w:szCs w:val="18"/>
          <w:color w:val="auto"/>
        </w:rPr>
        <w:t>” mean the performance milestones that are set forth in Appendix D.</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w:t>
      </w:r>
      <w:r>
        <w:rPr>
          <w:rFonts w:ascii="Times New Roman" w:cs="Times New Roman" w:eastAsia="Times New Roman" w:hAnsi="Times New Roman"/>
          <w:sz w:val="18"/>
          <w:szCs w:val="18"/>
          <w:b w:val="1"/>
          <w:bCs w:val="1"/>
          <w:color w:val="auto"/>
        </w:rPr>
        <w:t>Commercial Development Plan</w:t>
      </w:r>
      <w:r>
        <w:rPr>
          <w:rFonts w:ascii="Times New Roman" w:cs="Times New Roman" w:eastAsia="Times New Roman" w:hAnsi="Times New Roman"/>
          <w:sz w:val="18"/>
          <w:szCs w:val="18"/>
          <w:color w:val="auto"/>
        </w:rPr>
        <w:t>” means the written commercialization plan attached as Appendix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A-035-2017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NIH </w:t>
      </w:r>
      <w:r>
        <w:rPr>
          <w:rFonts w:ascii="Times New Roman" w:cs="Times New Roman" w:eastAsia="Times New Roman" w:hAnsi="Times New Roman"/>
          <w:sz w:val="14"/>
          <w:szCs w:val="14"/>
          <w:color w:val="auto"/>
        </w:rPr>
        <w:t>Patent License Agreement--</w:t>
      </w:r>
      <w:r>
        <w:rPr>
          <w:rFonts w:ascii="Times New Roman" w:cs="Times New Roman" w:eastAsia="Times New Roman" w:hAnsi="Times New Roman"/>
          <w:sz w:val="14"/>
          <w:szCs w:val="14"/>
          <w:i w:val="1"/>
          <w:iCs w:val="1"/>
          <w:color w:val="auto"/>
        </w:rPr>
        <w:t>Exclusive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Model 10-2015 [Final] [Selecta Biosciences] [3 April 2017]</w:t>
      </w:r>
    </w:p>
    <w:p>
      <w:pPr>
        <w:sectPr>
          <w:pgSz w:w="11900" w:h="16838" w:orient="portrait"/>
          <w:cols w:equalWidth="0" w:num="1">
            <w:col w:w="11380"/>
          </w:cols>
          <w:pgMar w:left="240" w:top="360" w:right="279" w:bottom="1440" w:gutter="0" w:footer="0" w:header="0"/>
        </w:sectPr>
      </w:pPr>
    </w:p>
    <w:bookmarkStart w:id="94" w:name="page95"/>
    <w:bookmarkEnd w:id="94"/>
    <w:p>
      <w:pPr>
        <w:ind w:left="1300" w:hanging="647"/>
        <w:spacing w:after="0" w:line="275" w:lineRule="auto"/>
        <w:tabs>
          <w:tab w:leader="none" w:pos="1280" w:val="left"/>
        </w:tabs>
        <w:rPr>
          <w:sz w:val="20"/>
          <w:szCs w:val="20"/>
          <w:color w:val="auto"/>
        </w:rPr>
      </w:pPr>
      <w:r>
        <w:rPr>
          <w:rFonts w:ascii="Times New Roman" w:cs="Times New Roman" w:eastAsia="Times New Roman" w:hAnsi="Times New Roman"/>
          <w:sz w:val="18"/>
          <w:szCs w:val="18"/>
          <w:color w:val="auto"/>
        </w:rPr>
        <w:t>2.5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Commercially Reasonable Efforts</w:t>
      </w:r>
      <w:r>
        <w:rPr>
          <w:rFonts w:ascii="Times New Roman" w:cs="Times New Roman" w:eastAsia="Times New Roman" w:hAnsi="Times New Roman"/>
          <w:sz w:val="17"/>
          <w:szCs w:val="17"/>
          <w:color w:val="auto"/>
        </w:rPr>
        <w:t>” means the level of efforts and resources consistent with the efforts and resources normally used by a similarly situated biotechnology company in the exercise of commercially reasonable business discretion relating to the manufacture, development or commercialization of a biopharmaceutical product with similar product characteristics that is of similar market potential at a similar stage of development or commercialization, taking into account issues of efficacy, safety, product profile, anticipated or approved labeling, present and future market potential, competitive market conditions, the proprietary position of the drug substance or product, the regulatory structure involved, and other key technical, legal, scientific, medical or commercial factors, and the profitability of the product.</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CRADA”</w:t>
      </w:r>
      <w:r>
        <w:rPr>
          <w:rFonts w:ascii="Times New Roman" w:cs="Times New Roman" w:eastAsia="Times New Roman" w:hAnsi="Times New Roman"/>
          <w:sz w:val="18"/>
          <w:szCs w:val="18"/>
          <w:color w:val="auto"/>
        </w:rPr>
        <w:t xml:space="preserve"> means a Cooperative Research and Development Agreement.</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FDA</w:t>
      </w:r>
      <w:r>
        <w:rPr>
          <w:rFonts w:ascii="Times New Roman" w:cs="Times New Roman" w:eastAsia="Times New Roman" w:hAnsi="Times New Roman"/>
          <w:sz w:val="18"/>
          <w:szCs w:val="18"/>
          <w:color w:val="auto"/>
        </w:rPr>
        <w:t>” means the Food and Drug Administration.</w:t>
      </w:r>
    </w:p>
    <w:p>
      <w:pPr>
        <w:spacing w:after="0" w:line="225" w:lineRule="exact"/>
        <w:rPr>
          <w:sz w:val="20"/>
          <w:szCs w:val="20"/>
          <w:color w:val="auto"/>
        </w:rPr>
      </w:pPr>
    </w:p>
    <w:p>
      <w:pPr>
        <w:ind w:left="1300" w:right="8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color w:val="auto"/>
        </w:rPr>
        <w:t>2.8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xml:space="preserve">” means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by or on behalf of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or its sublicensees of the </w:t>
      </w:r>
      <w:r>
        <w:rPr>
          <w:rFonts w:ascii="Times New Roman" w:cs="Times New Roman" w:eastAsia="Times New Roman" w:hAnsi="Times New Roman"/>
          <w:sz w:val="18"/>
          <w:szCs w:val="18"/>
          <w:b w:val="1"/>
          <w:bCs w:val="1"/>
          <w:color w:val="auto"/>
        </w:rPr>
        <w:t>Licensed Products</w:t>
      </w:r>
      <w:r>
        <w:rPr>
          <w:rFonts w:ascii="Times New Roman" w:cs="Times New Roman" w:eastAsia="Times New Roman" w:hAnsi="Times New Roman"/>
          <w:sz w:val="18"/>
          <w:szCs w:val="18"/>
          <w:color w:val="auto"/>
        </w:rPr>
        <w:t xml:space="preserve"> or the initial practice of a </w:t>
      </w:r>
      <w:r>
        <w:rPr>
          <w:rFonts w:ascii="Times New Roman" w:cs="Times New Roman" w:eastAsia="Times New Roman" w:hAnsi="Times New Roman"/>
          <w:sz w:val="18"/>
          <w:szCs w:val="18"/>
          <w:b w:val="1"/>
          <w:bCs w:val="1"/>
          <w:color w:val="auto"/>
        </w:rPr>
        <w:t>Licensed Process</w:t>
      </w:r>
      <w:r>
        <w:rPr>
          <w:rFonts w:ascii="Times New Roman" w:cs="Times New Roman" w:eastAsia="Times New Roman" w:hAnsi="Times New Roman"/>
          <w:sz w:val="18"/>
          <w:szCs w:val="18"/>
          <w:color w:val="auto"/>
        </w:rPr>
        <w:t xml:space="preserve"> by or on behalf of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or its sublicensees in exchange for cash or some equivalent to which value can be assigned for the purpose of determining </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2.9</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w:t>
      </w:r>
      <w:r>
        <w:rPr>
          <w:rFonts w:ascii="Times New Roman" w:cs="Times New Roman" w:eastAsia="Times New Roman" w:hAnsi="Times New Roman"/>
          <w:sz w:val="18"/>
          <w:szCs w:val="18"/>
          <w:color w:val="auto"/>
        </w:rPr>
        <w:t>” means the Government of the United States of America.</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Licensed Fields of Use</w:t>
      </w:r>
      <w:r>
        <w:rPr>
          <w:rFonts w:ascii="Times New Roman" w:cs="Times New Roman" w:eastAsia="Times New Roman" w:hAnsi="Times New Roman"/>
          <w:sz w:val="17"/>
          <w:szCs w:val="17"/>
          <w:color w:val="auto"/>
        </w:rPr>
        <w:t>” means the fields of use identified in Appendix B.</w:t>
      </w:r>
    </w:p>
    <w:p>
      <w:pPr>
        <w:spacing w:after="0" w:line="22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Licensed Patent Rights</w:t>
      </w:r>
      <w:r>
        <w:rPr>
          <w:rFonts w:ascii="Times New Roman" w:cs="Times New Roman" w:eastAsia="Times New Roman" w:hAnsi="Times New Roman"/>
          <w:sz w:val="17"/>
          <w:szCs w:val="17"/>
          <w:color w:val="auto"/>
        </w:rPr>
        <w:t>” shall mean:</w:t>
      </w:r>
    </w:p>
    <w:p>
      <w:pPr>
        <w:spacing w:after="0" w:line="229" w:lineRule="exact"/>
        <w:rPr>
          <w:sz w:val="20"/>
          <w:szCs w:val="20"/>
          <w:color w:val="auto"/>
        </w:rPr>
      </w:pPr>
    </w:p>
    <w:p>
      <w:pPr>
        <w:ind w:left="1960" w:hanging="655"/>
        <w:spacing w:after="0" w:line="266" w:lineRule="auto"/>
        <w:tabs>
          <w:tab w:leader="none" w:pos="1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applications (including provisional patent applications and PCT patent applications) or patents listed in Appendix A, all divisions and continuations of these applications, all patents issuing from these applications, divisions, and continuations, and any reissues, reexaminations, and extensions of these patents;</w:t>
      </w:r>
    </w:p>
    <w:p>
      <w:pPr>
        <w:spacing w:after="0" w:line="176"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following contain one or more claims directed to the invention or inventions disclosed in 2.11(a):</w:t>
      </w:r>
    </w:p>
    <w:p>
      <w:pPr>
        <w:spacing w:after="0" w:line="196" w:lineRule="exact"/>
        <w:rPr>
          <w:rFonts w:ascii="Times New Roman" w:cs="Times New Roman" w:eastAsia="Times New Roman" w:hAnsi="Times New Roman"/>
          <w:sz w:val="18"/>
          <w:szCs w:val="18"/>
          <w:color w:val="auto"/>
        </w:rPr>
      </w:pPr>
    </w:p>
    <w:p>
      <w:pPr>
        <w:ind w:left="2600" w:hanging="647"/>
        <w:spacing w:after="0" w:line="207" w:lineRule="exact"/>
        <w:tabs>
          <w:tab w:leader="none" w:pos="26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 of 2.11(a);</w:t>
      </w:r>
    </w:p>
    <w:p>
      <w:pPr>
        <w:spacing w:after="0" w:line="225" w:lineRule="exact"/>
        <w:rPr>
          <w:rFonts w:ascii="Times New Roman" w:cs="Times New Roman" w:eastAsia="Times New Roman" w:hAnsi="Times New Roman"/>
          <w:sz w:val="18"/>
          <w:szCs w:val="18"/>
          <w:color w:val="auto"/>
        </w:rPr>
      </w:pPr>
    </w:p>
    <w:p>
      <w:pPr>
        <w:ind w:left="2600" w:hanging="647"/>
        <w:spacing w:after="0" w:line="207" w:lineRule="exact"/>
        <w:tabs>
          <w:tab w:leader="none" w:pos="26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divisions and continuations of these continuations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w:t>
      </w:r>
    </w:p>
    <w:p>
      <w:pPr>
        <w:spacing w:after="0" w:line="225" w:lineRule="exact"/>
        <w:rPr>
          <w:rFonts w:ascii="Times New Roman" w:cs="Times New Roman" w:eastAsia="Times New Roman" w:hAnsi="Times New Roman"/>
          <w:sz w:val="18"/>
          <w:szCs w:val="18"/>
          <w:color w:val="auto"/>
        </w:rPr>
      </w:pPr>
    </w:p>
    <w:p>
      <w:pPr>
        <w:ind w:left="2600" w:hanging="647"/>
        <w:spacing w:after="0" w:line="207" w:lineRule="exact"/>
        <w:tabs>
          <w:tab w:leader="none" w:pos="26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patents issuing from these continuations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 divisions, and continuations;</w:t>
      </w:r>
    </w:p>
    <w:p>
      <w:pPr>
        <w:spacing w:after="0" w:line="253"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priority patent application(s) of 2.11(a); and</w:t>
      </w:r>
    </w:p>
    <w:p>
      <w:pPr>
        <w:spacing w:after="0" w:line="225"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reissues, reexaminations, and extensions of these patents;</w:t>
      </w:r>
    </w:p>
    <w:p>
      <w:pPr>
        <w:spacing w:after="0" w:line="225" w:lineRule="exact"/>
        <w:rPr>
          <w:rFonts w:ascii="Times New Roman" w:cs="Times New Roman" w:eastAsia="Times New Roman" w:hAnsi="Times New Roman"/>
          <w:sz w:val="18"/>
          <w:szCs w:val="18"/>
          <w:color w:val="auto"/>
        </w:rPr>
      </w:pPr>
    </w:p>
    <w:p>
      <w:pPr>
        <w:ind w:left="1960" w:right="340" w:hanging="655"/>
        <w:spacing w:after="0" w:line="313" w:lineRule="auto"/>
        <w:tabs>
          <w:tab w:leader="none" w:pos="196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the following contain one or more claims directed to the invention or inventions disclosed in 2.11(a): all counterpart foreign and U.S. patent applications and patents to 2.11(a) and 2.11(b), including those listed in Appendix A; and</w:t>
      </w:r>
    </w:p>
    <w:p>
      <w:pPr>
        <w:spacing w:after="0" w:line="134" w:lineRule="exact"/>
        <w:rPr>
          <w:rFonts w:ascii="Times New Roman" w:cs="Times New Roman" w:eastAsia="Times New Roman" w:hAnsi="Times New Roman"/>
          <w:sz w:val="17"/>
          <w:szCs w:val="17"/>
          <w:color w:val="auto"/>
        </w:rPr>
      </w:pPr>
    </w:p>
    <w:p>
      <w:pPr>
        <w:ind w:left="1960" w:hanging="655"/>
        <w:spacing w:after="0"/>
        <w:tabs>
          <w:tab w:leader="none" w:pos="19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Licensed Patent Rights </w:t>
      </w:r>
      <w:r>
        <w:rPr>
          <w:rFonts w:ascii="Times New Roman" w:cs="Times New Roman" w:eastAsia="Times New Roman" w:hAnsi="Times New Roman"/>
          <w:sz w:val="18"/>
          <w:szCs w:val="18"/>
          <w:color w:val="auto"/>
        </w:rPr>
        <w:t>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900" w:firstLine="8"/>
        <w:spacing w:after="0" w:line="282" w:lineRule="auto"/>
        <w:tabs>
          <w:tab w:leader="none" w:pos="348"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A-035-2017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NIH </w:t>
      </w:r>
      <w:r>
        <w:rPr>
          <w:rFonts w:ascii="Times New Roman" w:cs="Times New Roman" w:eastAsia="Times New Roman" w:hAnsi="Times New Roman"/>
          <w:sz w:val="14"/>
          <w:szCs w:val="14"/>
          <w:color w:val="auto"/>
        </w:rPr>
        <w:t>Patent License Agreement--</w:t>
      </w:r>
      <w:r>
        <w:rPr>
          <w:rFonts w:ascii="Times New Roman" w:cs="Times New Roman" w:eastAsia="Times New Roman" w:hAnsi="Times New Roman"/>
          <w:sz w:val="14"/>
          <w:szCs w:val="14"/>
          <w:i w:val="1"/>
          <w:iCs w:val="1"/>
          <w:color w:val="auto"/>
        </w:rPr>
        <w:t>Exclusive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Model 10-2015 [Final] [Selecta Biosciences] [3 April 2017]</w:t>
      </w:r>
    </w:p>
    <w:p>
      <w:pPr>
        <w:sectPr>
          <w:pgSz w:w="11900" w:h="16838" w:orient="portrait"/>
          <w:cols w:equalWidth="0" w:num="1">
            <w:col w:w="11320"/>
          </w:cols>
          <w:pgMar w:left="240" w:top="360" w:right="339" w:bottom="1440" w:gutter="0" w:footer="0" w:header="0"/>
        </w:sectPr>
      </w:pPr>
    </w:p>
    <w:bookmarkStart w:id="95" w:name="page96"/>
    <w:bookmarkEnd w:id="95"/>
    <w:p>
      <w:pPr>
        <w:jc w:val="both"/>
        <w:ind w:left="1300" w:right="24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color w:val="auto"/>
        </w:rPr>
        <w:t>2.12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Processes</w:t>
      </w:r>
      <w:r>
        <w:rPr>
          <w:rFonts w:ascii="Times New Roman" w:cs="Times New Roman" w:eastAsia="Times New Roman" w:hAnsi="Times New Roman"/>
          <w:sz w:val="18"/>
          <w:szCs w:val="18"/>
          <w:color w:val="auto"/>
        </w:rPr>
        <w:t xml:space="preserve">” means processes which, in the course of being practiced, would be within the scope of one or more claims of the </w:t>
      </w:r>
      <w:r>
        <w:rPr>
          <w:rFonts w:ascii="Times New Roman" w:cs="Times New Roman" w:eastAsia="Times New Roman" w:hAnsi="Times New Roman"/>
          <w:sz w:val="18"/>
          <w:szCs w:val="18"/>
          <w:b w:val="1"/>
          <w:bCs w:val="1"/>
          <w:color w:val="auto"/>
        </w:rPr>
        <w:t xml:space="preserve">Licensed Patent Rights </w:t>
      </w:r>
      <w:r>
        <w:rPr>
          <w:rFonts w:ascii="Times New Roman" w:cs="Times New Roman" w:eastAsia="Times New Roman" w:hAnsi="Times New Roman"/>
          <w:sz w:val="18"/>
          <w:szCs w:val="18"/>
          <w:color w:val="auto"/>
        </w:rPr>
        <w:t>that have not been held unpatentable, invalid or unenforceable by an unappealed or unappealable judgment of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court of competent jurisdiction.</w:t>
      </w:r>
    </w:p>
    <w:p>
      <w:pPr>
        <w:spacing w:after="0" w:line="171" w:lineRule="exact"/>
        <w:rPr>
          <w:sz w:val="20"/>
          <w:szCs w:val="20"/>
          <w:color w:val="auto"/>
        </w:rPr>
      </w:pPr>
    </w:p>
    <w:p>
      <w:pPr>
        <w:ind w:left="1300" w:right="4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color w:val="auto"/>
        </w:rPr>
        <w:t>2.13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Licensed Products</w:t>
      </w:r>
      <w:r>
        <w:rPr>
          <w:rFonts w:ascii="Times New Roman" w:cs="Times New Roman" w:eastAsia="Times New Roman" w:hAnsi="Times New Roman"/>
          <w:sz w:val="18"/>
          <w:szCs w:val="18"/>
          <w:color w:val="auto"/>
        </w:rPr>
        <w:t xml:space="preserve">” means tangible materials which, in the course of manufacture, use, sale, or importation, would be within the scope of one or more claims of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that have not been held unpatentable, invalid or unenforceable by an unappealed or unappealable judgment of a court of competent jurisdiction.</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Licensed Territory</w:t>
      </w:r>
      <w:r>
        <w:rPr>
          <w:rFonts w:ascii="Times New Roman" w:cs="Times New Roman" w:eastAsia="Times New Roman" w:hAnsi="Times New Roman"/>
          <w:sz w:val="17"/>
          <w:szCs w:val="17"/>
          <w:color w:val="auto"/>
        </w:rPr>
        <w:t>” means the geographical area identified in Appendix B.</w:t>
      </w:r>
    </w:p>
    <w:p>
      <w:pPr>
        <w:spacing w:after="0" w:line="225" w:lineRule="exact"/>
        <w:rPr>
          <w:sz w:val="20"/>
          <w:szCs w:val="20"/>
          <w:color w:val="auto"/>
        </w:rPr>
      </w:pPr>
    </w:p>
    <w:p>
      <w:pPr>
        <w:ind w:left="1300" w:hanging="647"/>
        <w:spacing w:after="0" w:line="255" w:lineRule="auto"/>
        <w:tabs>
          <w:tab w:leader="none" w:pos="1280" w:val="left"/>
        </w:tabs>
        <w:rPr>
          <w:sz w:val="20"/>
          <w:szCs w:val="20"/>
          <w:color w:val="auto"/>
        </w:rPr>
      </w:pPr>
      <w:r>
        <w:rPr>
          <w:rFonts w:ascii="Times New Roman" w:cs="Times New Roman" w:eastAsia="Times New Roman" w:hAnsi="Times New Roman"/>
          <w:sz w:val="18"/>
          <w:szCs w:val="18"/>
          <w:color w:val="auto"/>
        </w:rPr>
        <w:t>2.15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xml:space="preserve">” means the total gross receipts from </w:t>
      </w:r>
      <w:r>
        <w:rPr>
          <w:rFonts w:ascii="Times New Roman" w:cs="Times New Roman" w:eastAsia="Times New Roman" w:hAnsi="Times New Roman"/>
          <w:sz w:val="18"/>
          <w:szCs w:val="18"/>
          <w:b w:val="1"/>
          <w:bCs w:val="1"/>
          <w:color w:val="auto"/>
        </w:rPr>
        <w:t>Third Parties</w:t>
      </w:r>
      <w:r>
        <w:rPr>
          <w:rFonts w:ascii="Times New Roman" w:cs="Times New Roman" w:eastAsia="Times New Roman" w:hAnsi="Times New Roman"/>
          <w:sz w:val="18"/>
          <w:szCs w:val="18"/>
          <w:color w:val="auto"/>
        </w:rPr>
        <w:t xml:space="preserve"> for sales of </w:t>
      </w:r>
      <w:r>
        <w:rPr>
          <w:rFonts w:ascii="Times New Roman" w:cs="Times New Roman" w:eastAsia="Times New Roman" w:hAnsi="Times New Roman"/>
          <w:sz w:val="18"/>
          <w:szCs w:val="18"/>
          <w:b w:val="1"/>
          <w:bCs w:val="1"/>
          <w:color w:val="auto"/>
        </w:rPr>
        <w:t>Licensed Products</w:t>
      </w:r>
      <w:r>
        <w:rPr>
          <w:rFonts w:ascii="Times New Roman" w:cs="Times New Roman" w:eastAsia="Times New Roman" w:hAnsi="Times New Roman"/>
          <w:sz w:val="18"/>
          <w:szCs w:val="18"/>
          <w:color w:val="auto"/>
        </w:rPr>
        <w:t xml:space="preserve"> or practice of </w:t>
      </w:r>
      <w:r>
        <w:rPr>
          <w:rFonts w:ascii="Times New Roman" w:cs="Times New Roman" w:eastAsia="Times New Roman" w:hAnsi="Times New Roman"/>
          <w:sz w:val="18"/>
          <w:szCs w:val="18"/>
          <w:b w:val="1"/>
          <w:bCs w:val="1"/>
          <w:color w:val="auto"/>
        </w:rPr>
        <w:t>Licensed Processes</w:t>
      </w:r>
      <w:r>
        <w:rPr>
          <w:rFonts w:ascii="Times New Roman" w:cs="Times New Roman" w:eastAsia="Times New Roman" w:hAnsi="Times New Roman"/>
          <w:sz w:val="18"/>
          <w:szCs w:val="18"/>
          <w:color w:val="auto"/>
        </w:rPr>
        <w:t xml:space="preserve"> by or on behalf of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its </w:t>
      </w:r>
      <w:r>
        <w:rPr>
          <w:rFonts w:ascii="Times New Roman" w:cs="Times New Roman" w:eastAsia="Times New Roman" w:hAnsi="Times New Roman"/>
          <w:sz w:val="18"/>
          <w:szCs w:val="18"/>
          <w:b w:val="1"/>
          <w:bCs w:val="1"/>
          <w:color w:val="auto"/>
        </w:rPr>
        <w:t>Affiliates</w:t>
      </w:r>
      <w:r>
        <w:rPr>
          <w:rFonts w:ascii="Times New Roman" w:cs="Times New Roman" w:eastAsia="Times New Roman" w:hAnsi="Times New Roman"/>
          <w:sz w:val="18"/>
          <w:szCs w:val="18"/>
          <w:color w:val="auto"/>
        </w:rPr>
        <w:t xml:space="preserve"> or its sublicensees, and from leasing, renting, or otherwise making the </w:t>
      </w:r>
      <w:r>
        <w:rPr>
          <w:rFonts w:ascii="Times New Roman" w:cs="Times New Roman" w:eastAsia="Times New Roman" w:hAnsi="Times New Roman"/>
          <w:sz w:val="18"/>
          <w:szCs w:val="18"/>
          <w:b w:val="1"/>
          <w:bCs w:val="1"/>
          <w:color w:val="auto"/>
        </w:rPr>
        <w:t>Licensed Products</w:t>
      </w:r>
      <w:r>
        <w:rPr>
          <w:rFonts w:ascii="Times New Roman" w:cs="Times New Roman" w:eastAsia="Times New Roman" w:hAnsi="Times New Roman"/>
          <w:sz w:val="18"/>
          <w:szCs w:val="18"/>
          <w:color w:val="auto"/>
        </w:rPr>
        <w:t xml:space="preserve"> available to </w:t>
      </w:r>
      <w:r>
        <w:rPr>
          <w:rFonts w:ascii="Times New Roman" w:cs="Times New Roman" w:eastAsia="Times New Roman" w:hAnsi="Times New Roman"/>
          <w:sz w:val="18"/>
          <w:szCs w:val="18"/>
          <w:b w:val="1"/>
          <w:bCs w:val="1"/>
          <w:color w:val="auto"/>
        </w:rPr>
        <w:t xml:space="preserve">Third Parties </w:t>
      </w:r>
      <w:r>
        <w:rPr>
          <w:rFonts w:ascii="Times New Roman" w:cs="Times New Roman" w:eastAsia="Times New Roman" w:hAnsi="Times New Roman"/>
          <w:sz w:val="18"/>
          <w:szCs w:val="18"/>
          <w:color w:val="auto"/>
        </w:rPr>
        <w:t>without sale or other dispositions, whether invoiced or not, less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No deductions shall be made for commissions paid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individuals, whether they are with independent sales agencies or regularly employed by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or sublicensees, and on its payroll, or for the cost of collections. Notwithstanding the foregoing, the following will not be included in </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xml:space="preserve">: (a) samples of </w:t>
      </w:r>
      <w:r>
        <w:rPr>
          <w:rFonts w:ascii="Times New Roman" w:cs="Times New Roman" w:eastAsia="Times New Roman" w:hAnsi="Times New Roman"/>
          <w:sz w:val="18"/>
          <w:szCs w:val="18"/>
          <w:b w:val="1"/>
          <w:bCs w:val="1"/>
          <w:color w:val="auto"/>
        </w:rPr>
        <w:t>Licensed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Products </w:t>
      </w:r>
      <w:r>
        <w:rPr>
          <w:rFonts w:ascii="Times New Roman" w:cs="Times New Roman" w:eastAsia="Times New Roman" w:hAnsi="Times New Roman"/>
          <w:sz w:val="18"/>
          <w:szCs w:val="18"/>
          <w:color w:val="auto"/>
        </w:rPr>
        <w:t>used to promote additional</w:t>
      </w:r>
      <w:r>
        <w:rPr>
          <w:rFonts w:ascii="Times New Roman" w:cs="Times New Roman" w:eastAsia="Times New Roman" w:hAnsi="Times New Roman"/>
          <w:sz w:val="18"/>
          <w:szCs w:val="18"/>
          <w:b w:val="1"/>
          <w:bCs w:val="1"/>
          <w:color w:val="auto"/>
        </w:rPr>
        <w:t xml:space="preserve"> Net Sales</w:t>
      </w:r>
      <w:r>
        <w:rPr>
          <w:rFonts w:ascii="Times New Roman" w:cs="Times New Roman" w:eastAsia="Times New Roman" w:hAnsi="Times New Roman"/>
          <w:sz w:val="18"/>
          <w:szCs w:val="18"/>
          <w:color w:val="auto"/>
        </w:rPr>
        <w:t>, in amounts consistent with normal business practices of</w:t>
      </w:r>
      <w:r>
        <w:rPr>
          <w:rFonts w:ascii="Times New Roman" w:cs="Times New Roman" w:eastAsia="Times New Roman" w:hAnsi="Times New Roman"/>
          <w:sz w:val="18"/>
          <w:szCs w:val="18"/>
          <w:b w:val="1"/>
          <w:bCs w:val="1"/>
          <w:color w:val="auto"/>
        </w:rPr>
        <w:t xml:space="preserve"> Licensee </w:t>
      </w:r>
      <w:r>
        <w:rPr>
          <w:rFonts w:ascii="Times New Roman" w:cs="Times New Roman" w:eastAsia="Times New Roman" w:hAnsi="Times New Roman"/>
          <w:sz w:val="18"/>
          <w:szCs w:val="18"/>
          <w:color w:val="auto"/>
        </w:rPr>
        <w:t>and (b) disposal or use of</w:t>
      </w:r>
      <w:r>
        <w:rPr>
          <w:rFonts w:ascii="Times New Roman" w:cs="Times New Roman" w:eastAsia="Times New Roman" w:hAnsi="Times New Roman"/>
          <w:sz w:val="18"/>
          <w:szCs w:val="18"/>
          <w:b w:val="1"/>
          <w:bCs w:val="1"/>
          <w:color w:val="auto"/>
        </w:rPr>
        <w:t xml:space="preserve"> Licensed Products </w:t>
      </w:r>
      <w:r>
        <w:rPr>
          <w:rFonts w:ascii="Times New Roman" w:cs="Times New Roman" w:eastAsia="Times New Roman" w:hAnsi="Times New Roman"/>
          <w:sz w:val="18"/>
          <w:szCs w:val="18"/>
          <w:color w:val="auto"/>
        </w:rPr>
        <w:t xml:space="preserve">in clinical studies or under compassionate use, patient assistance, named patient use, test marketing programs or non-registrational studies or other similar programs or studies where the </w:t>
      </w:r>
      <w:r>
        <w:rPr>
          <w:rFonts w:ascii="Times New Roman" w:cs="Times New Roman" w:eastAsia="Times New Roman" w:hAnsi="Times New Roman"/>
          <w:sz w:val="18"/>
          <w:szCs w:val="18"/>
          <w:b w:val="1"/>
          <w:bCs w:val="1"/>
          <w:color w:val="auto"/>
        </w:rPr>
        <w:t>Licensed Product</w:t>
      </w:r>
      <w:r>
        <w:rPr>
          <w:rFonts w:ascii="Times New Roman" w:cs="Times New Roman" w:eastAsia="Times New Roman" w:hAnsi="Times New Roman"/>
          <w:sz w:val="18"/>
          <w:szCs w:val="18"/>
          <w:color w:val="auto"/>
        </w:rPr>
        <w:t xml:space="preserve"> is supplied without charge or at the actual manufacturing cost thereof.</w:t>
      </w:r>
    </w:p>
    <w:p>
      <w:pPr>
        <w:spacing w:after="0" w:line="182" w:lineRule="exact"/>
        <w:rPr>
          <w:sz w:val="20"/>
          <w:szCs w:val="20"/>
          <w:color w:val="auto"/>
        </w:rPr>
      </w:pPr>
    </w:p>
    <w:p>
      <w:pPr>
        <w:ind w:left="1300" w:right="4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color w:val="auto"/>
        </w:rPr>
        <w:t>2.16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Practical Application</w:t>
      </w:r>
      <w:r>
        <w:rPr>
          <w:rFonts w:ascii="Times New Roman" w:cs="Times New Roman" w:eastAsia="Times New Roman" w:hAnsi="Times New Roman"/>
          <w:sz w:val="18"/>
          <w:szCs w:val="18"/>
          <w:color w:val="auto"/>
        </w:rPr>
        <w:t xml:space="preserve">” means to manufacture in the case of a composition or product, to practice in the case of a process or method, or to operate in the case of a machine or system; and in each case, under these conditions as to establish that the invention is being utilized and that its benefits are to the extent permitted by law or </w:t>
      </w:r>
      <w:r>
        <w:rPr>
          <w:rFonts w:ascii="Times New Roman" w:cs="Times New Roman" w:eastAsia="Times New Roman" w:hAnsi="Times New Roman"/>
          <w:sz w:val="18"/>
          <w:szCs w:val="18"/>
          <w:b w:val="1"/>
          <w:bCs w:val="1"/>
          <w:color w:val="auto"/>
        </w:rPr>
        <w:t>Government</w:t>
      </w:r>
      <w:r>
        <w:rPr>
          <w:rFonts w:ascii="Times New Roman" w:cs="Times New Roman" w:eastAsia="Times New Roman" w:hAnsi="Times New Roman"/>
          <w:sz w:val="18"/>
          <w:szCs w:val="18"/>
          <w:color w:val="auto"/>
        </w:rPr>
        <w:t xml:space="preserve"> regulations available to the public on reasonable terms.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means one of the following:</w:t>
      </w:r>
    </w:p>
    <w:p>
      <w:pPr>
        <w:spacing w:after="0" w:line="225" w:lineRule="exact"/>
        <w:rPr>
          <w:sz w:val="20"/>
          <w:szCs w:val="20"/>
          <w:color w:val="auto"/>
        </w:rPr>
      </w:pPr>
    </w:p>
    <w:p>
      <w:pPr>
        <w:ind w:left="1960" w:right="60" w:hanging="655"/>
        <w:spacing w:after="0" w:line="259" w:lineRule="auto"/>
        <w:tabs>
          <w:tab w:leader="none" w:pos="1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instances where the </w:t>
      </w:r>
      <w:r>
        <w:rPr>
          <w:rFonts w:ascii="Times New Roman" w:cs="Times New Roman" w:eastAsia="Times New Roman" w:hAnsi="Times New Roman"/>
          <w:sz w:val="18"/>
          <w:szCs w:val="18"/>
          <w:b w:val="1"/>
          <w:bCs w:val="1"/>
          <w:color w:val="auto"/>
        </w:rPr>
        <w:t>Additional License(s)</w:t>
      </w:r>
      <w:r>
        <w:rPr>
          <w:rFonts w:ascii="Times New Roman" w:cs="Times New Roman" w:eastAsia="Times New Roman" w:hAnsi="Times New Roman"/>
          <w:sz w:val="18"/>
          <w:szCs w:val="18"/>
          <w:color w:val="auto"/>
        </w:rPr>
        <w:t xml:space="preserve"> granted by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recover a pre-determined percentage of patent costs, one hundred percent (100%) of patent prosecution costs minus the percentage of patent prosecution costs recovered by the </w:t>
      </w:r>
      <w:r>
        <w:rPr>
          <w:rFonts w:ascii="Times New Roman" w:cs="Times New Roman" w:eastAsia="Times New Roman" w:hAnsi="Times New Roman"/>
          <w:sz w:val="18"/>
          <w:szCs w:val="18"/>
          <w:b w:val="1"/>
          <w:b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License(s) </w:t>
      </w:r>
      <w:r>
        <w:rPr>
          <w:rFonts w:ascii="Times New Roman" w:cs="Times New Roman" w:eastAsia="Times New Roman" w:hAnsi="Times New Roman"/>
          <w:sz w:val="18"/>
          <w:szCs w:val="18"/>
          <w:color w:val="auto"/>
        </w:rPr>
        <w:t>which recover a pre-determined percentage of patent costs. For example, if</w:t>
      </w:r>
      <w:r>
        <w:rPr>
          <w:rFonts w:ascii="Times New Roman" w:cs="Times New Roman" w:eastAsia="Times New Roman" w:hAnsi="Times New Roman"/>
          <w:sz w:val="18"/>
          <w:szCs w:val="18"/>
          <w:b w:val="1"/>
          <w:bCs w:val="1"/>
          <w:color w:val="auto"/>
        </w:rPr>
        <w:t xml:space="preserve"> IC </w:t>
      </w:r>
      <w:r>
        <w:rPr>
          <w:rFonts w:ascii="Times New Roman" w:cs="Times New Roman" w:eastAsia="Times New Roman" w:hAnsi="Times New Roman"/>
          <w:sz w:val="18"/>
          <w:szCs w:val="18"/>
          <w:color w:val="auto"/>
        </w:rPr>
        <w:t>has granted an</w:t>
      </w:r>
      <w:r>
        <w:rPr>
          <w:rFonts w:ascii="Times New Roman" w:cs="Times New Roman" w:eastAsia="Times New Roman" w:hAnsi="Times New Roman"/>
          <w:sz w:val="18"/>
          <w:szCs w:val="18"/>
          <w:b w:val="1"/>
          <w:bCs w:val="1"/>
          <w:color w:val="auto"/>
        </w:rPr>
        <w:t xml:space="preserve"> Additional License </w:t>
      </w:r>
      <w:r>
        <w:rPr>
          <w:rFonts w:ascii="Times New Roman" w:cs="Times New Roman" w:eastAsia="Times New Roman" w:hAnsi="Times New Roman"/>
          <w:sz w:val="18"/>
          <w:szCs w:val="18"/>
          <w:color w:val="auto"/>
        </w:rPr>
        <w:t xml:space="preserve">which recovers twenty percent (20%) of patent prosecution costs, then the </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xml:space="preserve"> would be one hundred percent (100%) minus twenty percent (20%), or eighty percent (80%);</w:t>
      </w:r>
    </w:p>
    <w:p>
      <w:pPr>
        <w:spacing w:after="0" w:line="179" w:lineRule="exact"/>
        <w:rPr>
          <w:rFonts w:ascii="Times New Roman" w:cs="Times New Roman" w:eastAsia="Times New Roman" w:hAnsi="Times New Roman"/>
          <w:sz w:val="18"/>
          <w:szCs w:val="18"/>
          <w:color w:val="auto"/>
        </w:rPr>
      </w:pPr>
    </w:p>
    <w:p>
      <w:pPr>
        <w:ind w:left="1960" w:hanging="655"/>
        <w:spacing w:after="0" w:line="259" w:lineRule="auto"/>
        <w:tabs>
          <w:tab w:leader="none" w:pos="19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instances where the </w:t>
      </w:r>
      <w:r>
        <w:rPr>
          <w:rFonts w:ascii="Times New Roman" w:cs="Times New Roman" w:eastAsia="Times New Roman" w:hAnsi="Times New Roman"/>
          <w:sz w:val="18"/>
          <w:szCs w:val="18"/>
          <w:b w:val="1"/>
          <w:bCs w:val="1"/>
          <w:color w:val="auto"/>
        </w:rPr>
        <w:t>Additional Licenses</w:t>
      </w:r>
      <w:r>
        <w:rPr>
          <w:rFonts w:ascii="Times New Roman" w:cs="Times New Roman" w:eastAsia="Times New Roman" w:hAnsi="Times New Roman"/>
          <w:sz w:val="18"/>
          <w:szCs w:val="18"/>
          <w:color w:val="auto"/>
        </w:rPr>
        <w:t xml:space="preserve"> granted by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recover a full </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xml:space="preserve"> of patent prosecution costs, one (1) minus the value derived from the number of </w:t>
      </w:r>
      <w:r>
        <w:rPr>
          <w:rFonts w:ascii="Times New Roman" w:cs="Times New Roman" w:eastAsia="Times New Roman" w:hAnsi="Times New Roman"/>
          <w:sz w:val="18"/>
          <w:szCs w:val="18"/>
          <w:b w:val="1"/>
          <w:bCs w:val="1"/>
          <w:color w:val="auto"/>
        </w:rPr>
        <w:t>Additional Licenses</w:t>
      </w:r>
      <w:r>
        <w:rPr>
          <w:rFonts w:ascii="Times New Roman" w:cs="Times New Roman" w:eastAsia="Times New Roman" w:hAnsi="Times New Roman"/>
          <w:sz w:val="18"/>
          <w:szCs w:val="18"/>
          <w:color w:val="auto"/>
        </w:rPr>
        <w:t xml:space="preserve"> granted by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which recover a full </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xml:space="preserve"> of patent prosecution costs divided by the total number of licenses granted by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which recover a full </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xml:space="preserve"> of patent prosecution costs. For example, if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has granted 4 </w:t>
      </w:r>
      <w:r>
        <w:rPr>
          <w:rFonts w:ascii="Times New Roman" w:cs="Times New Roman" w:eastAsia="Times New Roman" w:hAnsi="Times New Roman"/>
          <w:sz w:val="18"/>
          <w:szCs w:val="18"/>
          <w:b w:val="1"/>
          <w:bCs w:val="1"/>
          <w:color w:val="auto"/>
        </w:rPr>
        <w:t>Additional Licenses</w:t>
      </w:r>
      <w:r>
        <w:rPr>
          <w:rFonts w:ascii="Times New Roman" w:cs="Times New Roman" w:eastAsia="Times New Roman" w:hAnsi="Times New Roman"/>
          <w:sz w:val="18"/>
          <w:szCs w:val="18"/>
          <w:color w:val="auto"/>
        </w:rPr>
        <w:t xml:space="preserve"> which recover a full </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xml:space="preserve"> of patent prosecution costs, then the </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xml:space="preserve"> would be, one (1) minus [four (4) divided by five (5)], or one fifth (1/5); or</w:t>
      </w:r>
    </w:p>
    <w:p>
      <w:pPr>
        <w:spacing w:after="0" w:line="200" w:lineRule="exact"/>
        <w:rPr>
          <w:sz w:val="20"/>
          <w:szCs w:val="20"/>
          <w:color w:val="auto"/>
        </w:rPr>
      </w:pPr>
    </w:p>
    <w:p>
      <w:pPr>
        <w:spacing w:after="0" w:line="222" w:lineRule="exact"/>
        <w:rPr>
          <w:sz w:val="20"/>
          <w:szCs w:val="20"/>
          <w:color w:val="auto"/>
        </w:rPr>
      </w:pPr>
    </w:p>
    <w:p>
      <w:pPr>
        <w:ind w:right="3960" w:firstLine="8"/>
        <w:spacing w:after="0" w:line="282" w:lineRule="auto"/>
        <w:tabs>
          <w:tab w:leader="none" w:pos="348" w:val="left"/>
        </w:tabs>
        <w:numPr>
          <w:ilvl w:val="0"/>
          <w:numId w:val="5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A-035-2017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NIH </w:t>
      </w:r>
      <w:r>
        <w:rPr>
          <w:rFonts w:ascii="Times New Roman" w:cs="Times New Roman" w:eastAsia="Times New Roman" w:hAnsi="Times New Roman"/>
          <w:sz w:val="14"/>
          <w:szCs w:val="14"/>
          <w:color w:val="auto"/>
        </w:rPr>
        <w:t>Patent License Agreement--</w:t>
      </w:r>
      <w:r>
        <w:rPr>
          <w:rFonts w:ascii="Times New Roman" w:cs="Times New Roman" w:eastAsia="Times New Roman" w:hAnsi="Times New Roman"/>
          <w:sz w:val="14"/>
          <w:szCs w:val="14"/>
          <w:i w:val="1"/>
          <w:iCs w:val="1"/>
          <w:color w:val="auto"/>
        </w:rPr>
        <w:t>Exclusive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Model 10-2015 [Final] [Selecta Biosciences] [3 April 2017]</w:t>
      </w:r>
    </w:p>
    <w:p>
      <w:pPr>
        <w:sectPr>
          <w:pgSz w:w="11900" w:h="16838" w:orient="portrait"/>
          <w:cols w:equalWidth="0" w:num="1">
            <w:col w:w="11380"/>
          </w:cols>
          <w:pgMar w:left="240" w:top="576" w:right="279" w:bottom="1440" w:gutter="0" w:footer="0" w:header="0"/>
        </w:sectPr>
      </w:pPr>
    </w:p>
    <w:bookmarkStart w:id="96" w:name="page97"/>
    <w:bookmarkEnd w:id="96"/>
    <w:p>
      <w:pPr>
        <w:ind w:left="1960" w:hanging="655"/>
        <w:spacing w:after="0" w:line="256" w:lineRule="auto"/>
        <w:tabs>
          <w:tab w:leader="none" w:pos="19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instances where the </w:t>
      </w:r>
      <w:r>
        <w:rPr>
          <w:rFonts w:ascii="Times New Roman" w:cs="Times New Roman" w:eastAsia="Times New Roman" w:hAnsi="Times New Roman"/>
          <w:sz w:val="18"/>
          <w:szCs w:val="18"/>
          <w:b w:val="1"/>
          <w:bCs w:val="1"/>
          <w:color w:val="auto"/>
        </w:rPr>
        <w:t>Additional Licenses</w:t>
      </w:r>
      <w:r>
        <w:rPr>
          <w:rFonts w:ascii="Times New Roman" w:cs="Times New Roman" w:eastAsia="Times New Roman" w:hAnsi="Times New Roman"/>
          <w:sz w:val="18"/>
          <w:szCs w:val="18"/>
          <w:color w:val="auto"/>
        </w:rPr>
        <w:t xml:space="preserve"> are granted according to the definition of both 2.17(a) and 2.17(b), the </w:t>
      </w:r>
      <w:r>
        <w:rPr>
          <w:rFonts w:ascii="Times New Roman" w:cs="Times New Roman" w:eastAsia="Times New Roman" w:hAnsi="Times New Roman"/>
          <w:sz w:val="18"/>
          <w:szCs w:val="18"/>
          <w:b w:val="1"/>
          <w:bCs w:val="1"/>
          <w:color w:val="auto"/>
        </w:rPr>
        <w:t>Pro Rata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Share </w:t>
      </w:r>
      <w:r>
        <w:rPr>
          <w:rFonts w:ascii="Times New Roman" w:cs="Times New Roman" w:eastAsia="Times New Roman" w:hAnsi="Times New Roman"/>
          <w:sz w:val="18"/>
          <w:szCs w:val="18"/>
          <w:color w:val="auto"/>
        </w:rPr>
        <w:t>paid by</w:t>
      </w:r>
      <w:r>
        <w:rPr>
          <w:rFonts w:ascii="Times New Roman" w:cs="Times New Roman" w:eastAsia="Times New Roman" w:hAnsi="Times New Roman"/>
          <w:sz w:val="18"/>
          <w:szCs w:val="18"/>
          <w:b w:val="1"/>
          <w:bCs w:val="1"/>
          <w:color w:val="auto"/>
        </w:rPr>
        <w:t xml:space="preserve"> Licensee </w:t>
      </w:r>
      <w:r>
        <w:rPr>
          <w:rFonts w:ascii="Times New Roman" w:cs="Times New Roman" w:eastAsia="Times New Roman" w:hAnsi="Times New Roman"/>
          <w:sz w:val="18"/>
          <w:szCs w:val="18"/>
          <w:color w:val="auto"/>
        </w:rPr>
        <w:t>will be the value derived from the</w:t>
      </w:r>
      <w:r>
        <w:rPr>
          <w:rFonts w:ascii="Times New Roman" w:cs="Times New Roman" w:eastAsia="Times New Roman" w:hAnsi="Times New Roman"/>
          <w:sz w:val="18"/>
          <w:szCs w:val="18"/>
          <w:b w:val="1"/>
          <w:bCs w:val="1"/>
          <w:color w:val="auto"/>
        </w:rPr>
        <w:t xml:space="preserve"> Pro Rata Share </w:t>
      </w:r>
      <w:r>
        <w:rPr>
          <w:rFonts w:ascii="Times New Roman" w:cs="Times New Roman" w:eastAsia="Times New Roman" w:hAnsi="Times New Roman"/>
          <w:sz w:val="18"/>
          <w:szCs w:val="18"/>
          <w:color w:val="auto"/>
        </w:rPr>
        <w:t>as determined under paragraph 2.17(a) multiplied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value derived from the </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xml:space="preserve"> as determined under paragraph 2.17(b). For example, if two (2) </w:t>
      </w:r>
      <w:r>
        <w:rPr>
          <w:rFonts w:ascii="Times New Roman" w:cs="Times New Roman" w:eastAsia="Times New Roman" w:hAnsi="Times New Roman"/>
          <w:sz w:val="18"/>
          <w:szCs w:val="18"/>
          <w:b w:val="1"/>
          <w:bCs w:val="1"/>
          <w:color w:val="auto"/>
        </w:rPr>
        <w:t>Additional Licenses</w:t>
      </w:r>
      <w:r>
        <w:rPr>
          <w:rFonts w:ascii="Times New Roman" w:cs="Times New Roman" w:eastAsia="Times New Roman" w:hAnsi="Times New Roman"/>
          <w:sz w:val="18"/>
          <w:szCs w:val="18"/>
          <w:color w:val="auto"/>
        </w:rPr>
        <w:t xml:space="preserve"> are granted wherein one (1) </w:t>
      </w:r>
      <w:r>
        <w:rPr>
          <w:rFonts w:ascii="Times New Roman" w:cs="Times New Roman" w:eastAsia="Times New Roman" w:hAnsi="Times New Roman"/>
          <w:sz w:val="18"/>
          <w:szCs w:val="18"/>
          <w:b w:val="1"/>
          <w:bCs w:val="1"/>
          <w:color w:val="auto"/>
        </w:rPr>
        <w:t>Additional License</w:t>
      </w:r>
      <w:r>
        <w:rPr>
          <w:rFonts w:ascii="Times New Roman" w:cs="Times New Roman" w:eastAsia="Times New Roman" w:hAnsi="Times New Roman"/>
          <w:sz w:val="18"/>
          <w:szCs w:val="18"/>
          <w:color w:val="auto"/>
        </w:rPr>
        <w:t xml:space="preserve"> recovers twenty percent (20%) of patent prosecution costs and one (1) </w:t>
      </w:r>
      <w:r>
        <w:rPr>
          <w:rFonts w:ascii="Times New Roman" w:cs="Times New Roman" w:eastAsia="Times New Roman" w:hAnsi="Times New Roman"/>
          <w:sz w:val="18"/>
          <w:szCs w:val="18"/>
          <w:b w:val="1"/>
          <w:bCs w:val="1"/>
          <w:color w:val="auto"/>
        </w:rPr>
        <w:t>Additional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License </w:t>
      </w:r>
      <w:r>
        <w:rPr>
          <w:rFonts w:ascii="Times New Roman" w:cs="Times New Roman" w:eastAsia="Times New Roman" w:hAnsi="Times New Roman"/>
          <w:sz w:val="18"/>
          <w:szCs w:val="18"/>
          <w:color w:val="auto"/>
        </w:rPr>
        <w:t>recovers a full</w:t>
      </w:r>
      <w:r>
        <w:rPr>
          <w:rFonts w:ascii="Times New Roman" w:cs="Times New Roman" w:eastAsia="Times New Roman" w:hAnsi="Times New Roman"/>
          <w:sz w:val="18"/>
          <w:szCs w:val="18"/>
          <w:b w:val="1"/>
          <w:bCs w:val="1"/>
          <w:color w:val="auto"/>
        </w:rPr>
        <w:t xml:space="preserve"> Pro Rata Share </w:t>
      </w:r>
      <w:r>
        <w:rPr>
          <w:rFonts w:ascii="Times New Roman" w:cs="Times New Roman" w:eastAsia="Times New Roman" w:hAnsi="Times New Roman"/>
          <w:sz w:val="18"/>
          <w:szCs w:val="18"/>
          <w:color w:val="auto"/>
        </w:rPr>
        <w:t>of patent prosecution costs, the</w:t>
      </w:r>
      <w:r>
        <w:rPr>
          <w:rFonts w:ascii="Times New Roman" w:cs="Times New Roman" w:eastAsia="Times New Roman" w:hAnsi="Times New Roman"/>
          <w:sz w:val="18"/>
          <w:szCs w:val="18"/>
          <w:b w:val="1"/>
          <w:bCs w:val="1"/>
          <w:color w:val="auto"/>
        </w:rPr>
        <w:t xml:space="preserve"> Pro Rata Share </w:t>
      </w:r>
      <w:r>
        <w:rPr>
          <w:rFonts w:ascii="Times New Roman" w:cs="Times New Roman" w:eastAsia="Times New Roman" w:hAnsi="Times New Roman"/>
          <w:sz w:val="18"/>
          <w:szCs w:val="18"/>
          <w:color w:val="auto"/>
        </w:rPr>
        <w:t>would be (one hundred percent (100%)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minus twenty percent (20%)) multiplied by (one (1) minus (one (1) divided by two (2))), or eighty percent (80%) multiplied by one half (1/2), equaling forty percent (40%).</w:t>
      </w:r>
    </w:p>
    <w:p>
      <w:pPr>
        <w:spacing w:after="0" w:line="183" w:lineRule="exact"/>
        <w:rPr>
          <w:sz w:val="20"/>
          <w:szCs w:val="20"/>
          <w:color w:val="auto"/>
        </w:rPr>
      </w:pPr>
    </w:p>
    <w:p>
      <w:pPr>
        <w:ind w:left="1300" w:right="18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color w:val="auto"/>
        </w:rPr>
        <w:t>2.18</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Research License</w:t>
      </w:r>
      <w:r>
        <w:rPr>
          <w:rFonts w:ascii="Times New Roman" w:cs="Times New Roman" w:eastAsia="Times New Roman" w:hAnsi="Times New Roman"/>
          <w:sz w:val="18"/>
          <w:szCs w:val="18"/>
          <w:color w:val="auto"/>
        </w:rPr>
        <w:t xml:space="preserve">” means a nontransferable, nonexclusive license to make and to use the </w:t>
      </w:r>
      <w:r>
        <w:rPr>
          <w:rFonts w:ascii="Times New Roman" w:cs="Times New Roman" w:eastAsia="Times New Roman" w:hAnsi="Times New Roman"/>
          <w:sz w:val="18"/>
          <w:szCs w:val="18"/>
          <w:b w:val="1"/>
          <w:bCs w:val="1"/>
          <w:color w:val="auto"/>
        </w:rPr>
        <w:t>Licensed Products</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b w:val="1"/>
          <w:bCs w:val="1"/>
          <w:color w:val="auto"/>
        </w:rPr>
        <w:t>Licensed Processes</w:t>
      </w:r>
      <w:r>
        <w:rPr>
          <w:rFonts w:ascii="Times New Roman" w:cs="Times New Roman" w:eastAsia="Times New Roman" w:hAnsi="Times New Roman"/>
          <w:sz w:val="18"/>
          <w:szCs w:val="18"/>
          <w:color w:val="auto"/>
        </w:rPr>
        <w:t xml:space="preserve"> as defined by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for purposes of research and not for purposes of commercial manufacture or distribution or in lieu of purchase.</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2.19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Third Party</w:t>
      </w:r>
      <w:r>
        <w:rPr>
          <w:rFonts w:ascii="Times New Roman" w:cs="Times New Roman" w:eastAsia="Times New Roman" w:hAnsi="Times New Roman"/>
          <w:sz w:val="17"/>
          <w:szCs w:val="17"/>
          <w:color w:val="auto"/>
        </w:rPr>
        <w:t xml:space="preserve">” means any entity other than (i) the </w:t>
      </w:r>
      <w:r>
        <w:rPr>
          <w:rFonts w:ascii="Times New Roman" w:cs="Times New Roman" w:eastAsia="Times New Roman" w:hAnsi="Times New Roman"/>
          <w:sz w:val="17"/>
          <w:szCs w:val="17"/>
          <w:b w:val="1"/>
          <w:bCs w:val="1"/>
          <w:color w:val="auto"/>
        </w:rPr>
        <w:t>NIH</w:t>
      </w:r>
      <w:r>
        <w:rPr>
          <w:rFonts w:ascii="Times New Roman" w:cs="Times New Roman" w:eastAsia="Times New Roman" w:hAnsi="Times New Roman"/>
          <w:sz w:val="17"/>
          <w:szCs w:val="17"/>
          <w:color w:val="auto"/>
        </w:rPr>
        <w:t xml:space="preserve"> or (ii) </w:t>
      </w:r>
      <w:r>
        <w:rPr>
          <w:rFonts w:ascii="Times New Roman" w:cs="Times New Roman" w:eastAsia="Times New Roman" w:hAnsi="Times New Roman"/>
          <w:sz w:val="17"/>
          <w:szCs w:val="17"/>
          <w:b w:val="1"/>
          <w:bCs w:val="1"/>
          <w:color w:val="auto"/>
        </w:rPr>
        <w:t>Licensee</w:t>
      </w:r>
      <w:r>
        <w:rPr>
          <w:rFonts w:ascii="Times New Roman" w:cs="Times New Roman" w:eastAsia="Times New Roman" w:hAnsi="Times New Roman"/>
          <w:sz w:val="17"/>
          <w:szCs w:val="17"/>
          <w:color w:val="auto"/>
        </w:rPr>
        <w:t xml:space="preserve">, its </w:t>
      </w:r>
      <w:r>
        <w:rPr>
          <w:rFonts w:ascii="Times New Roman" w:cs="Times New Roman" w:eastAsia="Times New Roman" w:hAnsi="Times New Roman"/>
          <w:sz w:val="17"/>
          <w:szCs w:val="17"/>
          <w:b w:val="1"/>
          <w:bCs w:val="1"/>
          <w:color w:val="auto"/>
        </w:rPr>
        <w:t>Affiliates</w:t>
      </w:r>
      <w:r>
        <w:rPr>
          <w:rFonts w:ascii="Times New Roman" w:cs="Times New Roman" w:eastAsia="Times New Roman" w:hAnsi="Times New Roman"/>
          <w:sz w:val="17"/>
          <w:szCs w:val="17"/>
          <w:color w:val="auto"/>
        </w:rPr>
        <w:t xml:space="preserve"> or its sublicensses.</w:t>
      </w:r>
    </w:p>
    <w:p>
      <w:pPr>
        <w:spacing w:after="0" w:line="229" w:lineRule="exact"/>
        <w:rPr>
          <w:sz w:val="20"/>
          <w:szCs w:val="20"/>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RIGHTS</w:t>
      </w:r>
    </w:p>
    <w:p>
      <w:pPr>
        <w:spacing w:after="0" w:line="221" w:lineRule="exact"/>
        <w:rPr>
          <w:rFonts w:ascii="Times New Roman" w:cs="Times New Roman" w:eastAsia="Times New Roman" w:hAnsi="Times New Roman"/>
          <w:sz w:val="18"/>
          <w:szCs w:val="18"/>
          <w:color w:val="auto"/>
        </w:rPr>
      </w:pPr>
    </w:p>
    <w:p>
      <w:pPr>
        <w:jc w:val="both"/>
        <w:ind w:left="1300" w:right="20" w:hanging="648"/>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3.1The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hereby grants and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accepts, subject to the terms and conditions 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an exclusive license to </w:t>
      </w:r>
      <w:r>
        <w:rPr>
          <w:rFonts w:ascii="Times New Roman" w:cs="Times New Roman" w:eastAsia="Times New Roman" w:hAnsi="Times New Roman"/>
          <w:sz w:val="18"/>
          <w:szCs w:val="18"/>
          <w:b w:val="1"/>
          <w:bCs w:val="1"/>
          <w:color w:val="auto"/>
        </w:rPr>
        <w:t>Group A</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and a non-exclusive license to </w:t>
      </w:r>
      <w:r>
        <w:rPr>
          <w:rFonts w:ascii="Times New Roman" w:cs="Times New Roman" w:eastAsia="Times New Roman" w:hAnsi="Times New Roman"/>
          <w:sz w:val="18"/>
          <w:szCs w:val="18"/>
          <w:b w:val="1"/>
          <w:bCs w:val="1"/>
          <w:color w:val="auto"/>
        </w:rPr>
        <w:t>Group B</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b w:val="1"/>
          <w:bCs w:val="1"/>
          <w:color w:val="auto"/>
        </w:rPr>
        <w:t>Licensed Territory</w:t>
      </w:r>
      <w:r>
        <w:rPr>
          <w:rFonts w:ascii="Times New Roman" w:cs="Times New Roman" w:eastAsia="Times New Roman" w:hAnsi="Times New Roman"/>
          <w:sz w:val="18"/>
          <w:szCs w:val="18"/>
          <w:color w:val="auto"/>
        </w:rPr>
        <w:t xml:space="preserve"> to make and have made, to use and have used, to sell and have sold, to offer to sell, and to import any </w:t>
      </w:r>
      <w:r>
        <w:rPr>
          <w:rFonts w:ascii="Times New Roman" w:cs="Times New Roman" w:eastAsia="Times New Roman" w:hAnsi="Times New Roman"/>
          <w:sz w:val="18"/>
          <w:szCs w:val="18"/>
          <w:b w:val="1"/>
          <w:bCs w:val="1"/>
          <w:color w:val="auto"/>
        </w:rPr>
        <w:t>Licensed Products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b w:val="1"/>
          <w:bCs w:val="1"/>
          <w:color w:val="auto"/>
        </w:rPr>
        <w:t>Licensed Fields of Use</w:t>
      </w:r>
      <w:r>
        <w:rPr>
          <w:rFonts w:ascii="Times New Roman" w:cs="Times New Roman" w:eastAsia="Times New Roman" w:hAnsi="Times New Roman"/>
          <w:sz w:val="18"/>
          <w:szCs w:val="18"/>
          <w:color w:val="auto"/>
        </w:rPr>
        <w:t xml:space="preserve"> and to practice and have practiced any </w:t>
      </w:r>
      <w:r>
        <w:rPr>
          <w:rFonts w:ascii="Times New Roman" w:cs="Times New Roman" w:eastAsia="Times New Roman" w:hAnsi="Times New Roman"/>
          <w:sz w:val="18"/>
          <w:szCs w:val="18"/>
          <w:b w:val="1"/>
          <w:bCs w:val="1"/>
          <w:color w:val="auto"/>
        </w:rPr>
        <w:t>Licensed Process(es)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b w:val="1"/>
          <w:bCs w:val="1"/>
          <w:color w:val="auto"/>
        </w:rPr>
        <w:t>Licensed Fields of Use</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r>
        <w:rPr>
          <w:rFonts w:ascii="Times New Roman" w:cs="Times New Roman" w:eastAsia="Times New Roman" w:hAnsi="Times New Roman"/>
          <w:sz w:val="17"/>
          <w:szCs w:val="17"/>
          <w:color w:val="auto"/>
        </w:rPr>
        <w:t xml:space="preserve">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xml:space="preserve"> confers no license or rights by implication, estoppel, or otherwise under any patent applications or patents of the </w:t>
      </w:r>
      <w:r>
        <w:rPr>
          <w:rFonts w:ascii="Times New Roman" w:cs="Times New Roman" w:eastAsia="Times New Roman" w:hAnsi="Times New Roman"/>
          <w:sz w:val="17"/>
          <w:szCs w:val="17"/>
          <w:b w:val="1"/>
          <w:bCs w:val="1"/>
          <w:color w:val="auto"/>
        </w:rPr>
        <w:t>IC</w:t>
      </w:r>
      <w:r>
        <w:rPr>
          <w:rFonts w:ascii="Times New Roman" w:cs="Times New Roman" w:eastAsia="Times New Roman" w:hAnsi="Times New Roman"/>
          <w:sz w:val="17"/>
          <w:szCs w:val="17"/>
          <w:color w:val="auto"/>
        </w:rPr>
        <w:t xml:space="preserve"> other</w:t>
      </w:r>
    </w:p>
    <w:p>
      <w:pPr>
        <w:spacing w:after="0" w:line="31"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than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regardless of whether these patents are dominant or subordinate to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SUBLICENSING</w:t>
      </w:r>
    </w:p>
    <w:p>
      <w:pPr>
        <w:spacing w:after="0" w:line="221" w:lineRule="exact"/>
        <w:rPr>
          <w:rFonts w:ascii="Times New Roman" w:cs="Times New Roman" w:eastAsia="Times New Roman" w:hAnsi="Times New Roman"/>
          <w:sz w:val="18"/>
          <w:szCs w:val="18"/>
          <w:color w:val="auto"/>
        </w:rPr>
      </w:pPr>
    </w:p>
    <w:p>
      <w:pPr>
        <w:ind w:left="1300" w:right="40" w:hanging="648"/>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4.1Upon written approval,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and which shall not be unreasonably withheld,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may enter into sublicensing agreements under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With respect to any proposed sublicense agreement, if the</w:t>
      </w:r>
      <w:r>
        <w:rPr>
          <w:rFonts w:ascii="Times New Roman" w:cs="Times New Roman" w:eastAsia="Times New Roman" w:hAnsi="Times New Roman"/>
          <w:sz w:val="18"/>
          <w:szCs w:val="18"/>
          <w:b w:val="1"/>
          <w:bCs w:val="1"/>
          <w:color w:val="auto"/>
        </w:rPr>
        <w:t xml:space="preserve"> IC </w:t>
      </w:r>
      <w:r>
        <w:rPr>
          <w:rFonts w:ascii="Times New Roman" w:cs="Times New Roman" w:eastAsia="Times New Roman" w:hAnsi="Times New Roman"/>
          <w:sz w:val="18"/>
          <w:szCs w:val="18"/>
          <w:color w:val="auto"/>
        </w:rPr>
        <w:t>does not provide the Licensee with written rejection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thereof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shall be deemed to have given its approval of such sublicense agreement and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shall have the right to enter into such sublicense agreement.</w:t>
      </w:r>
    </w:p>
    <w:p>
      <w:pPr>
        <w:spacing w:after="0" w:line="151" w:lineRule="exact"/>
        <w:rPr>
          <w:rFonts w:ascii="Times New Roman" w:cs="Times New Roman" w:eastAsia="Times New Roman" w:hAnsi="Times New Roman"/>
          <w:sz w:val="18"/>
          <w:szCs w:val="18"/>
          <w:color w:val="auto"/>
        </w:rPr>
      </w:pPr>
    </w:p>
    <w:p>
      <w:pPr>
        <w:ind w:left="1300" w:right="80" w:hanging="648"/>
        <w:spacing w:after="0" w:line="232"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4.2The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agrees that any sublicenses granted by it shall provide that the obligations to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of Paragraphs 5.1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5.4, 8.1, 10.1, 10.2, 12.5, and 13.8-13.10 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shall be binding upon the sublicensee as if it were a party to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further agrees to attach copies of these Paragraphs to all sublicense agreements.</w:t>
      </w:r>
    </w:p>
    <w:p>
      <w:pPr>
        <w:spacing w:after="0" w:line="195" w:lineRule="exact"/>
        <w:rPr>
          <w:rFonts w:ascii="Times New Roman" w:cs="Times New Roman" w:eastAsia="Times New Roman" w:hAnsi="Times New Roman"/>
          <w:sz w:val="18"/>
          <w:szCs w:val="18"/>
          <w:color w:val="auto"/>
        </w:rPr>
      </w:pPr>
    </w:p>
    <w:p>
      <w:pPr>
        <w:ind w:left="1300" w:right="100" w:hanging="648"/>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4.3Any sublicenses granted by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shall provide for the termination of the sublicense, or the conversion to a license directly between the sublicensees and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at the option of the sublicensee, upon termination 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under Article 13. This conversion is subject to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approval and contingent upon acceptance by the sublicensee of the remaining provisions 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4" w:lineRule="exact"/>
        <w:rPr>
          <w:sz w:val="20"/>
          <w:szCs w:val="20"/>
          <w:color w:val="auto"/>
        </w:rPr>
      </w:pPr>
    </w:p>
    <w:p>
      <w:pPr>
        <w:ind w:right="4000" w:firstLine="8"/>
        <w:spacing w:after="0" w:line="282" w:lineRule="auto"/>
        <w:tabs>
          <w:tab w:leader="none" w:pos="348"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A-035-2017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NIH </w:t>
      </w:r>
      <w:r>
        <w:rPr>
          <w:rFonts w:ascii="Times New Roman" w:cs="Times New Roman" w:eastAsia="Times New Roman" w:hAnsi="Times New Roman"/>
          <w:sz w:val="14"/>
          <w:szCs w:val="14"/>
          <w:color w:val="auto"/>
        </w:rPr>
        <w:t>Patent License Agreement--</w:t>
      </w:r>
      <w:r>
        <w:rPr>
          <w:rFonts w:ascii="Times New Roman" w:cs="Times New Roman" w:eastAsia="Times New Roman" w:hAnsi="Times New Roman"/>
          <w:sz w:val="14"/>
          <w:szCs w:val="14"/>
          <w:i w:val="1"/>
          <w:iCs w:val="1"/>
          <w:color w:val="auto"/>
        </w:rPr>
        <w:t>Exclusive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Model 10-2015 [Final] [Selecta Biosciences] [3 April 2017]</w:t>
      </w:r>
    </w:p>
    <w:p>
      <w:pPr>
        <w:sectPr>
          <w:pgSz w:w="11900" w:h="16838" w:orient="portrait"/>
          <w:cols w:equalWidth="0" w:num="1">
            <w:col w:w="11420"/>
          </w:cols>
          <w:pgMar w:left="240" w:top="360" w:right="239" w:bottom="1440" w:gutter="0" w:footer="0" w:header="0"/>
        </w:sectPr>
      </w:pPr>
    </w:p>
    <w:bookmarkStart w:id="97" w:name="page98"/>
    <w:bookmarkEnd w:id="97"/>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Licensee</w:t>
      </w:r>
      <w:r>
        <w:rPr>
          <w:rFonts w:ascii="Times New Roman" w:cs="Times New Roman" w:eastAsia="Times New Roman" w:hAnsi="Times New Roman"/>
          <w:sz w:val="17"/>
          <w:szCs w:val="17"/>
          <w:color w:val="auto"/>
        </w:rPr>
        <w:t xml:space="preserve"> agrees to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To the extent permitted by law, the </w:t>
      </w:r>
      <w:r>
        <w:rPr>
          <w:rFonts w:ascii="Times New Roman" w:cs="Times New Roman" w:eastAsia="Times New Roman" w:hAnsi="Times New Roman"/>
          <w:sz w:val="17"/>
          <w:szCs w:val="17"/>
          <w:b w:val="1"/>
          <w:bCs w:val="1"/>
          <w:color w:val="auto"/>
        </w:rPr>
        <w:t>IC</w:t>
      </w:r>
      <w:r>
        <w:rPr>
          <w:rFonts w:ascii="Times New Roman" w:cs="Times New Roman" w:eastAsia="Times New Roman" w:hAnsi="Times New Roman"/>
          <w:sz w:val="17"/>
          <w:szCs w:val="17"/>
          <w:color w:val="auto"/>
        </w:rPr>
        <w:t xml:space="preserve"> agrees to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right="80" w:hanging="647"/>
        <w:spacing w:after="0" w:line="262" w:lineRule="auto"/>
        <w:tabs>
          <w:tab w:leader="none" w:pos="128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may enter into sublicensing agreements under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with </w:t>
      </w:r>
      <w:r>
        <w:rPr>
          <w:rFonts w:ascii="Times New Roman" w:cs="Times New Roman" w:eastAsia="Times New Roman" w:hAnsi="Times New Roman"/>
          <w:sz w:val="18"/>
          <w:szCs w:val="18"/>
          <w:b w:val="1"/>
          <w:bCs w:val="1"/>
          <w:color w:val="auto"/>
        </w:rPr>
        <w:t>Affiliates</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and Paragraphs 4.1 and 4.4 of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and Paragraph V in </w:t>
      </w:r>
      <w:r>
        <w:rPr>
          <w:rFonts w:ascii="Times New Roman" w:cs="Times New Roman" w:eastAsia="Times New Roman" w:hAnsi="Times New Roman"/>
          <w:sz w:val="18"/>
          <w:szCs w:val="18"/>
          <w:b w:val="1"/>
          <w:bCs w:val="1"/>
          <w:color w:val="auto"/>
        </w:rPr>
        <w:t>Appendix C</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shall not apply to such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sublicense; provided that </w:t>
      </w:r>
      <w:r>
        <w:rPr>
          <w:rFonts w:ascii="Times New Roman" w:cs="Times New Roman" w:eastAsia="Times New Roman" w:hAnsi="Times New Roman"/>
          <w:sz w:val="18"/>
          <w:szCs w:val="18"/>
          <w:b w:val="1"/>
          <w:bCs w:val="1"/>
          <w:color w:val="auto"/>
        </w:rPr>
        <w:t xml:space="preserve">Licensee </w:t>
      </w:r>
      <w:r>
        <w:rPr>
          <w:rFonts w:ascii="Times New Roman" w:cs="Times New Roman" w:eastAsia="Times New Roman" w:hAnsi="Times New Roman"/>
          <w:sz w:val="18"/>
          <w:szCs w:val="18"/>
          <w:color w:val="auto"/>
        </w:rPr>
        <w:t>shall notify</w:t>
      </w:r>
      <w:r>
        <w:rPr>
          <w:rFonts w:ascii="Times New Roman" w:cs="Times New Roman" w:eastAsia="Times New Roman" w:hAnsi="Times New Roman"/>
          <w:sz w:val="18"/>
          <w:szCs w:val="18"/>
          <w:b w:val="1"/>
          <w:bCs w:val="1"/>
          <w:color w:val="auto"/>
        </w:rPr>
        <w:t xml:space="preserve"> IC </w:t>
      </w:r>
      <w:r>
        <w:rPr>
          <w:rFonts w:ascii="Times New Roman" w:cs="Times New Roman" w:eastAsia="Times New Roman" w:hAnsi="Times New Roman"/>
          <w:sz w:val="18"/>
          <w:szCs w:val="18"/>
          <w:color w:val="auto"/>
        </w:rPr>
        <w:t>in writing of the</w:t>
      </w:r>
      <w:r>
        <w:rPr>
          <w:rFonts w:ascii="Times New Roman" w:cs="Times New Roman" w:eastAsia="Times New Roman" w:hAnsi="Times New Roman"/>
          <w:sz w:val="18"/>
          <w:szCs w:val="18"/>
          <w:b w:val="1"/>
          <w:bCs w:val="1"/>
          <w:color w:val="auto"/>
        </w:rPr>
        <w:t xml:space="preserve"> Affiliate </w:t>
      </w:r>
      <w:r>
        <w:rPr>
          <w:rFonts w:ascii="Times New Roman" w:cs="Times New Roman" w:eastAsia="Times New Roman" w:hAnsi="Times New Roman"/>
          <w:sz w:val="18"/>
          <w:szCs w:val="18"/>
          <w:color w:val="auto"/>
        </w:rPr>
        <w:t>that sublicenses any</w:t>
      </w:r>
      <w:r>
        <w:rPr>
          <w:rFonts w:ascii="Times New Roman" w:cs="Times New Roman" w:eastAsia="Times New Roman" w:hAnsi="Times New Roman"/>
          <w:sz w:val="18"/>
          <w:szCs w:val="18"/>
          <w:b w:val="1"/>
          <w:bCs w:val="1"/>
          <w:color w:val="auto"/>
        </w:rPr>
        <w:t xml:space="preserve"> Licensed Patent Rights </w:t>
      </w:r>
      <w:r>
        <w:rPr>
          <w:rFonts w:ascii="Times New Roman" w:cs="Times New Roman" w:eastAsia="Times New Roman" w:hAnsi="Times New Roman"/>
          <w:sz w:val="18"/>
          <w:szCs w:val="18"/>
          <w:color w:val="auto"/>
        </w:rPr>
        <w:t>within</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of effectiveness of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sublicense.</w:t>
      </w:r>
    </w:p>
    <w:p>
      <w:pPr>
        <w:spacing w:after="0" w:line="181" w:lineRule="exact"/>
        <w:rPr>
          <w:sz w:val="20"/>
          <w:szCs w:val="20"/>
          <w:color w:val="auto"/>
        </w:rPr>
      </w:pPr>
    </w:p>
    <w:p>
      <w:pPr>
        <w:ind w:left="660" w:hanging="652"/>
        <w:spacing w:after="0"/>
        <w:tabs>
          <w:tab w:leader="none" w:pos="6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STATUTORY AND NIH REQUIREMENTS AND RESERVED GOVERNMENT RIGHTS</w:t>
      </w:r>
    </w:p>
    <w:p>
      <w:pPr>
        <w:spacing w:after="0" w:line="196" w:lineRule="exact"/>
        <w:rPr>
          <w:rFonts w:ascii="Times New Roman" w:cs="Times New Roman" w:eastAsia="Times New Roman" w:hAnsi="Times New Roman"/>
          <w:sz w:val="18"/>
          <w:szCs w:val="18"/>
          <w:color w:val="auto"/>
        </w:rPr>
      </w:pPr>
    </w:p>
    <w:p>
      <w:pPr>
        <w:ind w:left="1300" w:hanging="1297"/>
        <w:spacing w:after="0" w:line="226"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5.1a.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reserves on behalf of the </w:t>
      </w:r>
      <w:r>
        <w:rPr>
          <w:rFonts w:ascii="Times New Roman" w:cs="Times New Roman" w:eastAsia="Times New Roman" w:hAnsi="Times New Roman"/>
          <w:sz w:val="18"/>
          <w:szCs w:val="18"/>
          <w:b w:val="1"/>
          <w:bCs w:val="1"/>
          <w:color w:val="auto"/>
        </w:rPr>
        <w:t>Government</w:t>
      </w:r>
      <w:r>
        <w:rPr>
          <w:rFonts w:ascii="Times New Roman" w:cs="Times New Roman" w:eastAsia="Times New Roman" w:hAnsi="Times New Roman"/>
          <w:sz w:val="18"/>
          <w:szCs w:val="18"/>
          <w:color w:val="auto"/>
        </w:rPr>
        <w:t xml:space="preserve"> an irrevocable, nonexclusive, nontransferable, royalty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free license for the practice of all inventions licensed under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throughout the world by or on behalf of the </w:t>
      </w:r>
      <w:r>
        <w:rPr>
          <w:rFonts w:ascii="Times New Roman" w:cs="Times New Roman" w:eastAsia="Times New Roman" w:hAnsi="Times New Roman"/>
          <w:sz w:val="18"/>
          <w:szCs w:val="18"/>
          <w:b w:val="1"/>
          <w:bCs w:val="1"/>
          <w:color w:val="auto"/>
        </w:rPr>
        <w:t>Government</w:t>
      </w:r>
      <w:r>
        <w:rPr>
          <w:rFonts w:ascii="Times New Roman" w:cs="Times New Roman" w:eastAsia="Times New Roman" w:hAnsi="Times New Roman"/>
          <w:sz w:val="18"/>
          <w:szCs w:val="18"/>
          <w:color w:val="auto"/>
        </w:rPr>
        <w:t xml:space="preserve"> and on behalf of any foreign government or international organization pursuant to any existing or future treaty or agreement to which the </w:t>
      </w:r>
      <w:r>
        <w:rPr>
          <w:rFonts w:ascii="Times New Roman" w:cs="Times New Roman" w:eastAsia="Times New Roman" w:hAnsi="Times New Roman"/>
          <w:sz w:val="18"/>
          <w:szCs w:val="18"/>
          <w:b w:val="1"/>
          <w:bCs w:val="1"/>
          <w:color w:val="auto"/>
        </w:rPr>
        <w:t xml:space="preserve">Government </w:t>
      </w:r>
      <w:r>
        <w:rPr>
          <w:rFonts w:ascii="Times New Roman" w:cs="Times New Roman" w:eastAsia="Times New Roman" w:hAnsi="Times New Roman"/>
          <w:sz w:val="18"/>
          <w:szCs w:val="18"/>
          <w:color w:val="auto"/>
        </w:rPr>
        <w:t>is a signatory. Prior to the</w:t>
      </w:r>
      <w:r>
        <w:rPr>
          <w:rFonts w:ascii="Times New Roman" w:cs="Times New Roman" w:eastAsia="Times New Roman" w:hAnsi="Times New Roman"/>
          <w:sz w:val="18"/>
          <w:szCs w:val="18"/>
          <w:b w:val="1"/>
          <w:bCs w:val="1"/>
          <w:color w:val="auto"/>
        </w:rPr>
        <w:t xml:space="preserve"> First Commercial Sale</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Licensee </w:t>
      </w:r>
      <w:r>
        <w:rPr>
          <w:rFonts w:ascii="Times New Roman" w:cs="Times New Roman" w:eastAsia="Times New Roman" w:hAnsi="Times New Roman"/>
          <w:sz w:val="18"/>
          <w:szCs w:val="18"/>
          <w:color w:val="auto"/>
        </w:rPr>
        <w:t>agrees to provide the</w:t>
      </w:r>
      <w:r>
        <w:rPr>
          <w:rFonts w:ascii="Times New Roman" w:cs="Times New Roman" w:eastAsia="Times New Roman" w:hAnsi="Times New Roman"/>
          <w:sz w:val="18"/>
          <w:szCs w:val="18"/>
          <w:b w:val="1"/>
          <w:bCs w:val="1"/>
          <w:color w:val="auto"/>
        </w:rPr>
        <w:t xml:space="preserve"> IC </w:t>
      </w:r>
      <w:r>
        <w:rPr>
          <w:rFonts w:ascii="Times New Roman" w:cs="Times New Roman" w:eastAsia="Times New Roman" w:hAnsi="Times New Roman"/>
          <w:sz w:val="18"/>
          <w:szCs w:val="18"/>
          <w:color w:val="auto"/>
        </w:rPr>
        <w:t>with reasonable quantities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the </w:t>
      </w:r>
      <w:r>
        <w:rPr>
          <w:rFonts w:ascii="Times New Roman" w:cs="Times New Roman" w:eastAsia="Times New Roman" w:hAnsi="Times New Roman"/>
          <w:sz w:val="18"/>
          <w:szCs w:val="18"/>
          <w:b w:val="1"/>
          <w:bCs w:val="1"/>
          <w:color w:val="auto"/>
        </w:rPr>
        <w:t>Licensed Products</w:t>
      </w:r>
      <w:r>
        <w:rPr>
          <w:rFonts w:ascii="Times New Roman" w:cs="Times New Roman" w:eastAsia="Times New Roman" w:hAnsi="Times New Roman"/>
          <w:sz w:val="18"/>
          <w:szCs w:val="18"/>
          <w:color w:val="auto"/>
        </w:rPr>
        <w:t xml:space="preserve"> or materials made through the </w:t>
      </w:r>
      <w:r>
        <w:rPr>
          <w:rFonts w:ascii="Times New Roman" w:cs="Times New Roman" w:eastAsia="Times New Roman" w:hAnsi="Times New Roman"/>
          <w:sz w:val="18"/>
          <w:szCs w:val="18"/>
          <w:b w:val="1"/>
          <w:bCs w:val="1"/>
          <w:color w:val="auto"/>
        </w:rPr>
        <w:t>Licensed Processes</w:t>
      </w:r>
      <w:r>
        <w:rPr>
          <w:rFonts w:ascii="Times New Roman" w:cs="Times New Roman" w:eastAsia="Times New Roman" w:hAnsi="Times New Roman"/>
          <w:sz w:val="18"/>
          <w:szCs w:val="18"/>
          <w:color w:val="auto"/>
        </w:rPr>
        <w:t xml:space="preserve"> for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research use; and</w:t>
      </w:r>
    </w:p>
    <w:p>
      <w:pPr>
        <w:spacing w:after="0" w:line="196" w:lineRule="exact"/>
        <w:rPr>
          <w:sz w:val="20"/>
          <w:szCs w:val="20"/>
          <w:color w:val="auto"/>
        </w:rPr>
      </w:pPr>
    </w:p>
    <w:p>
      <w:pPr>
        <w:ind w:left="2080" w:right="80" w:hanging="782"/>
        <w:spacing w:after="0" w:line="223" w:lineRule="exact"/>
        <w:rPr>
          <w:sz w:val="20"/>
          <w:szCs w:val="20"/>
          <w:color w:val="auto"/>
        </w:rPr>
      </w:pPr>
      <w:r>
        <w:rPr>
          <w:rFonts w:ascii="Times New Roman" w:cs="Times New Roman" w:eastAsia="Times New Roman" w:hAnsi="Times New Roman"/>
          <w:sz w:val="18"/>
          <w:szCs w:val="18"/>
          <w:color w:val="auto"/>
        </w:rPr>
        <w:t xml:space="preserve">b.in the event that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are Subject Inventions made under </w:t>
      </w:r>
      <w:r>
        <w:rPr>
          <w:rFonts w:ascii="Times New Roman" w:cs="Times New Roman" w:eastAsia="Times New Roman" w:hAnsi="Times New Roman"/>
          <w:sz w:val="18"/>
          <w:szCs w:val="18"/>
          <w:b w:val="1"/>
          <w:bCs w:val="1"/>
          <w:color w:val="auto"/>
        </w:rPr>
        <w:t>CRADA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grants to the </w:t>
      </w:r>
      <w:r>
        <w:rPr>
          <w:rFonts w:ascii="Times New Roman" w:cs="Times New Roman" w:eastAsia="Times New Roman" w:hAnsi="Times New Roman"/>
          <w:sz w:val="18"/>
          <w:szCs w:val="18"/>
          <w:b w:val="1"/>
          <w:bCs w:val="1"/>
          <w:color w:val="auto"/>
        </w:rPr>
        <w:t>Government</w:t>
      </w:r>
      <w:r>
        <w:rPr>
          <w:rFonts w:ascii="Times New Roman" w:cs="Times New Roman" w:eastAsia="Times New Roman" w:hAnsi="Times New Roman"/>
          <w:sz w:val="18"/>
          <w:szCs w:val="18"/>
          <w:color w:val="auto"/>
        </w:rPr>
        <w:t>, pursuant to 15 U.S.C. §3710a(b)(1)(A), a nonexclusive, nontransferable, irrevocable,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up license to practice the </w:t>
      </w:r>
      <w:r>
        <w:rPr>
          <w:rFonts w:ascii="Times New Roman" w:cs="Times New Roman" w:eastAsia="Times New Roman" w:hAnsi="Times New Roman"/>
          <w:sz w:val="18"/>
          <w:szCs w:val="18"/>
          <w:b w:val="1"/>
          <w:bCs w:val="1"/>
          <w:color w:val="auto"/>
        </w:rPr>
        <w:t>Licensed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Patent Rights </w:t>
      </w:r>
      <w:r>
        <w:rPr>
          <w:rFonts w:ascii="Times New Roman" w:cs="Times New Roman" w:eastAsia="Times New Roman" w:hAnsi="Times New Roman"/>
          <w:sz w:val="18"/>
          <w:szCs w:val="18"/>
          <w:color w:val="auto"/>
        </w:rPr>
        <w:t>or have the</w:t>
      </w:r>
      <w:r>
        <w:rPr>
          <w:rFonts w:ascii="Times New Roman" w:cs="Times New Roman" w:eastAsia="Times New Roman" w:hAnsi="Times New Roman"/>
          <w:sz w:val="18"/>
          <w:szCs w:val="18"/>
          <w:b w:val="1"/>
          <w:bCs w:val="1"/>
          <w:color w:val="auto"/>
        </w:rPr>
        <w:t xml:space="preserve"> Licensed Patent Rights </w:t>
      </w:r>
      <w:r>
        <w:rPr>
          <w:rFonts w:ascii="Times New Roman" w:cs="Times New Roman" w:eastAsia="Times New Roman" w:hAnsi="Times New Roman"/>
          <w:sz w:val="18"/>
          <w:szCs w:val="18"/>
          <w:color w:val="auto"/>
        </w:rPr>
        <w:t>practiced throughout the world by or on behalf of the</w:t>
      </w:r>
      <w:r>
        <w:rPr>
          <w:rFonts w:ascii="Times New Roman" w:cs="Times New Roman" w:eastAsia="Times New Roman" w:hAnsi="Times New Roman"/>
          <w:sz w:val="18"/>
          <w:szCs w:val="18"/>
          <w:b w:val="1"/>
          <w:bCs w:val="1"/>
          <w:color w:val="auto"/>
        </w:rPr>
        <w:t xml:space="preserve"> Government</w:t>
      </w:r>
      <w:r>
        <w:rPr>
          <w:rFonts w:ascii="Times New Roman" w:cs="Times New Roman" w:eastAsia="Times New Roman" w:hAnsi="Times New Roman"/>
          <w:sz w:val="18"/>
          <w:szCs w:val="18"/>
          <w:color w:val="auto"/>
        </w:rPr>
        <w: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exercise of this license, the </w:t>
      </w:r>
      <w:r>
        <w:rPr>
          <w:rFonts w:ascii="Times New Roman" w:cs="Times New Roman" w:eastAsia="Times New Roman" w:hAnsi="Times New Roman"/>
          <w:sz w:val="18"/>
          <w:szCs w:val="18"/>
          <w:b w:val="1"/>
          <w:bCs w:val="1"/>
          <w:color w:val="auto"/>
        </w:rPr>
        <w:t>Government</w:t>
      </w:r>
      <w:r>
        <w:rPr>
          <w:rFonts w:ascii="Times New Roman" w:cs="Times New Roman" w:eastAsia="Times New Roman" w:hAnsi="Times New Roman"/>
          <w:sz w:val="18"/>
          <w:szCs w:val="18"/>
          <w:color w:val="auto"/>
        </w:rPr>
        <w:t xml:space="preserve"> shall not publicly disclose trade secrets or commercial or financial information that is privileged or confidential within the meaning of 5 U.S.C. §552(b)(4) or which would be considered as such if it had been obtained from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Federal party.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left="1300" w:right="160" w:hanging="647"/>
        <w:spacing w:after="0" w:line="286" w:lineRule="auto"/>
        <w:tabs>
          <w:tab w:leader="none" w:pos="1280" w:val="left"/>
        </w:tabs>
        <w:rPr>
          <w:sz w:val="20"/>
          <w:szCs w:val="20"/>
          <w:color w:val="auto"/>
        </w:rPr>
      </w:pPr>
      <w:r>
        <w:rPr>
          <w:rFonts w:ascii="Times New Roman" w:cs="Times New Roman" w:eastAsia="Times New Roman" w:hAnsi="Times New Roman"/>
          <w:sz w:val="18"/>
          <w:szCs w:val="18"/>
          <w:color w:val="auto"/>
        </w:rPr>
        <w:t>5.2</w:t>
      </w:r>
      <w:r>
        <w:rPr>
          <w:sz w:val="20"/>
          <w:szCs w:val="20"/>
          <w:color w:val="auto"/>
        </w:rPr>
        <w:tab/>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agrees that products used or sold in the United States embodying the </w:t>
      </w:r>
      <w:r>
        <w:rPr>
          <w:rFonts w:ascii="Times New Roman" w:cs="Times New Roman" w:eastAsia="Times New Roman" w:hAnsi="Times New Roman"/>
          <w:sz w:val="18"/>
          <w:szCs w:val="18"/>
          <w:b w:val="1"/>
          <w:bCs w:val="1"/>
          <w:color w:val="auto"/>
        </w:rPr>
        <w:t>Licensed Products</w:t>
      </w:r>
      <w:r>
        <w:rPr>
          <w:rFonts w:ascii="Times New Roman" w:cs="Times New Roman" w:eastAsia="Times New Roman" w:hAnsi="Times New Roman"/>
          <w:sz w:val="18"/>
          <w:szCs w:val="18"/>
          <w:color w:val="auto"/>
        </w:rPr>
        <w:t xml:space="preserve"> or produced through use of the </w:t>
      </w:r>
      <w:r>
        <w:rPr>
          <w:rFonts w:ascii="Times New Roman" w:cs="Times New Roman" w:eastAsia="Times New Roman" w:hAnsi="Times New Roman"/>
          <w:sz w:val="18"/>
          <w:szCs w:val="18"/>
          <w:b w:val="1"/>
          <w:bCs w:val="1"/>
          <w:color w:val="auto"/>
        </w:rPr>
        <w:t xml:space="preserve">Licensed Processes </w:t>
      </w:r>
      <w:r>
        <w:rPr>
          <w:rFonts w:ascii="Times New Roman" w:cs="Times New Roman" w:eastAsia="Times New Roman" w:hAnsi="Times New Roman"/>
          <w:sz w:val="18"/>
          <w:szCs w:val="18"/>
          <w:color w:val="auto"/>
        </w:rPr>
        <w:t>shall be manufactured substantially in the United States, unless a written waiver is obtained in advance from the</w:t>
      </w:r>
      <w:r>
        <w:rPr>
          <w:rFonts w:ascii="Times New Roman" w:cs="Times New Roman" w:eastAsia="Times New Roman" w:hAnsi="Times New Roman"/>
          <w:sz w:val="18"/>
          <w:szCs w:val="18"/>
          <w:b w:val="1"/>
          <w:bCs w:val="1"/>
          <w:color w:val="auto"/>
        </w:rPr>
        <w:t xml:space="preserve"> IC</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300" w:right="20" w:hanging="647"/>
        <w:spacing w:after="0" w:line="262" w:lineRule="auto"/>
        <w:tabs>
          <w:tab w:leader="none" w:pos="1280" w:val="left"/>
        </w:tabs>
        <w:rPr>
          <w:sz w:val="20"/>
          <w:szCs w:val="20"/>
          <w:color w:val="auto"/>
        </w:rPr>
      </w:pPr>
      <w:r>
        <w:rPr>
          <w:rFonts w:ascii="Times New Roman" w:cs="Times New Roman" w:eastAsia="Times New Roman" w:hAnsi="Times New Roman"/>
          <w:sz w:val="18"/>
          <w:szCs w:val="18"/>
          <w:color w:val="auto"/>
        </w:rPr>
        <w:t>5.3</w:t>
      </w:r>
      <w:r>
        <w:rPr>
          <w:sz w:val="20"/>
          <w:szCs w:val="20"/>
          <w:color w:val="auto"/>
        </w:rPr>
        <w:tab/>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acknowledges that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may enter into future </w:t>
      </w:r>
      <w:r>
        <w:rPr>
          <w:rFonts w:ascii="Times New Roman" w:cs="Times New Roman" w:eastAsia="Times New Roman" w:hAnsi="Times New Roman"/>
          <w:sz w:val="18"/>
          <w:szCs w:val="18"/>
          <w:b w:val="1"/>
          <w:bCs w:val="1"/>
          <w:color w:val="auto"/>
        </w:rPr>
        <w:t>CRADAs</w:t>
      </w:r>
      <w:r>
        <w:rPr>
          <w:rFonts w:ascii="Times New Roman" w:cs="Times New Roman" w:eastAsia="Times New Roman" w:hAnsi="Times New Roman"/>
          <w:sz w:val="18"/>
          <w:szCs w:val="18"/>
          <w:color w:val="auto"/>
        </w:rPr>
        <w:t xml:space="preserve"> under the </w:t>
      </w:r>
      <w:r>
        <w:rPr>
          <w:rFonts w:ascii="Times New Roman" w:cs="Times New Roman" w:eastAsia="Times New Roman" w:hAnsi="Times New Roman"/>
          <w:sz w:val="18"/>
          <w:szCs w:val="18"/>
          <w:u w:val="single" w:color="auto"/>
          <w:color w:val="0000FF"/>
        </w:rPr>
        <w:t>Federal Technology Transfer Act of 1986</w:t>
      </w:r>
      <w:r>
        <w:rPr>
          <w:rFonts w:ascii="Times New Roman" w:cs="Times New Roman" w:eastAsia="Times New Roman" w:hAnsi="Times New Roman"/>
          <w:sz w:val="18"/>
          <w:szCs w:val="18"/>
          <w:color w:val="auto"/>
        </w:rPr>
        <w:t xml:space="preserve"> that relate to the subject matter 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Licensee [***]</w:t>
      </w:r>
      <w:r>
        <w:rPr>
          <w:rFonts w:ascii="Times New Roman" w:cs="Times New Roman" w:eastAsia="Times New Roman" w:hAnsi="Times New Roman"/>
          <w:sz w:val="18"/>
          <w:szCs w:val="18"/>
          <w:color w:val="auto"/>
        </w:rPr>
        <w:t xml:space="preserve"> requests for a </w:t>
      </w:r>
      <w:r>
        <w:rPr>
          <w:rFonts w:ascii="Times New Roman" w:cs="Times New Roman" w:eastAsia="Times New Roman" w:hAnsi="Times New Roman"/>
          <w:sz w:val="18"/>
          <w:szCs w:val="18"/>
          <w:b w:val="1"/>
          <w:bCs w:val="1"/>
          <w:color w:val="auto"/>
        </w:rPr>
        <w:t>Research License</w:t>
      </w:r>
      <w:r>
        <w:rPr>
          <w:rFonts w:ascii="Times New Roman" w:cs="Times New Roman" w:eastAsia="Times New Roman" w:hAnsi="Times New Roman"/>
          <w:sz w:val="18"/>
          <w:szCs w:val="18"/>
          <w:color w:val="auto"/>
        </w:rPr>
        <w:t xml:space="preserve"> from future collaborators with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when acquiring these rights is necessary in order to make a </w:t>
      </w:r>
      <w:r>
        <w:rPr>
          <w:rFonts w:ascii="Times New Roman" w:cs="Times New Roman" w:eastAsia="Times New Roman" w:hAnsi="Times New Roman"/>
          <w:sz w:val="18"/>
          <w:szCs w:val="18"/>
          <w:b w:val="1"/>
          <w:bCs w:val="1"/>
          <w:color w:val="auto"/>
        </w:rPr>
        <w:t>CRADA</w:t>
      </w:r>
      <w:r>
        <w:rPr>
          <w:rFonts w:ascii="Times New Roman" w:cs="Times New Roman" w:eastAsia="Times New Roman" w:hAnsi="Times New Roman"/>
          <w:sz w:val="18"/>
          <w:szCs w:val="18"/>
          <w:color w:val="auto"/>
        </w:rPr>
        <w:t xml:space="preserve"> project feasible.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may request an opportunity to join as a party to the proposed </w:t>
      </w:r>
      <w:r>
        <w:rPr>
          <w:rFonts w:ascii="Times New Roman" w:cs="Times New Roman" w:eastAsia="Times New Roman" w:hAnsi="Times New Roman"/>
          <w:sz w:val="18"/>
          <w:szCs w:val="18"/>
          <w:b w:val="1"/>
          <w:bCs w:val="1"/>
          <w:color w:val="auto"/>
        </w:rPr>
        <w:t>CRADA</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left="1960" w:hanging="655"/>
        <w:spacing w:after="0" w:line="259" w:lineRule="auto"/>
        <w:tabs>
          <w:tab w:leader="none" w:pos="196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reserved license of Paragraph 5.1,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reserves the right to grant </w:t>
      </w:r>
      <w:r>
        <w:rPr>
          <w:rFonts w:ascii="Times New Roman" w:cs="Times New Roman" w:eastAsia="Times New Roman" w:hAnsi="Times New Roman"/>
          <w:sz w:val="18"/>
          <w:szCs w:val="18"/>
          <w:b w:val="1"/>
          <w:bCs w:val="1"/>
          <w:color w:val="auto"/>
        </w:rPr>
        <w:t>Research Licenses</w:t>
      </w:r>
      <w:r>
        <w:rPr>
          <w:rFonts w:ascii="Times New Roman" w:cs="Times New Roman" w:eastAsia="Times New Roman" w:hAnsi="Times New Roman"/>
          <w:sz w:val="18"/>
          <w:szCs w:val="18"/>
          <w:color w:val="auto"/>
        </w:rPr>
        <w:t xml:space="preserve"> directly or to require the </w:t>
      </w:r>
      <w:r>
        <w:rPr>
          <w:rFonts w:ascii="Times New Roman" w:cs="Times New Roman" w:eastAsia="Times New Roman" w:hAnsi="Times New Roman"/>
          <w:sz w:val="18"/>
          <w:szCs w:val="18"/>
          <w:b w:val="1"/>
          <w:bCs w:val="1"/>
          <w:color w:val="auto"/>
        </w:rPr>
        <w:t xml:space="preserve">Licensee </w:t>
      </w:r>
      <w:r>
        <w:rPr>
          <w:rFonts w:ascii="Times New Roman" w:cs="Times New Roman" w:eastAsia="Times New Roman" w:hAnsi="Times New Roman"/>
          <w:sz w:val="18"/>
          <w:szCs w:val="18"/>
          <w:color w:val="auto"/>
        </w:rPr>
        <w:t>to grant</w:t>
      </w:r>
      <w:r>
        <w:rPr>
          <w:rFonts w:ascii="Times New Roman" w:cs="Times New Roman" w:eastAsia="Times New Roman" w:hAnsi="Times New Roman"/>
          <w:sz w:val="18"/>
          <w:szCs w:val="18"/>
          <w:b w:val="1"/>
          <w:bCs w:val="1"/>
          <w:color w:val="auto"/>
        </w:rPr>
        <w:t xml:space="preserve"> Research Licenses </w:t>
      </w:r>
      <w:r>
        <w:rPr>
          <w:rFonts w:ascii="Times New Roman" w:cs="Times New Roman" w:eastAsia="Times New Roman" w:hAnsi="Times New Roman"/>
          <w:sz w:val="18"/>
          <w:szCs w:val="18"/>
          <w:color w:val="auto"/>
        </w:rPr>
        <w:t>on reasonable terms. The purpose of these</w:t>
      </w:r>
      <w:r>
        <w:rPr>
          <w:rFonts w:ascii="Times New Roman" w:cs="Times New Roman" w:eastAsia="Times New Roman" w:hAnsi="Times New Roman"/>
          <w:sz w:val="18"/>
          <w:szCs w:val="18"/>
          <w:b w:val="1"/>
          <w:bCs w:val="1"/>
          <w:color w:val="auto"/>
        </w:rPr>
        <w:t xml:space="preserve"> Research Licenses </w:t>
      </w:r>
      <w:r>
        <w:rPr>
          <w:rFonts w:ascii="Times New Roman" w:cs="Times New Roman" w:eastAsia="Times New Roman" w:hAnsi="Times New Roman"/>
          <w:sz w:val="18"/>
          <w:szCs w:val="18"/>
          <w:color w:val="auto"/>
        </w:rPr>
        <w:t>is to encourage basic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research, whether conducted at an academic or corporate facility. In order to safeguard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however, the </w:t>
      </w:r>
      <w:r>
        <w:rPr>
          <w:rFonts w:ascii="Times New Roman" w:cs="Times New Roman" w:eastAsia="Times New Roman" w:hAnsi="Times New Roman"/>
          <w:sz w:val="18"/>
          <w:szCs w:val="18"/>
          <w:b w:val="1"/>
          <w:bCs w:val="1"/>
          <w:color w:val="auto"/>
        </w:rPr>
        <w:t xml:space="preserve">IC </w:t>
      </w:r>
      <w:r>
        <w:rPr>
          <w:rFonts w:ascii="Times New Roman" w:cs="Times New Roman" w:eastAsia="Times New Roman" w:hAnsi="Times New Roman"/>
          <w:sz w:val="18"/>
          <w:szCs w:val="18"/>
          <w:color w:val="auto"/>
        </w:rPr>
        <w:t>shall consult with the</w:t>
      </w:r>
      <w:r>
        <w:rPr>
          <w:rFonts w:ascii="Times New Roman" w:cs="Times New Roman" w:eastAsia="Times New Roman" w:hAnsi="Times New Roman"/>
          <w:sz w:val="18"/>
          <w:szCs w:val="18"/>
          <w:b w:val="1"/>
          <w:bCs w:val="1"/>
          <w:color w:val="auto"/>
        </w:rPr>
        <w:t xml:space="preserve"> Licensee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any objections or comments of the</w:t>
      </w:r>
      <w:r>
        <w:rPr>
          <w:rFonts w:ascii="Times New Roman" w:cs="Times New Roman" w:eastAsia="Times New Roman" w:hAnsi="Times New Roman"/>
          <w:sz w:val="18"/>
          <w:szCs w:val="18"/>
          <w:b w:val="1"/>
          <w:bCs w:val="1"/>
          <w:color w:val="auto"/>
        </w:rPr>
        <w:t xml:space="preserve"> Licensee </w:t>
      </w:r>
      <w:r>
        <w:rPr>
          <w:rFonts w:ascii="Times New Roman" w:cs="Times New Roman" w:eastAsia="Times New Roman" w:hAnsi="Times New Roman"/>
          <w:sz w:val="18"/>
          <w:szCs w:val="18"/>
          <w:color w:val="auto"/>
        </w:rPr>
        <w:t>before granting to commercial entities a</w:t>
      </w:r>
      <w:r>
        <w:rPr>
          <w:rFonts w:ascii="Times New Roman" w:cs="Times New Roman" w:eastAsia="Times New Roman" w:hAnsi="Times New Roman"/>
          <w:sz w:val="18"/>
          <w:szCs w:val="18"/>
          <w:b w:val="1"/>
          <w:bCs w:val="1"/>
          <w:color w:val="auto"/>
        </w:rPr>
        <w:t xml:space="preserve"> Research License </w:t>
      </w:r>
      <w:r>
        <w:rPr>
          <w:rFonts w:ascii="Times New Roman" w:cs="Times New Roman" w:eastAsia="Times New Roman" w:hAnsi="Times New Roman"/>
          <w:sz w:val="18"/>
          <w:szCs w:val="18"/>
          <w:color w:val="auto"/>
        </w:rPr>
        <w:t>or providing to them research samples of materials made through the</w:t>
      </w:r>
      <w:r>
        <w:rPr>
          <w:rFonts w:ascii="Times New Roman" w:cs="Times New Roman" w:eastAsia="Times New Roman" w:hAnsi="Times New Roman"/>
          <w:sz w:val="18"/>
          <w:szCs w:val="18"/>
          <w:b w:val="1"/>
          <w:bCs w:val="1"/>
          <w:color w:val="auto"/>
        </w:rPr>
        <w:t xml:space="preserve"> Licensed Processes</w:t>
      </w:r>
      <w:r>
        <w:rPr>
          <w:rFonts w:ascii="Times New Roman" w:cs="Times New Roman" w:eastAsia="Times New Roman" w:hAnsi="Times New Roman"/>
          <w:sz w:val="18"/>
          <w:szCs w:val="18"/>
          <w:color w:val="auto"/>
        </w:rPr>
        <w:t>; and</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0"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5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treatment has been requested with respect to the omitted portions.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A-035-2017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NIH </w:t>
      </w:r>
      <w:r>
        <w:rPr>
          <w:rFonts w:ascii="Times New Roman" w:cs="Times New Roman" w:eastAsia="Times New Roman" w:hAnsi="Times New Roman"/>
          <w:sz w:val="14"/>
          <w:szCs w:val="14"/>
          <w:color w:val="auto"/>
        </w:rPr>
        <w:t>Patent License Agreement--</w:t>
      </w:r>
      <w:r>
        <w:rPr>
          <w:rFonts w:ascii="Times New Roman" w:cs="Times New Roman" w:eastAsia="Times New Roman" w:hAnsi="Times New Roman"/>
          <w:sz w:val="14"/>
          <w:szCs w:val="14"/>
          <w:i w:val="1"/>
          <w:iCs w:val="1"/>
          <w:color w:val="auto"/>
        </w:rPr>
        <w:t>Exclusive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Model 10-2015 [Final] [Selecta Biosciences] [3 April 2017]</w:t>
      </w:r>
    </w:p>
    <w:p>
      <w:pPr>
        <w:sectPr>
          <w:pgSz w:w="11900" w:h="16838" w:orient="portrait"/>
          <w:cols w:equalWidth="0" w:num="1">
            <w:col w:w="11320"/>
          </w:cols>
          <w:pgMar w:left="240" w:top="360" w:right="339" w:bottom="1440" w:gutter="0" w:footer="0" w:header="0"/>
        </w:sectPr>
      </w:pPr>
    </w:p>
    <w:bookmarkStart w:id="98" w:name="page99"/>
    <w:bookmarkEnd w:id="98"/>
    <w:p>
      <w:pPr>
        <w:ind w:left="1960" w:hanging="655"/>
        <w:spacing w:after="0" w:line="257" w:lineRule="auto"/>
        <w:tabs>
          <w:tab w:leader="none" w:pos="19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exceptional circumstances, and in the event that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are Subject Inventions made under a </w:t>
      </w:r>
      <w:r>
        <w:rPr>
          <w:rFonts w:ascii="Times New Roman" w:cs="Times New Roman" w:eastAsia="Times New Roman" w:hAnsi="Times New Roman"/>
          <w:sz w:val="18"/>
          <w:szCs w:val="18"/>
          <w:b w:val="1"/>
          <w:bCs w:val="1"/>
          <w:color w:val="auto"/>
        </w:rPr>
        <w:t>CRADA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Government</w:t>
      </w:r>
      <w:r>
        <w:rPr>
          <w:rFonts w:ascii="Times New Roman" w:cs="Times New Roman" w:eastAsia="Times New Roman" w:hAnsi="Times New Roman"/>
          <w:sz w:val="18"/>
          <w:szCs w:val="18"/>
          <w:color w:val="auto"/>
        </w:rPr>
        <w:t>,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0000FF"/>
        </w:rPr>
        <w:t>15 U.S.C. §3710a(b)(1)(B)</w:t>
      </w:r>
      <w:r>
        <w:rPr>
          <w:rFonts w:ascii="Times New Roman" w:cs="Times New Roman" w:eastAsia="Times New Roman" w:hAnsi="Times New Roman"/>
          <w:sz w:val="18"/>
          <w:szCs w:val="18"/>
          <w:color w:val="auto"/>
        </w:rPr>
        <w:t>, retains the right to require the</w:t>
      </w:r>
      <w:r>
        <w:rPr>
          <w:rFonts w:ascii="Times New Roman" w:cs="Times New Roman" w:eastAsia="Times New Roman" w:hAnsi="Times New Roman"/>
          <w:sz w:val="18"/>
          <w:szCs w:val="18"/>
          <w:b w:val="1"/>
          <w:bCs w:val="1"/>
          <w:color w:val="auto"/>
        </w:rPr>
        <w:t xml:space="preserve"> Licensee </w:t>
      </w:r>
      <w:r>
        <w:rPr>
          <w:rFonts w:ascii="Times New Roman" w:cs="Times New Roman" w:eastAsia="Times New Roman" w:hAnsi="Times New Roman"/>
          <w:sz w:val="18"/>
          <w:szCs w:val="18"/>
          <w:color w:val="auto"/>
        </w:rPr>
        <w:t>to grant to a responsible applicant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nonexclusive, partially exclusive, or exclusive sublicense to use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in the </w:t>
      </w:r>
      <w:r>
        <w:rPr>
          <w:rFonts w:ascii="Times New Roman" w:cs="Times New Roman" w:eastAsia="Times New Roman" w:hAnsi="Times New Roman"/>
          <w:sz w:val="18"/>
          <w:szCs w:val="18"/>
          <w:b w:val="1"/>
          <w:bCs w:val="1"/>
          <w:color w:val="auto"/>
        </w:rPr>
        <w:t>Licensed Field of Use</w:t>
      </w:r>
      <w:r>
        <w:rPr>
          <w:rFonts w:ascii="Times New Roman" w:cs="Times New Roman" w:eastAsia="Times New Roman" w:hAnsi="Times New Roman"/>
          <w:sz w:val="18"/>
          <w:szCs w:val="18"/>
          <w:color w:val="auto"/>
        </w:rPr>
        <w:t xml:space="preserve"> on terms that are reasonable under the circumstances, or if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fails to grant this license, the </w:t>
      </w:r>
      <w:r>
        <w:rPr>
          <w:rFonts w:ascii="Times New Roman" w:cs="Times New Roman" w:eastAsia="Times New Roman" w:hAnsi="Times New Roman"/>
          <w:sz w:val="18"/>
          <w:szCs w:val="18"/>
          <w:b w:val="1"/>
          <w:bCs w:val="1"/>
          <w:color w:val="auto"/>
        </w:rPr>
        <w:t>Government</w:t>
      </w:r>
      <w:r>
        <w:rPr>
          <w:rFonts w:ascii="Times New Roman" w:cs="Times New Roman" w:eastAsia="Times New Roman" w:hAnsi="Times New Roman"/>
          <w:sz w:val="18"/>
          <w:szCs w:val="18"/>
          <w:color w:val="auto"/>
        </w:rPr>
        <w:t xml:space="preserve"> retains the right to grant the license itself. The exercise of these rights by the </w:t>
      </w:r>
      <w:r>
        <w:rPr>
          <w:rFonts w:ascii="Times New Roman" w:cs="Times New Roman" w:eastAsia="Times New Roman" w:hAnsi="Times New Roman"/>
          <w:sz w:val="18"/>
          <w:szCs w:val="18"/>
          <w:b w:val="1"/>
          <w:bCs w:val="1"/>
          <w:color w:val="auto"/>
        </w:rPr>
        <w:t>Government</w:t>
      </w:r>
      <w:r>
        <w:rPr>
          <w:rFonts w:ascii="Times New Roman" w:cs="Times New Roman" w:eastAsia="Times New Roman" w:hAnsi="Times New Roman"/>
          <w:sz w:val="18"/>
          <w:szCs w:val="18"/>
          <w:color w:val="auto"/>
        </w:rPr>
        <w:t xml:space="preserve"> shall only be in exceptional circumstances and only if the </w:t>
      </w:r>
      <w:r>
        <w:rPr>
          <w:rFonts w:ascii="Times New Roman" w:cs="Times New Roman" w:eastAsia="Times New Roman" w:hAnsi="Times New Roman"/>
          <w:sz w:val="18"/>
          <w:szCs w:val="18"/>
          <w:b w:val="1"/>
          <w:bCs w:val="1"/>
          <w:color w:val="auto"/>
        </w:rPr>
        <w:t xml:space="preserve">Government </w:t>
      </w:r>
      <w:r>
        <w:rPr>
          <w:rFonts w:ascii="Times New Roman" w:cs="Times New Roman" w:eastAsia="Times New Roman" w:hAnsi="Times New Roman"/>
          <w:sz w:val="18"/>
          <w:szCs w:val="18"/>
          <w:color w:val="auto"/>
        </w:rPr>
        <w:t>determines:</w:t>
      </w:r>
    </w:p>
    <w:p>
      <w:pPr>
        <w:spacing w:after="0" w:line="182"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action is necessary to meet health or safety needs that are not reasonably satisfied by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2600" w:right="200" w:hanging="647"/>
        <w:spacing w:after="0" w:line="282" w:lineRule="auto"/>
        <w:tabs>
          <w:tab w:leader="none" w:pos="260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action is necessary to meet requirements for public use specified by Federal regulations, and these requirements are not reasonably satisfied by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or</w:t>
      </w:r>
    </w:p>
    <w:p>
      <w:pPr>
        <w:spacing w:after="0" w:line="157" w:lineRule="exact"/>
        <w:rPr>
          <w:rFonts w:ascii="Times New Roman" w:cs="Times New Roman" w:eastAsia="Times New Roman" w:hAnsi="Times New Roman"/>
          <w:sz w:val="18"/>
          <w:szCs w:val="18"/>
          <w:color w:val="auto"/>
        </w:rPr>
      </w:pPr>
    </w:p>
    <w:p>
      <w:pPr>
        <w:ind w:left="2600" w:hanging="647"/>
        <w:spacing w:after="0"/>
        <w:tabs>
          <w:tab w:leader="none" w:pos="2600" w:val="left"/>
        </w:tabs>
        <w:numPr>
          <w:ilvl w:val="2"/>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has failed to comply with an agreement containing provisions described in </w:t>
      </w:r>
      <w:r>
        <w:rPr>
          <w:rFonts w:ascii="Times New Roman" w:cs="Times New Roman" w:eastAsia="Times New Roman" w:hAnsi="Times New Roman"/>
          <w:sz w:val="18"/>
          <w:szCs w:val="18"/>
          <w:u w:val="single" w:color="auto"/>
          <w:color w:val="0000FF"/>
        </w:rPr>
        <w:t>15 U.S.C. §3710a(c)(4)(B)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right="40" w:hanging="655"/>
        <w:spacing w:after="0" w:line="286" w:lineRule="auto"/>
        <w:tabs>
          <w:tab w:leader="none" w:pos="196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determination made by the </w:t>
      </w:r>
      <w:r>
        <w:rPr>
          <w:rFonts w:ascii="Times New Roman" w:cs="Times New Roman" w:eastAsia="Times New Roman" w:hAnsi="Times New Roman"/>
          <w:sz w:val="18"/>
          <w:szCs w:val="18"/>
          <w:b w:val="1"/>
          <w:bCs w:val="1"/>
          <w:color w:val="auto"/>
        </w:rPr>
        <w:t>Government</w:t>
      </w:r>
      <w:r>
        <w:rPr>
          <w:rFonts w:ascii="Times New Roman" w:cs="Times New Roman" w:eastAsia="Times New Roman" w:hAnsi="Times New Roman"/>
          <w:sz w:val="18"/>
          <w:szCs w:val="18"/>
          <w:color w:val="auto"/>
        </w:rPr>
        <w:t xml:space="preserve"> under this Paragraph 5.4 is subject to administrative appeal and judicial review under </w:t>
      </w:r>
      <w:r>
        <w:rPr>
          <w:rFonts w:ascii="Times New Roman" w:cs="Times New Roman" w:eastAsia="Times New Roman" w:hAnsi="Times New Roman"/>
          <w:sz w:val="18"/>
          <w:szCs w:val="18"/>
          <w:u w:val="single" w:color="auto"/>
          <w:color w:val="0000FF"/>
        </w:rPr>
        <w:t>35 U.S.C. §203(b).;</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p>
    <w:p>
      <w:pPr>
        <w:spacing w:after="0" w:line="154" w:lineRule="exact"/>
        <w:rPr>
          <w:rFonts w:ascii="Times New Roman" w:cs="Times New Roman" w:eastAsia="Times New Roman" w:hAnsi="Times New Roman"/>
          <w:sz w:val="18"/>
          <w:szCs w:val="18"/>
          <w:color w:val="auto"/>
        </w:rPr>
      </w:pPr>
    </w:p>
    <w:p>
      <w:pPr>
        <w:ind w:left="1960" w:right="80" w:hanging="655"/>
        <w:spacing w:after="0" w:line="278" w:lineRule="auto"/>
        <w:tabs>
          <w:tab w:leader="none" w:pos="1960" w:val="left"/>
        </w:tabs>
        <w:numPr>
          <w:ilvl w:val="1"/>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IC</w:t>
      </w:r>
      <w:r>
        <w:rPr>
          <w:rFonts w:ascii="Times New Roman" w:cs="Times New Roman" w:eastAsia="Times New Roman" w:hAnsi="Times New Roman"/>
          <w:sz w:val="17"/>
          <w:szCs w:val="17"/>
          <w:color w:val="auto"/>
        </w:rPr>
        <w:t xml:space="preserve"> acknowledges and agrees that a </w:t>
      </w:r>
      <w:r>
        <w:rPr>
          <w:rFonts w:ascii="Times New Roman" w:cs="Times New Roman" w:eastAsia="Times New Roman" w:hAnsi="Times New Roman"/>
          <w:sz w:val="17"/>
          <w:szCs w:val="17"/>
          <w:b w:val="1"/>
          <w:bCs w:val="1"/>
          <w:color w:val="auto"/>
        </w:rPr>
        <w:t>Research License</w:t>
      </w:r>
      <w:r>
        <w:rPr>
          <w:rFonts w:ascii="Times New Roman" w:cs="Times New Roman" w:eastAsia="Times New Roman" w:hAnsi="Times New Roman"/>
          <w:sz w:val="17"/>
          <w:szCs w:val="17"/>
          <w:color w:val="auto"/>
        </w:rPr>
        <w:t xml:space="preserve"> or other right granted pursuant to this Paragraph 5.3 shall only pertain to the </w:t>
      </w:r>
      <w:r>
        <w:rPr>
          <w:rFonts w:ascii="Times New Roman" w:cs="Times New Roman" w:eastAsia="Times New Roman" w:hAnsi="Times New Roman"/>
          <w:sz w:val="17"/>
          <w:szCs w:val="17"/>
          <w:b w:val="1"/>
          <w:bCs w:val="1"/>
          <w:color w:val="auto"/>
        </w:rPr>
        <w:t>Licensed Patent Rights</w:t>
      </w:r>
      <w:r>
        <w:rPr>
          <w:rFonts w:ascii="Times New Roman" w:cs="Times New Roman" w:eastAsia="Times New Roman" w:hAnsi="Times New Roman"/>
          <w:sz w:val="17"/>
          <w:szCs w:val="17"/>
          <w:color w:val="auto"/>
        </w:rPr>
        <w:t xml:space="preserve"> and shall not include a right or license to any patent or other intellectual property right solely owned or solely controlled by </w:t>
      </w:r>
      <w:r>
        <w:rPr>
          <w:rFonts w:ascii="Times New Roman" w:cs="Times New Roman" w:eastAsia="Times New Roman" w:hAnsi="Times New Roman"/>
          <w:sz w:val="17"/>
          <w:szCs w:val="17"/>
          <w:b w:val="1"/>
          <w:bCs w:val="1"/>
          <w:color w:val="auto"/>
        </w:rPr>
        <w:t>Licensee</w:t>
      </w:r>
      <w:r>
        <w:rPr>
          <w:rFonts w:ascii="Times New Roman" w:cs="Times New Roman" w:eastAsia="Times New Roman" w:hAnsi="Times New Roman"/>
          <w:sz w:val="17"/>
          <w:szCs w:val="17"/>
          <w:color w:val="auto"/>
        </w:rPr>
        <w:t xml:space="preserve"> or its </w:t>
      </w:r>
      <w:r>
        <w:rPr>
          <w:rFonts w:ascii="Times New Roman" w:cs="Times New Roman" w:eastAsia="Times New Roman" w:hAnsi="Times New Roman"/>
          <w:sz w:val="17"/>
          <w:szCs w:val="17"/>
          <w:b w:val="1"/>
          <w:bCs w:val="1"/>
          <w:color w:val="auto"/>
        </w:rPr>
        <w:t>Affiliates</w:t>
      </w:r>
      <w:r>
        <w:rPr>
          <w:rFonts w:ascii="Times New Roman" w:cs="Times New Roman" w:eastAsia="Times New Roman" w:hAnsi="Times New Roman"/>
          <w:sz w:val="17"/>
          <w:szCs w:val="17"/>
          <w:color w:val="auto"/>
        </w:rPr>
        <w:t xml:space="preserve"> other than the </w:t>
      </w:r>
      <w:r>
        <w:rPr>
          <w:rFonts w:ascii="Times New Roman" w:cs="Times New Roman" w:eastAsia="Times New Roman" w:hAnsi="Times New Roman"/>
          <w:sz w:val="17"/>
          <w:szCs w:val="17"/>
          <w:b w:val="1"/>
          <w:bCs w:val="1"/>
          <w:color w:val="auto"/>
        </w:rPr>
        <w:t>Licensed Patent Rights</w:t>
      </w:r>
      <w:r>
        <w:rPr>
          <w:rFonts w:ascii="Times New Roman" w:cs="Times New Roman" w:eastAsia="Times New Roman" w:hAnsi="Times New Roman"/>
          <w:sz w:val="17"/>
          <w:szCs w:val="17"/>
          <w:color w:val="auto"/>
        </w:rPr>
        <w:t xml:space="preserve">. Without limiting the foregoing, except as expressly provided herein, nothing contained in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xml:space="preserve"> shall be construed as granting, by implication, estoppel or otherwise, any licenses or rights under any patents or other intellectual property rights other than the </w:t>
      </w:r>
      <w:r>
        <w:rPr>
          <w:rFonts w:ascii="Times New Roman" w:cs="Times New Roman" w:eastAsia="Times New Roman" w:hAnsi="Times New Roman"/>
          <w:sz w:val="17"/>
          <w:szCs w:val="17"/>
          <w:b w:val="1"/>
          <w:bCs w:val="1"/>
          <w:color w:val="auto"/>
        </w:rPr>
        <w:t>Licensed Patent Rights</w:t>
      </w:r>
      <w:r>
        <w:rPr>
          <w:rFonts w:ascii="Times New Roman" w:cs="Times New Roman" w:eastAsia="Times New Roman" w:hAnsi="Times New Roman"/>
          <w:sz w:val="17"/>
          <w:szCs w:val="17"/>
          <w:color w:val="auto"/>
        </w:rPr>
        <w:t>.</w:t>
      </w:r>
    </w:p>
    <w:p>
      <w:pPr>
        <w:spacing w:after="0" w:line="168" w:lineRule="exact"/>
        <w:rPr>
          <w:rFonts w:ascii="Times New Roman" w:cs="Times New Roman" w:eastAsia="Times New Roman" w:hAnsi="Times New Roman"/>
          <w:sz w:val="17"/>
          <w:szCs w:val="17"/>
          <w:color w:val="auto"/>
        </w:rPr>
      </w:pPr>
    </w:p>
    <w:p>
      <w:pPr>
        <w:ind w:left="660" w:hanging="652"/>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ROYALTIES AND REIMBURSEMENT</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6.1The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agrees to pay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a noncreditable, nonrefundable license issue royalty as set forth in Appendix C.</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6.2The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agrees to pay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a nonrefundable minimum annual royalty as set forth in Appendix C.</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w:t>
      </w: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Licensee</w:t>
      </w:r>
      <w:r>
        <w:rPr>
          <w:rFonts w:ascii="Times New Roman" w:cs="Times New Roman" w:eastAsia="Times New Roman" w:hAnsi="Times New Roman"/>
          <w:sz w:val="17"/>
          <w:szCs w:val="17"/>
          <w:color w:val="auto"/>
        </w:rPr>
        <w:t xml:space="preserve"> agrees to pay the </w:t>
      </w:r>
      <w:r>
        <w:rPr>
          <w:rFonts w:ascii="Times New Roman" w:cs="Times New Roman" w:eastAsia="Times New Roman" w:hAnsi="Times New Roman"/>
          <w:sz w:val="17"/>
          <w:szCs w:val="17"/>
          <w:b w:val="1"/>
          <w:bCs w:val="1"/>
          <w:color w:val="auto"/>
        </w:rPr>
        <w:t>IC</w:t>
      </w:r>
      <w:r>
        <w:rPr>
          <w:rFonts w:ascii="Times New Roman" w:cs="Times New Roman" w:eastAsia="Times New Roman" w:hAnsi="Times New Roman"/>
          <w:sz w:val="17"/>
          <w:szCs w:val="17"/>
          <w:color w:val="auto"/>
        </w:rPr>
        <w:t xml:space="preserve"> earned royalties as set forth in Appendix C.</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w:t>
      </w: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Licensee</w:t>
      </w:r>
      <w:r>
        <w:rPr>
          <w:rFonts w:ascii="Times New Roman" w:cs="Times New Roman" w:eastAsia="Times New Roman" w:hAnsi="Times New Roman"/>
          <w:sz w:val="17"/>
          <w:szCs w:val="17"/>
          <w:color w:val="auto"/>
        </w:rPr>
        <w:t xml:space="preserve"> agrees to pay the </w:t>
      </w:r>
      <w:r>
        <w:rPr>
          <w:rFonts w:ascii="Times New Roman" w:cs="Times New Roman" w:eastAsia="Times New Roman" w:hAnsi="Times New Roman"/>
          <w:sz w:val="17"/>
          <w:szCs w:val="17"/>
          <w:b w:val="1"/>
          <w:bCs w:val="1"/>
          <w:color w:val="auto"/>
        </w:rPr>
        <w:t>IC</w:t>
      </w:r>
      <w:r>
        <w:rPr>
          <w:rFonts w:ascii="Times New Roman" w:cs="Times New Roman" w:eastAsia="Times New Roman" w:hAnsi="Times New Roman"/>
          <w:sz w:val="17"/>
          <w:szCs w:val="17"/>
          <w:color w:val="auto"/>
        </w:rPr>
        <w:t xml:space="preserve"> benchmark royalties as set forth in Appendix C.</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6.5</w:t>
      </w: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Licensee</w:t>
      </w:r>
      <w:r>
        <w:rPr>
          <w:rFonts w:ascii="Times New Roman" w:cs="Times New Roman" w:eastAsia="Times New Roman" w:hAnsi="Times New Roman"/>
          <w:sz w:val="17"/>
          <w:szCs w:val="17"/>
          <w:color w:val="auto"/>
        </w:rPr>
        <w:t xml:space="preserve"> agrees to pay the </w:t>
      </w:r>
      <w:r>
        <w:rPr>
          <w:rFonts w:ascii="Times New Roman" w:cs="Times New Roman" w:eastAsia="Times New Roman" w:hAnsi="Times New Roman"/>
          <w:sz w:val="17"/>
          <w:szCs w:val="17"/>
          <w:b w:val="1"/>
          <w:bCs w:val="1"/>
          <w:color w:val="auto"/>
        </w:rPr>
        <w:t>IC</w:t>
      </w:r>
      <w:r>
        <w:rPr>
          <w:rFonts w:ascii="Times New Roman" w:cs="Times New Roman" w:eastAsia="Times New Roman" w:hAnsi="Times New Roman"/>
          <w:sz w:val="17"/>
          <w:szCs w:val="17"/>
          <w:color w:val="auto"/>
        </w:rPr>
        <w:t xml:space="preserve"> sublicensing royalties as set forth in Appendix C.</w:t>
      </w:r>
    </w:p>
    <w:p>
      <w:pPr>
        <w:spacing w:after="0" w:line="225" w:lineRule="exact"/>
        <w:rPr>
          <w:rFonts w:ascii="Times New Roman" w:cs="Times New Roman" w:eastAsia="Times New Roman" w:hAnsi="Times New Roman"/>
          <w:sz w:val="18"/>
          <w:szCs w:val="18"/>
          <w:color w:val="auto"/>
        </w:rPr>
      </w:pPr>
    </w:p>
    <w:p>
      <w:pPr>
        <w:ind w:left="1300" w:right="440" w:hanging="648"/>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6.6A patent or patent application licensed under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shall cease to fall within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for the purpose of computing earned royalty payments in any given country on the earliest of the dates that:</w:t>
      </w:r>
    </w:p>
    <w:p>
      <w:pPr>
        <w:spacing w:after="0" w:line="158"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has been abandoned and not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A-035-2017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NIH </w:t>
      </w:r>
      <w:r>
        <w:rPr>
          <w:rFonts w:ascii="Times New Roman" w:cs="Times New Roman" w:eastAsia="Times New Roman" w:hAnsi="Times New Roman"/>
          <w:sz w:val="14"/>
          <w:szCs w:val="14"/>
          <w:color w:val="auto"/>
        </w:rPr>
        <w:t>Patent License Agreement--</w:t>
      </w:r>
      <w:r>
        <w:rPr>
          <w:rFonts w:ascii="Times New Roman" w:cs="Times New Roman" w:eastAsia="Times New Roman" w:hAnsi="Times New Roman"/>
          <w:sz w:val="14"/>
          <w:szCs w:val="14"/>
          <w:i w:val="1"/>
          <w:iCs w:val="1"/>
          <w:color w:val="auto"/>
        </w:rPr>
        <w:t>Exclusive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Model 10-2015 [Final] [Selecta Biosciences] [3 April 2017]</w:t>
      </w:r>
    </w:p>
    <w:p>
      <w:pPr>
        <w:sectPr>
          <w:pgSz w:w="11900" w:h="16838" w:orient="portrait"/>
          <w:cols w:equalWidth="0" w:num="1">
            <w:col w:w="11380"/>
          </w:cols>
          <w:pgMar w:left="240" w:top="360" w:right="279" w:bottom="1440" w:gutter="0" w:footer="0" w:header="0"/>
        </w:sectPr>
      </w:pPr>
    </w:p>
    <w:bookmarkStart w:id="99" w:name="page100"/>
    <w:bookmarkEnd w:id="99"/>
    <w:p>
      <w:pPr>
        <w:ind w:left="1960" w:hanging="655"/>
        <w:spacing w:after="0"/>
        <w:tabs>
          <w:tab w:leader="none" w:pos="1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 expires or irrevocably lapses, or</w:t>
      </w:r>
    </w:p>
    <w:p>
      <w:pPr>
        <w:spacing w:after="0" w:line="225" w:lineRule="exact"/>
        <w:rPr>
          <w:rFonts w:ascii="Times New Roman" w:cs="Times New Roman" w:eastAsia="Times New Roman" w:hAnsi="Times New Roman"/>
          <w:sz w:val="18"/>
          <w:szCs w:val="18"/>
          <w:color w:val="auto"/>
        </w:rPr>
      </w:pPr>
    </w:p>
    <w:p>
      <w:pPr>
        <w:ind w:left="1960" w:right="680" w:hanging="655"/>
        <w:spacing w:after="0" w:line="282" w:lineRule="auto"/>
        <w:tabs>
          <w:tab w:leader="none" w:pos="19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 has been held to be invalid or unenforceable by an unappealed or unappealable decision of a court of competent jurisdiction or administrative agency.</w:t>
      </w:r>
    </w:p>
    <w:p>
      <w:pPr>
        <w:spacing w:after="0" w:line="158" w:lineRule="exact"/>
        <w:rPr>
          <w:sz w:val="20"/>
          <w:szCs w:val="20"/>
          <w:color w:val="auto"/>
        </w:rPr>
      </w:pPr>
    </w:p>
    <w:p>
      <w:pPr>
        <w:ind w:left="1300" w:right="680" w:hanging="647"/>
        <w:spacing w:after="0" w:line="286" w:lineRule="auto"/>
        <w:tabs>
          <w:tab w:leader="none" w:pos="1280" w:val="left"/>
        </w:tabs>
        <w:rPr>
          <w:sz w:val="20"/>
          <w:szCs w:val="20"/>
          <w:color w:val="auto"/>
        </w:rPr>
      </w:pPr>
      <w:r>
        <w:rPr>
          <w:rFonts w:ascii="Times New Roman" w:cs="Times New Roman" w:eastAsia="Times New Roman" w:hAnsi="Times New Roman"/>
          <w:sz w:val="18"/>
          <w:szCs w:val="18"/>
          <w:color w:val="auto"/>
        </w:rPr>
        <w:t>6.7</w:t>
      </w:r>
      <w:r>
        <w:rPr>
          <w:sz w:val="20"/>
          <w:szCs w:val="20"/>
          <w:color w:val="auto"/>
        </w:rPr>
        <w:tab/>
      </w:r>
      <w:r>
        <w:rPr>
          <w:rFonts w:ascii="Times New Roman" w:cs="Times New Roman" w:eastAsia="Times New Roman" w:hAnsi="Times New Roman"/>
          <w:sz w:val="18"/>
          <w:szCs w:val="18"/>
          <w:color w:val="auto"/>
        </w:rPr>
        <w:t xml:space="preserve">No multiple royalties shall be payable because any </w:t>
      </w:r>
      <w:r>
        <w:rPr>
          <w:rFonts w:ascii="Times New Roman" w:cs="Times New Roman" w:eastAsia="Times New Roman" w:hAnsi="Times New Roman"/>
          <w:sz w:val="18"/>
          <w:szCs w:val="18"/>
          <w:b w:val="1"/>
          <w:bCs w:val="1"/>
          <w:color w:val="auto"/>
        </w:rPr>
        <w:t>Licensed Products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color w:val="auto"/>
        </w:rPr>
        <w:t>Licensed Processes</w:t>
      </w:r>
      <w:r>
        <w:rPr>
          <w:rFonts w:ascii="Times New Roman" w:cs="Times New Roman" w:eastAsia="Times New Roman" w:hAnsi="Times New Roman"/>
          <w:sz w:val="18"/>
          <w:szCs w:val="18"/>
          <w:color w:val="auto"/>
        </w:rPr>
        <w:t xml:space="preserve"> are covered by more than one of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ind w:left="1300" w:right="100" w:hanging="647"/>
        <w:spacing w:after="0" w:line="232" w:lineRule="exact"/>
        <w:tabs>
          <w:tab w:leader="none" w:pos="1280" w:val="left"/>
        </w:tabs>
        <w:rPr>
          <w:sz w:val="20"/>
          <w:szCs w:val="20"/>
          <w:color w:val="auto"/>
        </w:rPr>
      </w:pPr>
      <w:r>
        <w:rPr>
          <w:rFonts w:ascii="Times New Roman" w:cs="Times New Roman" w:eastAsia="Times New Roman" w:hAnsi="Times New Roman"/>
          <w:sz w:val="18"/>
          <w:szCs w:val="18"/>
          <w:color w:val="auto"/>
        </w:rPr>
        <w:t>6.8</w:t>
      </w:r>
      <w:r>
        <w:rPr>
          <w:sz w:val="20"/>
          <w:szCs w:val="20"/>
          <w:color w:val="auto"/>
        </w:rPr>
        <w:tab/>
      </w:r>
      <w:r>
        <w:rPr>
          <w:rFonts w:ascii="Times New Roman" w:cs="Times New Roman" w:eastAsia="Times New Roman" w:hAnsi="Times New Roman"/>
          <w:sz w:val="18"/>
          <w:szCs w:val="18"/>
          <w:color w:val="auto"/>
        </w:rPr>
        <w:t xml:space="preserve">On sales of the </w:t>
      </w:r>
      <w:r>
        <w:rPr>
          <w:rFonts w:ascii="Times New Roman" w:cs="Times New Roman" w:eastAsia="Times New Roman" w:hAnsi="Times New Roman"/>
          <w:sz w:val="18"/>
          <w:szCs w:val="18"/>
          <w:b w:val="1"/>
          <w:bCs w:val="1"/>
          <w:color w:val="auto"/>
        </w:rPr>
        <w:t>Licensed Products</w:t>
      </w:r>
      <w:r>
        <w:rPr>
          <w:rFonts w:ascii="Times New Roman" w:cs="Times New Roman" w:eastAsia="Times New Roman" w:hAnsi="Times New Roman"/>
          <w:sz w:val="18"/>
          <w:szCs w:val="18"/>
          <w:color w:val="auto"/>
        </w:rPr>
        <w:t xml:space="preserve"> made in other than an arms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length transaction, the value of the </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xml:space="preserve"> attributed under this Article 6 to this transaction shall be that which would have been received in an arms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length transaction, based on sales of like quantity and quality products on or about the time of this transaction.</w:t>
      </w:r>
    </w:p>
    <w:p>
      <w:pPr>
        <w:spacing w:after="0" w:line="200" w:lineRule="exact"/>
        <w:rPr>
          <w:sz w:val="20"/>
          <w:szCs w:val="20"/>
          <w:color w:val="auto"/>
        </w:rPr>
      </w:pPr>
    </w:p>
    <w:p>
      <w:pPr>
        <w:ind w:left="130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6.9</w:t>
      </w:r>
      <w:r>
        <w:rPr>
          <w:sz w:val="20"/>
          <w:szCs w:val="20"/>
          <w:color w:val="auto"/>
        </w:rPr>
        <w:tab/>
      </w:r>
      <w:r>
        <w:rPr>
          <w:rFonts w:ascii="Times New Roman" w:cs="Times New Roman" w:eastAsia="Times New Roman" w:hAnsi="Times New Roman"/>
          <w:sz w:val="18"/>
          <w:szCs w:val="18"/>
          <w:color w:val="auto"/>
        </w:rPr>
        <w:t xml:space="preserve">With regard to unreimbursed expenses associated with the preparation, filing, prosecution, and maintenance of all patent applications and patents included within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and paid by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prior to the effective date 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shall pay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as an additional royalty,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b w:val="1"/>
          <w:bCs w:val="1"/>
          <w:color w:val="auto"/>
        </w:rPr>
        <w:t>IC’s</w:t>
      </w:r>
      <w:r>
        <w:rPr>
          <w:rFonts w:ascii="Times New Roman" w:cs="Times New Roman" w:eastAsia="Times New Roman" w:hAnsi="Times New Roman"/>
          <w:sz w:val="18"/>
          <w:szCs w:val="18"/>
          <w:color w:val="auto"/>
        </w:rPr>
        <w:t xml:space="preserve"> submission of a statement and request for payment to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an amount equivalent to these unreimbursed expenses previously paid by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left="1300" w:right="18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6.10</w:t>
      </w:r>
      <w:r>
        <w:rPr>
          <w:sz w:val="20"/>
          <w:szCs w:val="20"/>
          <w:color w:val="auto"/>
        </w:rPr>
        <w:tab/>
      </w:r>
      <w:r>
        <w:rPr>
          <w:rFonts w:ascii="Times New Roman" w:cs="Times New Roman" w:eastAsia="Times New Roman" w:hAnsi="Times New Roman"/>
          <w:sz w:val="18"/>
          <w:szCs w:val="18"/>
          <w:color w:val="auto"/>
        </w:rPr>
        <w:t xml:space="preserve">With regard to unreimbursed expenses associated with the preparation, filing, prosecution, and maintenance of all patent applications and patents included within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and paid by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on or after the effective date 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at its sole option, may require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1960" w:right="160" w:hanging="655"/>
        <w:spacing w:after="0" w:line="286" w:lineRule="auto"/>
        <w:tabs>
          <w:tab w:leader="none" w:pos="1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pay the </w:t>
      </w:r>
      <w:r>
        <w:rPr>
          <w:rFonts w:ascii="Times New Roman" w:cs="Times New Roman" w:eastAsia="Times New Roman" w:hAnsi="Times New Roman"/>
          <w:sz w:val="18"/>
          <w:szCs w:val="18"/>
          <w:b w:val="1"/>
          <w:bCs w:val="1"/>
          <w:color w:val="auto"/>
        </w:rPr>
        <w:t>IC [***]</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b w:val="1"/>
          <w:bCs w:val="1"/>
          <w:color w:val="auto"/>
        </w:rPr>
        <w:t>IC’s</w:t>
      </w:r>
      <w:r>
        <w:rPr>
          <w:rFonts w:ascii="Times New Roman" w:cs="Times New Roman" w:eastAsia="Times New Roman" w:hAnsi="Times New Roman"/>
          <w:sz w:val="18"/>
          <w:szCs w:val="18"/>
          <w:color w:val="auto"/>
        </w:rPr>
        <w:t xml:space="preserve"> submission of a statement and request for payment, a royalty amount equivalent to a </w:t>
      </w:r>
      <w:r>
        <w:rPr>
          <w:rFonts w:ascii="Times New Roman" w:cs="Times New Roman" w:eastAsia="Times New Roman" w:hAnsi="Times New Roman"/>
          <w:sz w:val="18"/>
          <w:szCs w:val="18"/>
          <w:b w:val="1"/>
          <w:bCs w:val="1"/>
          <w:color w:val="auto"/>
        </w:rPr>
        <w:t xml:space="preserve">Pro Rata Share </w:t>
      </w:r>
      <w:r>
        <w:rPr>
          <w:rFonts w:ascii="Times New Roman" w:cs="Times New Roman" w:eastAsia="Times New Roman" w:hAnsi="Times New Roman"/>
          <w:sz w:val="18"/>
          <w:szCs w:val="18"/>
          <w:color w:val="auto"/>
        </w:rPr>
        <w:t>of these unreimbursed expenses paid during the previous calendar year(s);</w:t>
      </w:r>
    </w:p>
    <w:p>
      <w:pPr>
        <w:spacing w:after="0" w:line="154" w:lineRule="exact"/>
        <w:rPr>
          <w:rFonts w:ascii="Times New Roman" w:cs="Times New Roman" w:eastAsia="Times New Roman" w:hAnsi="Times New Roman"/>
          <w:sz w:val="18"/>
          <w:szCs w:val="18"/>
          <w:color w:val="auto"/>
        </w:rPr>
      </w:pPr>
    </w:p>
    <w:p>
      <w:pPr>
        <w:ind w:left="1960" w:right="260" w:hanging="655"/>
        <w:spacing w:after="0" w:line="286" w:lineRule="auto"/>
        <w:tabs>
          <w:tab w:leader="none" w:pos="1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pay a </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xml:space="preserve"> of these unreimbursed expenses directly to the law firm employed by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to handle these functions. However, in this event,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and not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shall be the client of the law firm; or</w:t>
      </w:r>
    </w:p>
    <w:p>
      <w:pPr>
        <w:spacing w:after="0" w:line="154" w:lineRule="exact"/>
        <w:rPr>
          <w:rFonts w:ascii="Times New Roman" w:cs="Times New Roman" w:eastAsia="Times New Roman" w:hAnsi="Times New Roman"/>
          <w:sz w:val="18"/>
          <w:szCs w:val="18"/>
          <w:color w:val="auto"/>
        </w:rPr>
      </w:pPr>
    </w:p>
    <w:p>
      <w:pPr>
        <w:ind w:left="1960" w:right="200" w:hanging="655"/>
        <w:spacing w:after="0" w:line="259" w:lineRule="auto"/>
        <w:tabs>
          <w:tab w:leader="none" w:pos="19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limited circumstances,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may be given the right to assume responsibility for the preparation, filing, prosecution, or maintenance of any patent application or patent included with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In that event,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shall directly pay the attorneys or agents engaged to prepare, file, prosecute, or maintain these patent applications or patents and shall provide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with copies of each invoice associated with these services as well as documentation that these invoices have been paid.</w:t>
      </w:r>
    </w:p>
    <w:p>
      <w:pPr>
        <w:spacing w:after="0" w:line="180" w:lineRule="exact"/>
        <w:rPr>
          <w:sz w:val="20"/>
          <w:szCs w:val="20"/>
          <w:color w:val="auto"/>
        </w:rPr>
      </w:pPr>
    </w:p>
    <w:p>
      <w:pPr>
        <w:ind w:left="1300" w:right="40" w:hanging="647"/>
        <w:spacing w:after="0" w:line="262" w:lineRule="auto"/>
        <w:tabs>
          <w:tab w:leader="none" w:pos="1280" w:val="left"/>
        </w:tabs>
        <w:rPr>
          <w:sz w:val="20"/>
          <w:szCs w:val="20"/>
          <w:color w:val="auto"/>
        </w:rPr>
      </w:pPr>
      <w:r>
        <w:rPr>
          <w:rFonts w:ascii="Times New Roman" w:cs="Times New Roman" w:eastAsia="Times New Roman" w:hAnsi="Times New Roman"/>
          <w:sz w:val="18"/>
          <w:szCs w:val="18"/>
          <w:color w:val="auto"/>
        </w:rPr>
        <w:t>6.11</w:t>
      </w:r>
      <w:r>
        <w:rPr>
          <w:sz w:val="20"/>
          <w:szCs w:val="20"/>
          <w:color w:val="auto"/>
        </w:rPr>
        <w:tab/>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agrees, upon written request, to provide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with summaries of patent prosecution invoices for which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has requested payment from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under Paragraphs 6.9 and 6.10.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agrees that all information provided by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related to patent prosecution costs shall be treated as confidential commercial information and shall not be released to a third party except as required by law or a court of competent jurisdiction.</w:t>
      </w:r>
    </w:p>
    <w:p>
      <w:pPr>
        <w:spacing w:after="0" w:line="17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6.12</w:t>
      </w:r>
      <w:r>
        <w:rPr>
          <w:sz w:val="20"/>
          <w:szCs w:val="20"/>
          <w:color w:val="auto"/>
        </w:rPr>
        <w:tab/>
      </w: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Licensee</w:t>
      </w:r>
      <w:r>
        <w:rPr>
          <w:rFonts w:ascii="Times New Roman" w:cs="Times New Roman" w:eastAsia="Times New Roman" w:hAnsi="Times New Roman"/>
          <w:sz w:val="17"/>
          <w:szCs w:val="17"/>
          <w:color w:val="auto"/>
        </w:rPr>
        <w:t xml:space="preserve"> may elect to surrender its rights in any country of the </w:t>
      </w:r>
      <w:r>
        <w:rPr>
          <w:rFonts w:ascii="Times New Roman" w:cs="Times New Roman" w:eastAsia="Times New Roman" w:hAnsi="Times New Roman"/>
          <w:sz w:val="17"/>
          <w:szCs w:val="17"/>
          <w:b w:val="1"/>
          <w:bCs w:val="1"/>
          <w:color w:val="auto"/>
        </w:rPr>
        <w:t>Licensed Territory</w:t>
      </w:r>
      <w:r>
        <w:rPr>
          <w:rFonts w:ascii="Times New Roman" w:cs="Times New Roman" w:eastAsia="Times New Roman" w:hAnsi="Times New Roman"/>
          <w:sz w:val="17"/>
          <w:szCs w:val="17"/>
          <w:color w:val="auto"/>
        </w:rPr>
        <w:t xml:space="preserve"> under any of the </w:t>
      </w:r>
      <w:r>
        <w:rPr>
          <w:rFonts w:ascii="Times New Roman" w:cs="Times New Roman" w:eastAsia="Times New Roman" w:hAnsi="Times New Roman"/>
          <w:sz w:val="17"/>
          <w:szCs w:val="17"/>
          <w:b w:val="1"/>
          <w:bCs w:val="1"/>
          <w:color w:val="auto"/>
        </w:rPr>
        <w:t>Licensed Patent Rights</w:t>
      </w:r>
      <w:r>
        <w:rPr>
          <w:rFonts w:ascii="Times New Roman" w:cs="Times New Roman" w:eastAsia="Times New Roman" w:hAnsi="Times New Roman"/>
          <w:sz w:val="17"/>
          <w:szCs w:val="17"/>
          <w:color w:val="auto"/>
        </w:rPr>
        <w:t xml:space="preserve"> upon</w:t>
      </w:r>
    </w:p>
    <w:p>
      <w:pPr>
        <w:spacing w:after="0" w:line="31" w:lineRule="exact"/>
        <w:rPr>
          <w:sz w:val="20"/>
          <w:szCs w:val="20"/>
          <w:color w:val="auto"/>
        </w:rPr>
      </w:pPr>
    </w:p>
    <w:p>
      <w:pPr>
        <w:ind w:left="1740" w:hanging="435"/>
        <w:spacing w:after="0"/>
        <w:tabs>
          <w:tab w:leader="none" w:pos="1740"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written notice to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and owe no payment obligation under Paragraph 6.10 for patent-related expenses paid in that country after</w:t>
      </w:r>
    </w:p>
    <w:p>
      <w:pPr>
        <w:spacing w:after="0" w:line="9" w:lineRule="exact"/>
        <w:rPr>
          <w:rFonts w:ascii="Times New Roman" w:cs="Times New Roman" w:eastAsia="Times New Roman" w:hAnsi="Times New Roman"/>
          <w:sz w:val="18"/>
          <w:szCs w:val="18"/>
          <w:b w:val="1"/>
          <w:bCs w:val="1"/>
          <w:color w:val="auto"/>
        </w:rPr>
      </w:pPr>
    </w:p>
    <w:p>
      <w:pPr>
        <w:ind w:left="1740" w:hanging="435"/>
        <w:spacing w:after="0"/>
        <w:tabs>
          <w:tab w:leader="none" w:pos="1740" w:val="left"/>
        </w:tabs>
        <w:numPr>
          <w:ilvl w:val="1"/>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 the effective date of the written notice.</w:t>
      </w:r>
    </w:p>
    <w:p>
      <w:pPr>
        <w:spacing w:after="0" w:line="229"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6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treatment has been requested with respect to the omitted portions.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A-035-2017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NIH </w:t>
      </w:r>
      <w:r>
        <w:rPr>
          <w:rFonts w:ascii="Times New Roman" w:cs="Times New Roman" w:eastAsia="Times New Roman" w:hAnsi="Times New Roman"/>
          <w:sz w:val="14"/>
          <w:szCs w:val="14"/>
          <w:color w:val="auto"/>
        </w:rPr>
        <w:t>Patent License Agreement--</w:t>
      </w:r>
      <w:r>
        <w:rPr>
          <w:rFonts w:ascii="Times New Roman" w:cs="Times New Roman" w:eastAsia="Times New Roman" w:hAnsi="Times New Roman"/>
          <w:sz w:val="14"/>
          <w:szCs w:val="14"/>
          <w:i w:val="1"/>
          <w:iCs w:val="1"/>
          <w:color w:val="auto"/>
        </w:rPr>
        <w:t>Exclusive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Model 10-2015 [Final] [Selecta Biosciences] [3 April 2017]</w:t>
      </w:r>
    </w:p>
    <w:p>
      <w:pPr>
        <w:sectPr>
          <w:pgSz w:w="11900" w:h="16838" w:orient="portrait"/>
          <w:cols w:equalWidth="0" w:num="1">
            <w:col w:w="11420"/>
          </w:cols>
          <w:pgMar w:left="240" w:top="580" w:right="239" w:bottom="1440" w:gutter="0" w:footer="0" w:header="0"/>
        </w:sectPr>
      </w:pPr>
    </w:p>
    <w:bookmarkStart w:id="100" w:name="page101"/>
    <w:bookmarkEnd w:id="100"/>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PATENT FILING, PROSECUTION, AND MAINTENANCE</w:t>
      </w:r>
    </w:p>
    <w:p>
      <w:pPr>
        <w:spacing w:after="0" w:line="221" w:lineRule="exact"/>
        <w:rPr>
          <w:rFonts w:ascii="Times New Roman" w:cs="Times New Roman" w:eastAsia="Times New Roman" w:hAnsi="Times New Roman"/>
          <w:sz w:val="18"/>
          <w:szCs w:val="18"/>
          <w:color w:val="auto"/>
        </w:rPr>
      </w:pPr>
    </w:p>
    <w:p>
      <w:pPr>
        <w:ind w:left="1300" w:right="80" w:hanging="648"/>
        <w:spacing w:after="0" w:line="23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7.1Except as otherwise provided in this Article 7,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agrees to take responsibility for, but to consult with,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in the preparation, filing, prosecution, and maintenance of any and all patent applications or patents included in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and shall furnish copies of relevant patent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related documents to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1300" w:hanging="648"/>
        <w:spacing w:after="0" w:line="219"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7.2Upon the </w:t>
      </w:r>
      <w:r>
        <w:rPr>
          <w:rFonts w:ascii="Times New Roman" w:cs="Times New Roman" w:eastAsia="Times New Roman" w:hAnsi="Times New Roman"/>
          <w:sz w:val="18"/>
          <w:szCs w:val="18"/>
          <w:b w:val="1"/>
          <w:bCs w:val="1"/>
          <w:color w:val="auto"/>
        </w:rPr>
        <w:t>IC’s</w:t>
      </w:r>
      <w:r>
        <w:rPr>
          <w:rFonts w:ascii="Times New Roman" w:cs="Times New Roman" w:eastAsia="Times New Roman" w:hAnsi="Times New Roman"/>
          <w:sz w:val="18"/>
          <w:szCs w:val="18"/>
          <w:color w:val="auto"/>
        </w:rPr>
        <w:t xml:space="preserve"> written request,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shall assume the responsibility for the preparation, filing, prosecution, and maintenance of any and all patent applications or patents included in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and shall, on an ongoing basis, promptly furnish copies of all patent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related documents to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In this event,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shall,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select registered patent attorneys or patent agents to provide these services on behalf of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shall provide appropriate powers of attorney and other documents necessary to undertake this action to the patent attorneys or patent agents providing these services.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and its attorneys or agents shall consult with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in all aspects of the preparation, filing, prosecution and maintenance of patent applications and patents included within the </w:t>
      </w:r>
      <w:r>
        <w:rPr>
          <w:rFonts w:ascii="Times New Roman" w:cs="Times New Roman" w:eastAsia="Times New Roman" w:hAnsi="Times New Roman"/>
          <w:sz w:val="18"/>
          <w:szCs w:val="18"/>
          <w:b w:val="1"/>
          <w:bCs w:val="1"/>
          <w:color w:val="auto"/>
        </w:rPr>
        <w:t xml:space="preserve">Licensed Patent Rights </w:t>
      </w:r>
      <w:r>
        <w:rPr>
          <w:rFonts w:ascii="Times New Roman" w:cs="Times New Roman" w:eastAsia="Times New Roman" w:hAnsi="Times New Roman"/>
          <w:sz w:val="18"/>
          <w:szCs w:val="18"/>
          <w:color w:val="auto"/>
        </w:rPr>
        <w:t>and shall provide the</w:t>
      </w:r>
      <w:r>
        <w:rPr>
          <w:rFonts w:ascii="Times New Roman" w:cs="Times New Roman" w:eastAsia="Times New Roman" w:hAnsi="Times New Roman"/>
          <w:sz w:val="18"/>
          <w:szCs w:val="18"/>
          <w:b w:val="1"/>
          <w:bCs w:val="1"/>
          <w:color w:val="auto"/>
        </w:rPr>
        <w:t xml:space="preserve"> IC </w:t>
      </w:r>
      <w:r>
        <w:rPr>
          <w:rFonts w:ascii="Times New Roman" w:cs="Times New Roman" w:eastAsia="Times New Roman" w:hAnsi="Times New Roman"/>
          <w:sz w:val="18"/>
          <w:szCs w:val="18"/>
          <w:color w:val="auto"/>
        </w:rPr>
        <w:t>sufficient opportunity to comment on any document that the</w:t>
      </w:r>
      <w:r>
        <w:rPr>
          <w:rFonts w:ascii="Times New Roman" w:cs="Times New Roman" w:eastAsia="Times New Roman" w:hAnsi="Times New Roman"/>
          <w:sz w:val="18"/>
          <w:szCs w:val="18"/>
          <w:b w:val="1"/>
          <w:bCs w:val="1"/>
          <w:color w:val="auto"/>
        </w:rPr>
        <w:t xml:space="preserve"> Licensee </w:t>
      </w:r>
      <w:r>
        <w:rPr>
          <w:rFonts w:ascii="Times New Roman" w:cs="Times New Roman" w:eastAsia="Times New Roman" w:hAnsi="Times New Roman"/>
          <w:sz w:val="18"/>
          <w:szCs w:val="18"/>
          <w:color w:val="auto"/>
        </w:rPr>
        <w:t>intends to file or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cause to be filed with the relevant intellectual property or patent office.</w:t>
      </w:r>
    </w:p>
    <w:p>
      <w:pPr>
        <w:spacing w:after="0" w:line="199" w:lineRule="exact"/>
        <w:rPr>
          <w:rFonts w:ascii="Times New Roman" w:cs="Times New Roman" w:eastAsia="Times New Roman" w:hAnsi="Times New Roman"/>
          <w:sz w:val="18"/>
          <w:szCs w:val="18"/>
          <w:color w:val="auto"/>
        </w:rPr>
      </w:pPr>
    </w:p>
    <w:p>
      <w:pPr>
        <w:ind w:left="1300" w:right="200" w:hanging="648"/>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7.3At any time,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may provide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with written notice that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wishes to assume control of the preparation, filing, prosecution, and maintenance of any and all patent applications or patents included in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If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elects to reassume these responsibilities,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agrees to cooperate fully with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its attorneys, and agents in the preparation, filing, prosecution, and maintenance of any and all patent applications or patents included in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and to provide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with complete copies of any and all documents or other materials that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deems necessary to undertake such responsibilities. </w:t>
      </w:r>
      <w:r>
        <w:rPr>
          <w:rFonts w:ascii="Times New Roman" w:cs="Times New Roman" w:eastAsia="Times New Roman" w:hAnsi="Times New Roman"/>
          <w:sz w:val="18"/>
          <w:szCs w:val="18"/>
          <w:b w:val="1"/>
          <w:bCs w:val="1"/>
          <w:color w:val="auto"/>
        </w:rPr>
        <w:t>[***]</w:t>
      </w:r>
    </w:p>
    <w:p>
      <w:pPr>
        <w:spacing w:after="0" w:line="183" w:lineRule="exact"/>
        <w:rPr>
          <w:rFonts w:ascii="Times New Roman" w:cs="Times New Roman" w:eastAsia="Times New Roman" w:hAnsi="Times New Roman"/>
          <w:sz w:val="18"/>
          <w:szCs w:val="18"/>
          <w:color w:val="auto"/>
        </w:rPr>
      </w:pPr>
    </w:p>
    <w:p>
      <w:pPr>
        <w:ind w:left="1300" w:right="80" w:hanging="648"/>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7.4Each party shall promptly inform the other as to all matters that come to its attention that may affect the preparation, filing, prosecution, or maintenance of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and permit each other to provide comments and suggestions with respect to the preparation, filing, prosecution, and maintenance of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RECORD KEEPING</w:t>
      </w:r>
    </w:p>
    <w:p>
      <w:pPr>
        <w:spacing w:after="0" w:line="221" w:lineRule="exact"/>
        <w:rPr>
          <w:rFonts w:ascii="Times New Roman" w:cs="Times New Roman" w:eastAsia="Times New Roman" w:hAnsi="Times New Roman"/>
          <w:sz w:val="18"/>
          <w:szCs w:val="18"/>
          <w:color w:val="auto"/>
        </w:rPr>
      </w:pPr>
    </w:p>
    <w:p>
      <w:pPr>
        <w:ind w:left="1300" w:right="60" w:hanging="648"/>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8.1The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agrees to keep accurate and correct records of the </w:t>
      </w:r>
      <w:r>
        <w:rPr>
          <w:rFonts w:ascii="Times New Roman" w:cs="Times New Roman" w:eastAsia="Times New Roman" w:hAnsi="Times New Roman"/>
          <w:sz w:val="18"/>
          <w:szCs w:val="18"/>
          <w:b w:val="1"/>
          <w:bCs w:val="1"/>
          <w:color w:val="auto"/>
        </w:rPr>
        <w:t>Licensed Products</w:t>
      </w:r>
      <w:r>
        <w:rPr>
          <w:rFonts w:ascii="Times New Roman" w:cs="Times New Roman" w:eastAsia="Times New Roman" w:hAnsi="Times New Roman"/>
          <w:sz w:val="18"/>
          <w:szCs w:val="18"/>
          <w:color w:val="auto"/>
        </w:rPr>
        <w:t xml:space="preserve"> made, used, sold, or imported and the </w:t>
      </w:r>
      <w:r>
        <w:rPr>
          <w:rFonts w:ascii="Times New Roman" w:cs="Times New Roman" w:eastAsia="Times New Roman" w:hAnsi="Times New Roman"/>
          <w:sz w:val="18"/>
          <w:szCs w:val="18"/>
          <w:b w:val="1"/>
          <w:bCs w:val="1"/>
          <w:color w:val="auto"/>
        </w:rPr>
        <w:t>Licensed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Processes </w:t>
      </w:r>
      <w:r>
        <w:rPr>
          <w:rFonts w:ascii="Times New Roman" w:cs="Times New Roman" w:eastAsia="Times New Roman" w:hAnsi="Times New Roman"/>
          <w:sz w:val="18"/>
          <w:szCs w:val="18"/>
          <w:color w:val="auto"/>
        </w:rPr>
        <w:t>practiced under this</w:t>
      </w:r>
      <w:r>
        <w:rPr>
          <w:rFonts w:ascii="Times New Roman" w:cs="Times New Roman" w:eastAsia="Times New Roman" w:hAnsi="Times New Roman"/>
          <w:sz w:val="18"/>
          <w:szCs w:val="18"/>
          <w:b w:val="1"/>
          <w:bCs w:val="1"/>
          <w:color w:val="auto"/>
        </w:rPr>
        <w:t xml:space="preserve"> Agreement </w:t>
      </w:r>
      <w:r>
        <w:rPr>
          <w:rFonts w:ascii="Times New Roman" w:cs="Times New Roman" w:eastAsia="Times New Roman" w:hAnsi="Times New Roman"/>
          <w:sz w:val="18"/>
          <w:szCs w:val="18"/>
          <w:color w:val="auto"/>
        </w:rPr>
        <w:t>appropriate to determine the amount of royalties due the</w:t>
      </w:r>
      <w:r>
        <w:rPr>
          <w:rFonts w:ascii="Times New Roman" w:cs="Times New Roman" w:eastAsia="Times New Roman" w:hAnsi="Times New Roman"/>
          <w:sz w:val="18"/>
          <w:szCs w:val="18"/>
          <w:b w:val="1"/>
          <w:bCs w:val="1"/>
          <w:color w:val="auto"/>
        </w:rPr>
        <w:t xml:space="preserve"> IC</w:t>
      </w:r>
      <w:r>
        <w:rPr>
          <w:rFonts w:ascii="Times New Roman" w:cs="Times New Roman" w:eastAsia="Times New Roman" w:hAnsi="Times New Roman"/>
          <w:sz w:val="18"/>
          <w:szCs w:val="18"/>
          <w:color w:val="auto"/>
        </w:rPr>
        <w:t>. These records shall be retained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at least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following a given reporting period and shall be available during normal business hours for inspection, at the expense of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by an accountant or other designated auditor selected by the</w:t>
      </w:r>
      <w:r>
        <w:rPr>
          <w:rFonts w:ascii="Times New Roman" w:cs="Times New Roman" w:eastAsia="Times New Roman" w:hAnsi="Times New Roman"/>
          <w:sz w:val="18"/>
          <w:szCs w:val="18"/>
          <w:b w:val="1"/>
          <w:bCs w:val="1"/>
          <w:color w:val="auto"/>
        </w:rPr>
        <w:t xml:space="preserve"> IC </w:t>
      </w:r>
      <w:r>
        <w:rPr>
          <w:rFonts w:ascii="Times New Roman" w:cs="Times New Roman" w:eastAsia="Times New Roman" w:hAnsi="Times New Roman"/>
          <w:sz w:val="18"/>
          <w:szCs w:val="18"/>
          <w:color w:val="auto"/>
        </w:rPr>
        <w:t>for the sole purpose of verifying reports and royalty payments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hereunder. The accountant or auditor shall only disclose to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information relating to the accuracy of reports and royalty payments made under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If an inspection shows an underreporting or underpayment in excess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for any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period, then the </w:t>
      </w:r>
      <w:r>
        <w:rPr>
          <w:rFonts w:ascii="Times New Roman" w:cs="Times New Roman" w:eastAsia="Times New Roman" w:hAnsi="Times New Roman"/>
          <w:sz w:val="18"/>
          <w:szCs w:val="18"/>
          <w:b w:val="1"/>
          <w:bCs w:val="1"/>
          <w:color w:val="auto"/>
        </w:rPr>
        <w:t xml:space="preserve">Licensee </w:t>
      </w:r>
      <w:r>
        <w:rPr>
          <w:rFonts w:ascii="Times New Roman" w:cs="Times New Roman" w:eastAsia="Times New Roman" w:hAnsi="Times New Roman"/>
          <w:sz w:val="18"/>
          <w:szCs w:val="18"/>
          <w:color w:val="auto"/>
        </w:rPr>
        <w:t>shall reimburse the</w:t>
      </w:r>
      <w:r>
        <w:rPr>
          <w:rFonts w:ascii="Times New Roman" w:cs="Times New Roman" w:eastAsia="Times New Roman" w:hAnsi="Times New Roman"/>
          <w:sz w:val="18"/>
          <w:szCs w:val="18"/>
          <w:b w:val="1"/>
          <w:bCs w:val="1"/>
          <w:color w:val="auto"/>
        </w:rPr>
        <w:t xml:space="preserve"> IC </w:t>
      </w:r>
      <w:r>
        <w:rPr>
          <w:rFonts w:ascii="Times New Roman" w:cs="Times New Roman" w:eastAsia="Times New Roman" w:hAnsi="Times New Roman"/>
          <w:sz w:val="18"/>
          <w:szCs w:val="18"/>
          <w:color w:val="auto"/>
        </w:rPr>
        <w:t>for the cost of the inspection at the time the</w:t>
      </w:r>
      <w:r>
        <w:rPr>
          <w:rFonts w:ascii="Times New Roman" w:cs="Times New Roman" w:eastAsia="Times New Roman" w:hAnsi="Times New Roman"/>
          <w:sz w:val="18"/>
          <w:szCs w:val="18"/>
          <w:b w:val="1"/>
          <w:bCs w:val="1"/>
          <w:color w:val="auto"/>
        </w:rPr>
        <w:t xml:space="preserve"> Licensee </w:t>
      </w:r>
      <w:r>
        <w:rPr>
          <w:rFonts w:ascii="Times New Roman" w:cs="Times New Roman" w:eastAsia="Times New Roman" w:hAnsi="Times New Roman"/>
          <w:sz w:val="18"/>
          <w:szCs w:val="18"/>
          <w:color w:val="auto"/>
        </w:rPr>
        <w:t>pays the unreported royalties, including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additional royalties as required by Paragraph 9.8. All royalty payments required under this Paragraph shall be due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date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provides to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notice of the payment due.</w:t>
      </w:r>
    </w:p>
    <w:p>
      <w:pPr>
        <w:spacing w:after="0" w:line="200" w:lineRule="exact"/>
        <w:rPr>
          <w:sz w:val="20"/>
          <w:szCs w:val="20"/>
          <w:color w:val="auto"/>
        </w:rPr>
      </w:pPr>
    </w:p>
    <w:p>
      <w:pPr>
        <w:spacing w:after="0" w:line="224" w:lineRule="exact"/>
        <w:rPr>
          <w:sz w:val="20"/>
          <w:szCs w:val="20"/>
          <w:color w:val="auto"/>
        </w:rPr>
      </w:pPr>
    </w:p>
    <w:p>
      <w:pPr>
        <w:ind w:right="3940" w:firstLine="8"/>
        <w:spacing w:after="0" w:line="282" w:lineRule="auto"/>
        <w:tabs>
          <w:tab w:leader="none" w:pos="348"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A-035-2017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NIH </w:t>
      </w:r>
      <w:r>
        <w:rPr>
          <w:rFonts w:ascii="Times New Roman" w:cs="Times New Roman" w:eastAsia="Times New Roman" w:hAnsi="Times New Roman"/>
          <w:sz w:val="14"/>
          <w:szCs w:val="14"/>
          <w:color w:val="auto"/>
        </w:rPr>
        <w:t>Patent License Agreement--</w:t>
      </w:r>
      <w:r>
        <w:rPr>
          <w:rFonts w:ascii="Times New Roman" w:cs="Times New Roman" w:eastAsia="Times New Roman" w:hAnsi="Times New Roman"/>
          <w:sz w:val="14"/>
          <w:szCs w:val="14"/>
          <w:i w:val="1"/>
          <w:iCs w:val="1"/>
          <w:color w:val="auto"/>
        </w:rPr>
        <w:t>Exclusive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Model 10-2015 [Final] [Selecta Biosciences] [3 April 2017]</w:t>
      </w:r>
    </w:p>
    <w:p>
      <w:pPr>
        <w:sectPr>
          <w:pgSz w:w="11900" w:h="16838" w:orient="portrait"/>
          <w:cols w:equalWidth="0" w:num="1">
            <w:col w:w="11360"/>
          </w:cols>
          <w:pgMar w:left="240" w:top="580" w:right="299" w:bottom="1440" w:gutter="0" w:footer="0" w:header="0"/>
        </w:sectPr>
      </w:pPr>
    </w:p>
    <w:bookmarkStart w:id="101" w:name="page102"/>
    <w:bookmarkEnd w:id="101"/>
    <w:p>
      <w:pPr>
        <w:ind w:left="660" w:hanging="652"/>
        <w:spacing w:after="0"/>
        <w:tabs>
          <w:tab w:leader="none" w:pos="66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REPORTS ON PROGRESS, BENCHMARKS, SALES, AND PAYMENTS</w:t>
      </w:r>
    </w:p>
    <w:p>
      <w:pPr>
        <w:spacing w:after="0" w:line="221" w:lineRule="exact"/>
        <w:rPr>
          <w:rFonts w:ascii="Times New Roman" w:cs="Times New Roman" w:eastAsia="Times New Roman" w:hAnsi="Times New Roman"/>
          <w:sz w:val="18"/>
          <w:szCs w:val="18"/>
          <w:color w:val="auto"/>
        </w:rPr>
      </w:pPr>
    </w:p>
    <w:p>
      <w:pPr>
        <w:ind w:left="1300" w:right="40" w:hanging="648"/>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9.1Prior to signing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has provided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with the </w:t>
      </w:r>
      <w:r>
        <w:rPr>
          <w:rFonts w:ascii="Times New Roman" w:cs="Times New Roman" w:eastAsia="Times New Roman" w:hAnsi="Times New Roman"/>
          <w:sz w:val="18"/>
          <w:szCs w:val="18"/>
          <w:b w:val="1"/>
          <w:bCs w:val="1"/>
          <w:color w:val="auto"/>
        </w:rPr>
        <w:t>Commercial Development Plan</w:t>
      </w:r>
      <w:r>
        <w:rPr>
          <w:rFonts w:ascii="Times New Roman" w:cs="Times New Roman" w:eastAsia="Times New Roman" w:hAnsi="Times New Roman"/>
          <w:sz w:val="18"/>
          <w:szCs w:val="18"/>
          <w:color w:val="auto"/>
        </w:rPr>
        <w:t xml:space="preserve"> in Appendix E, under which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intends to bring the subject matter of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to the point of </w:t>
      </w:r>
      <w:r>
        <w:rPr>
          <w:rFonts w:ascii="Times New Roman" w:cs="Times New Roman" w:eastAsia="Times New Roman" w:hAnsi="Times New Roman"/>
          <w:sz w:val="18"/>
          <w:szCs w:val="18"/>
          <w:b w:val="1"/>
          <w:bCs w:val="1"/>
          <w:color w:val="auto"/>
        </w:rPr>
        <w:t>Practical Application</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Commercial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Development Plan </w:t>
      </w:r>
      <w:r>
        <w:rPr>
          <w:rFonts w:ascii="Times New Roman" w:cs="Times New Roman" w:eastAsia="Times New Roman" w:hAnsi="Times New Roman"/>
          <w:sz w:val="18"/>
          <w:szCs w:val="18"/>
          <w:color w:val="auto"/>
        </w:rPr>
        <w:t>is hereby incorporated by reference into this</w:t>
      </w:r>
      <w:r>
        <w:rPr>
          <w:rFonts w:ascii="Times New Roman" w:cs="Times New Roman" w:eastAsia="Times New Roman" w:hAnsi="Times New Roman"/>
          <w:sz w:val="18"/>
          <w:szCs w:val="18"/>
          <w:b w:val="1"/>
          <w:bCs w:val="1"/>
          <w:color w:val="auto"/>
        </w:rPr>
        <w:t xml:space="preserve"> Agreement</w:t>
      </w:r>
      <w:r>
        <w:rPr>
          <w:rFonts w:ascii="Times New Roman" w:cs="Times New Roman" w:eastAsia="Times New Roman" w:hAnsi="Times New Roman"/>
          <w:sz w:val="18"/>
          <w:szCs w:val="18"/>
          <w:color w:val="auto"/>
        </w:rPr>
        <w:t>. Based on this plan, performance</w:t>
      </w:r>
      <w:r>
        <w:rPr>
          <w:rFonts w:ascii="Times New Roman" w:cs="Times New Roman" w:eastAsia="Times New Roman" w:hAnsi="Times New Roman"/>
          <w:sz w:val="18"/>
          <w:szCs w:val="18"/>
          <w:b w:val="1"/>
          <w:bCs w:val="1"/>
          <w:color w:val="auto"/>
        </w:rPr>
        <w:t xml:space="preserve"> Benchmarks </w:t>
      </w:r>
      <w:r>
        <w:rPr>
          <w:rFonts w:ascii="Times New Roman" w:cs="Times New Roman" w:eastAsia="Times New Roman" w:hAnsi="Times New Roman"/>
          <w:sz w:val="18"/>
          <w:szCs w:val="18"/>
          <w:color w:val="auto"/>
        </w:rPr>
        <w:t>are determined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specified in Appendix D.</w:t>
      </w:r>
    </w:p>
    <w:p>
      <w:pPr>
        <w:spacing w:after="0" w:line="176" w:lineRule="exact"/>
        <w:rPr>
          <w:rFonts w:ascii="Times New Roman" w:cs="Times New Roman" w:eastAsia="Times New Roman" w:hAnsi="Times New Roman"/>
          <w:sz w:val="18"/>
          <w:szCs w:val="18"/>
          <w:color w:val="auto"/>
        </w:rPr>
      </w:pPr>
    </w:p>
    <w:p>
      <w:pPr>
        <w:ind w:left="1300" w:right="20" w:hanging="648"/>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9.2The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shall provide written annual reports on its product development progress or efforts to commercialize under the </w:t>
      </w:r>
      <w:r>
        <w:rPr>
          <w:rFonts w:ascii="Times New Roman" w:cs="Times New Roman" w:eastAsia="Times New Roman" w:hAnsi="Times New Roman"/>
          <w:sz w:val="18"/>
          <w:szCs w:val="18"/>
          <w:b w:val="1"/>
          <w:bCs w:val="1"/>
          <w:color w:val="auto"/>
        </w:rPr>
        <w:t>Commercial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Development Plan </w:t>
      </w:r>
      <w:r>
        <w:rPr>
          <w:rFonts w:ascii="Times New Roman" w:cs="Times New Roman" w:eastAsia="Times New Roman" w:hAnsi="Times New Roman"/>
          <w:sz w:val="18"/>
          <w:szCs w:val="18"/>
          <w:color w:val="auto"/>
        </w:rPr>
        <w:t>for each of the</w:t>
      </w:r>
      <w:r>
        <w:rPr>
          <w:rFonts w:ascii="Times New Roman" w:cs="Times New Roman" w:eastAsia="Times New Roman" w:hAnsi="Times New Roman"/>
          <w:sz w:val="18"/>
          <w:szCs w:val="18"/>
          <w:b w:val="1"/>
          <w:bCs w:val="1"/>
          <w:color w:val="auto"/>
        </w:rPr>
        <w:t xml:space="preserve"> Licensed Fields of Use </w:t>
      </w:r>
      <w:r>
        <w:rPr>
          <w:rFonts w:ascii="Times New Roman" w:cs="Times New Roman" w:eastAsia="Times New Roman" w:hAnsi="Times New Roman"/>
          <w:sz w:val="18"/>
          <w:szCs w:val="18"/>
          <w:color w:val="auto"/>
        </w:rPr>
        <w:t>within</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after December 31 of each calendar year. These progress 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shall include, but not be limited to: progress on research and development, status of applications for regulatory approvals, manufacture and status of sublicensing, marketing, importing, and sales during the preceding calendar year, as well as, plans for the present calendar year.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also encourages these reports to include information on any of the </w:t>
      </w:r>
      <w:r>
        <w:rPr>
          <w:rFonts w:ascii="Times New Roman" w:cs="Times New Roman" w:eastAsia="Times New Roman" w:hAnsi="Times New Roman"/>
          <w:sz w:val="18"/>
          <w:szCs w:val="18"/>
          <w:b w:val="1"/>
          <w:bCs w:val="1"/>
          <w:color w:val="auto"/>
        </w:rPr>
        <w:t>Licensee's</w:t>
      </w:r>
      <w:r>
        <w:rPr>
          <w:rFonts w:ascii="Times New Roman" w:cs="Times New Roman" w:eastAsia="Times New Roman" w:hAnsi="Times New Roman"/>
          <w:sz w:val="18"/>
          <w:szCs w:val="18"/>
          <w:color w:val="auto"/>
        </w:rPr>
        <w:t xml:space="preserve"> public service activities that relate to the </w:t>
      </w:r>
      <w:r>
        <w:rPr>
          <w:rFonts w:ascii="Times New Roman" w:cs="Times New Roman" w:eastAsia="Times New Roman" w:hAnsi="Times New Roman"/>
          <w:sz w:val="18"/>
          <w:szCs w:val="18"/>
          <w:b w:val="1"/>
          <w:bCs w:val="1"/>
          <w:color w:val="auto"/>
        </w:rPr>
        <w:t>Licensed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Patent Rights</w:t>
      </w:r>
      <w:r>
        <w:rPr>
          <w:rFonts w:ascii="Times New Roman" w:cs="Times New Roman" w:eastAsia="Times New Roman" w:hAnsi="Times New Roman"/>
          <w:sz w:val="18"/>
          <w:szCs w:val="18"/>
          <w:color w:val="auto"/>
        </w:rPr>
        <w:t>. If reported progress differs from that projected in the</w:t>
      </w:r>
      <w:r>
        <w:rPr>
          <w:rFonts w:ascii="Times New Roman" w:cs="Times New Roman" w:eastAsia="Times New Roman" w:hAnsi="Times New Roman"/>
          <w:sz w:val="18"/>
          <w:szCs w:val="18"/>
          <w:b w:val="1"/>
          <w:bCs w:val="1"/>
          <w:color w:val="auto"/>
        </w:rPr>
        <w:t xml:space="preserve"> Commercial Development Plan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Benchmarks</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Licensee </w:t>
      </w:r>
      <w:r>
        <w:rPr>
          <w:rFonts w:ascii="Times New Roman" w:cs="Times New Roman" w:eastAsia="Times New Roman" w:hAnsi="Times New Roman"/>
          <w:sz w:val="18"/>
          <w:szCs w:val="18"/>
          <w:color w:val="auto"/>
        </w:rPr>
        <w:t>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explain the reasons for these differences. In the annual report,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may propose amendments to the </w:t>
      </w:r>
      <w:r>
        <w:rPr>
          <w:rFonts w:ascii="Times New Roman" w:cs="Times New Roman" w:eastAsia="Times New Roman" w:hAnsi="Times New Roman"/>
          <w:sz w:val="18"/>
          <w:szCs w:val="18"/>
          <w:b w:val="1"/>
          <w:bCs w:val="1"/>
          <w:color w:val="auto"/>
        </w:rPr>
        <w:t>Commercial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Licensee </w:t>
      </w:r>
      <w:r>
        <w:rPr>
          <w:rFonts w:ascii="Times New Roman" w:cs="Times New Roman" w:eastAsia="Times New Roman" w:hAnsi="Times New Roman"/>
          <w:sz w:val="18"/>
          <w:szCs w:val="18"/>
          <w:color w:val="auto"/>
        </w:rPr>
        <w:t>agrees to provide any additional information reasonably required by the</w:t>
      </w:r>
      <w:r>
        <w:rPr>
          <w:rFonts w:ascii="Times New Roman" w:cs="Times New Roman" w:eastAsia="Times New Roman" w:hAnsi="Times New Roman"/>
          <w:sz w:val="18"/>
          <w:szCs w:val="18"/>
          <w:b w:val="1"/>
          <w:bCs w:val="1"/>
          <w:color w:val="auto"/>
        </w:rPr>
        <w:t xml:space="preserve"> IC </w:t>
      </w:r>
      <w:r>
        <w:rPr>
          <w:rFonts w:ascii="Times New Roman" w:cs="Times New Roman" w:eastAsia="Times New Roman" w:hAnsi="Times New Roman"/>
          <w:sz w:val="18"/>
          <w:szCs w:val="18"/>
          <w:color w:val="auto"/>
        </w:rPr>
        <w:t>to evaluate the</w:t>
      </w:r>
      <w:r>
        <w:rPr>
          <w:rFonts w:ascii="Times New Roman" w:cs="Times New Roman" w:eastAsia="Times New Roman" w:hAnsi="Times New Roman"/>
          <w:sz w:val="18"/>
          <w:szCs w:val="18"/>
          <w:b w:val="1"/>
          <w:bCs w:val="1"/>
          <w:color w:val="auto"/>
        </w:rPr>
        <w:t xml:space="preserve"> Licensee's </w:t>
      </w:r>
      <w:r>
        <w:rPr>
          <w:rFonts w:ascii="Times New Roman" w:cs="Times New Roman" w:eastAsia="Times New Roman" w:hAnsi="Times New Roman"/>
          <w:sz w:val="18"/>
          <w:szCs w:val="18"/>
          <w:color w:val="auto"/>
        </w:rPr>
        <w:t xml:space="preserve">performance under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may amend the </w:t>
      </w:r>
      <w:r>
        <w:rPr>
          <w:rFonts w:ascii="Times New Roman" w:cs="Times New Roman" w:eastAsia="Times New Roman" w:hAnsi="Times New Roman"/>
          <w:sz w:val="18"/>
          <w:szCs w:val="18"/>
          <w:b w:val="1"/>
          <w:bCs w:val="1"/>
          <w:color w:val="auto"/>
        </w:rPr>
        <w:t>Benchmarks</w:t>
      </w:r>
      <w:r>
        <w:rPr>
          <w:rFonts w:ascii="Times New Roman" w:cs="Times New Roman" w:eastAsia="Times New Roman" w:hAnsi="Times New Roman"/>
          <w:sz w:val="18"/>
          <w:szCs w:val="18"/>
          <w:color w:val="auto"/>
        </w:rPr>
        <w:t xml:space="preserve"> at any time upon written approval by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IC [***]</w:t>
      </w:r>
      <w:r>
        <w:rPr>
          <w:rFonts w:ascii="Times New Roman" w:cs="Times New Roman" w:eastAsia="Times New Roman" w:hAnsi="Times New Roman"/>
          <w:sz w:val="18"/>
          <w:szCs w:val="18"/>
          <w:color w:val="auto"/>
        </w:rPr>
        <w:t xml:space="preserve"> of any request of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to extend the time periods of this schedule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shall amend the </w:t>
      </w:r>
      <w:r>
        <w:rPr>
          <w:rFonts w:ascii="Times New Roman" w:cs="Times New Roman" w:eastAsia="Times New Roman" w:hAnsi="Times New Roman"/>
          <w:sz w:val="18"/>
          <w:szCs w:val="18"/>
          <w:b w:val="1"/>
          <w:bCs w:val="1"/>
          <w:color w:val="auto"/>
        </w:rPr>
        <w:t>Commercial Development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Plan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Benchmarks </w:t>
      </w:r>
      <w:r>
        <w:rPr>
          <w:rFonts w:ascii="Times New Roman" w:cs="Times New Roman" w:eastAsia="Times New Roman" w:hAnsi="Times New Roman"/>
          <w:sz w:val="18"/>
          <w:szCs w:val="18"/>
          <w:color w:val="auto"/>
        </w:rPr>
        <w:t>at the request of the</w:t>
      </w:r>
      <w:r>
        <w:rPr>
          <w:rFonts w:ascii="Times New Roman" w:cs="Times New Roman" w:eastAsia="Times New Roman" w:hAnsi="Times New Roman"/>
          <w:sz w:val="18"/>
          <w:szCs w:val="18"/>
          <w:b w:val="1"/>
          <w:bCs w:val="1"/>
          <w:color w:val="auto"/>
        </w:rPr>
        <w:t xml:space="preserve"> IC </w:t>
      </w:r>
      <w:r>
        <w:rPr>
          <w:rFonts w:ascii="Times New Roman" w:cs="Times New Roman" w:eastAsia="Times New Roman" w:hAnsi="Times New Roman"/>
          <w:sz w:val="18"/>
          <w:szCs w:val="18"/>
          <w:color w:val="auto"/>
        </w:rPr>
        <w:t>to address any</w:t>
      </w:r>
      <w:r>
        <w:rPr>
          <w:rFonts w:ascii="Times New Roman" w:cs="Times New Roman" w:eastAsia="Times New Roman" w:hAnsi="Times New Roman"/>
          <w:sz w:val="18"/>
          <w:szCs w:val="18"/>
          <w:b w:val="1"/>
          <w:bCs w:val="1"/>
          <w:color w:val="auto"/>
        </w:rPr>
        <w:t xml:space="preserve"> Licensed Fields of Use </w:t>
      </w:r>
      <w:r>
        <w:rPr>
          <w:rFonts w:ascii="Times New Roman" w:cs="Times New Roman" w:eastAsia="Times New Roman" w:hAnsi="Times New Roman"/>
          <w:sz w:val="18"/>
          <w:szCs w:val="18"/>
          <w:color w:val="auto"/>
        </w:rPr>
        <w:t>not specifically addressed in the plan originally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submitted.</w:t>
      </w:r>
    </w:p>
    <w:p>
      <w:pPr>
        <w:spacing w:after="0" w:line="190" w:lineRule="exact"/>
        <w:rPr>
          <w:rFonts w:ascii="Times New Roman" w:cs="Times New Roman" w:eastAsia="Times New Roman" w:hAnsi="Times New Roman"/>
          <w:sz w:val="18"/>
          <w:szCs w:val="18"/>
          <w:color w:val="auto"/>
        </w:rPr>
      </w:pPr>
    </w:p>
    <w:p>
      <w:pPr>
        <w:ind w:left="1300" w:right="180" w:hanging="648"/>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9.3The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shall report to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the dates for achieving </w:t>
      </w:r>
      <w:r>
        <w:rPr>
          <w:rFonts w:ascii="Times New Roman" w:cs="Times New Roman" w:eastAsia="Times New Roman" w:hAnsi="Times New Roman"/>
          <w:sz w:val="18"/>
          <w:szCs w:val="18"/>
          <w:b w:val="1"/>
          <w:bCs w:val="1"/>
          <w:color w:val="auto"/>
        </w:rPr>
        <w:t>Benchmarks</w:t>
      </w:r>
      <w:r>
        <w:rPr>
          <w:rFonts w:ascii="Times New Roman" w:cs="Times New Roman" w:eastAsia="Times New Roman" w:hAnsi="Times New Roman"/>
          <w:sz w:val="18"/>
          <w:szCs w:val="18"/>
          <w:color w:val="auto"/>
        </w:rPr>
        <w:t xml:space="preserve"> specified in Appendix D and the </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xml:space="preserve"> in each country in the </w:t>
      </w:r>
      <w:r>
        <w:rPr>
          <w:rFonts w:ascii="Times New Roman" w:cs="Times New Roman" w:eastAsia="Times New Roman" w:hAnsi="Times New Roman"/>
          <w:sz w:val="18"/>
          <w:szCs w:val="18"/>
          <w:b w:val="1"/>
          <w:bCs w:val="1"/>
          <w:color w:val="auto"/>
        </w:rPr>
        <w:t>Licensed Territory</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such occurrences.</w:t>
      </w:r>
    </w:p>
    <w:p>
      <w:pPr>
        <w:spacing w:after="0" w:line="154" w:lineRule="exact"/>
        <w:rPr>
          <w:rFonts w:ascii="Times New Roman" w:cs="Times New Roman" w:eastAsia="Times New Roman" w:hAnsi="Times New Roman"/>
          <w:sz w:val="18"/>
          <w:szCs w:val="18"/>
          <w:color w:val="auto"/>
        </w:rPr>
      </w:pPr>
    </w:p>
    <w:p>
      <w:pPr>
        <w:ind w:left="1300" w:hanging="64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9.4The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shall submit to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each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 royalty report, as described in the example in Appendix F, setting forth for the preceding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amount of the </w:t>
      </w:r>
      <w:r>
        <w:rPr>
          <w:rFonts w:ascii="Times New Roman" w:cs="Times New Roman" w:eastAsia="Times New Roman" w:hAnsi="Times New Roman"/>
          <w:sz w:val="18"/>
          <w:szCs w:val="18"/>
          <w:b w:val="1"/>
          <w:bCs w:val="1"/>
          <w:color w:val="auto"/>
        </w:rPr>
        <w:t>Licensed Products</w:t>
      </w:r>
      <w:r>
        <w:rPr>
          <w:rFonts w:ascii="Times New Roman" w:cs="Times New Roman" w:eastAsia="Times New Roman" w:hAnsi="Times New Roman"/>
          <w:sz w:val="18"/>
          <w:szCs w:val="18"/>
          <w:color w:val="auto"/>
        </w:rPr>
        <w:t xml:space="preserve"> sold or </w:t>
      </w:r>
      <w:r>
        <w:rPr>
          <w:rFonts w:ascii="Times New Roman" w:cs="Times New Roman" w:eastAsia="Times New Roman" w:hAnsi="Times New Roman"/>
          <w:sz w:val="18"/>
          <w:szCs w:val="18"/>
          <w:b w:val="1"/>
          <w:bCs w:val="1"/>
          <w:color w:val="auto"/>
        </w:rPr>
        <w:t>Licensed Processes</w:t>
      </w:r>
      <w:r>
        <w:rPr>
          <w:rFonts w:ascii="Times New Roman" w:cs="Times New Roman" w:eastAsia="Times New Roman" w:hAnsi="Times New Roman"/>
          <w:sz w:val="18"/>
          <w:szCs w:val="18"/>
          <w:color w:val="auto"/>
        </w:rPr>
        <w:t xml:space="preserve"> practiced by or on behalf of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in each country within the </w:t>
      </w:r>
      <w:r>
        <w:rPr>
          <w:rFonts w:ascii="Times New Roman" w:cs="Times New Roman" w:eastAsia="Times New Roman" w:hAnsi="Times New Roman"/>
          <w:sz w:val="18"/>
          <w:szCs w:val="18"/>
          <w:b w:val="1"/>
          <w:bCs w:val="1"/>
          <w:color w:val="auto"/>
        </w:rPr>
        <w:t>Licensed Territory</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xml:space="preserve">, and the amount of royalty accordingly due. With each royalty report,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shall submit payment of earned royalties due. If no earned royalties are due to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for any reporting period, the written report shall so state. The royalty report shall be certified as correct by an authorized officer of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and shall include a detailed listing of all deductions made under Paragraph 2.15 to determine </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xml:space="preserve"> made under Article 6 to determine royalties due. The royalty report shall also identify the site of manufacture for the </w:t>
      </w:r>
      <w:r>
        <w:rPr>
          <w:rFonts w:ascii="Times New Roman" w:cs="Times New Roman" w:eastAsia="Times New Roman" w:hAnsi="Times New Roman"/>
          <w:sz w:val="18"/>
          <w:szCs w:val="18"/>
          <w:b w:val="1"/>
          <w:bCs w:val="1"/>
          <w:color w:val="auto"/>
        </w:rPr>
        <w:t>Licensed Product(s)</w:t>
      </w:r>
      <w:r>
        <w:rPr>
          <w:rFonts w:ascii="Times New Roman" w:cs="Times New Roman" w:eastAsia="Times New Roman" w:hAnsi="Times New Roman"/>
          <w:sz w:val="18"/>
          <w:szCs w:val="18"/>
          <w:color w:val="auto"/>
        </w:rPr>
        <w:t xml:space="preserve"> sold in the United States.</w:t>
      </w:r>
    </w:p>
    <w:p>
      <w:pPr>
        <w:spacing w:after="0" w:line="18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9.5</w:t>
      </w:r>
      <w:r>
        <w:rPr>
          <w:sz w:val="20"/>
          <w:szCs w:val="20"/>
          <w:color w:val="auto"/>
        </w:rPr>
        <w:tab/>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agrees to forward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to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a copy of these reports received by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from its sublicensees during the preceding</w:t>
      </w:r>
    </w:p>
    <w:p>
      <w:pPr>
        <w:spacing w:after="0" w:line="31" w:lineRule="exact"/>
        <w:rPr>
          <w:sz w:val="20"/>
          <w:szCs w:val="20"/>
          <w:color w:val="auto"/>
        </w:rPr>
      </w:pPr>
    </w:p>
    <w:p>
      <w:pPr>
        <w:ind w:left="1740" w:hanging="435"/>
        <w:spacing w:after="0"/>
        <w:tabs>
          <w:tab w:leader="none" w:pos="174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as shall be pertinent to a royalty accounting to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by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for activities under the sublicense.</w:t>
      </w:r>
    </w:p>
    <w:p>
      <w:pPr>
        <w:spacing w:after="0" w:line="207" w:lineRule="exact"/>
        <w:rPr>
          <w:sz w:val="20"/>
          <w:szCs w:val="20"/>
          <w:color w:val="auto"/>
        </w:rPr>
      </w:pPr>
    </w:p>
    <w:p>
      <w:pPr>
        <w:ind w:left="1300" w:right="20" w:hanging="647"/>
        <w:spacing w:after="0" w:line="261" w:lineRule="auto"/>
        <w:tabs>
          <w:tab w:leader="none" w:pos="1280" w:val="left"/>
        </w:tabs>
        <w:rPr>
          <w:sz w:val="20"/>
          <w:szCs w:val="20"/>
          <w:color w:val="auto"/>
        </w:rPr>
      </w:pPr>
      <w:r>
        <w:rPr>
          <w:rFonts w:ascii="Times New Roman" w:cs="Times New Roman" w:eastAsia="Times New Roman" w:hAnsi="Times New Roman"/>
          <w:sz w:val="18"/>
          <w:szCs w:val="18"/>
          <w:color w:val="auto"/>
        </w:rPr>
        <w:t>9.6</w:t>
      </w:r>
      <w:r>
        <w:rPr>
          <w:sz w:val="20"/>
          <w:szCs w:val="20"/>
          <w:color w:val="auto"/>
        </w:rPr>
        <w:tab/>
      </w:r>
      <w:r>
        <w:rPr>
          <w:rFonts w:ascii="Times New Roman" w:cs="Times New Roman" w:eastAsia="Times New Roman" w:hAnsi="Times New Roman"/>
          <w:sz w:val="18"/>
          <w:szCs w:val="18"/>
          <w:color w:val="auto"/>
        </w:rPr>
        <w:t xml:space="preserve">Royalties due under Article 6 shall be paid in U.S. dollars and payment options are listed in Appendix G. For conversion of foreign currency to U.S. dollars, the conversion rate shall be the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Any loss of exchange, value, taxes, or other expenses incurred in the transfer or conversion to U.S. dollars shall be paid entirely by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The royalty report required by Paragraph 9.4 shall be mailed to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at its address for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Notices indicated on the Signature Page.</w:t>
      </w:r>
    </w:p>
    <w:p>
      <w:pPr>
        <w:spacing w:after="0" w:line="200" w:lineRule="exact"/>
        <w:rPr>
          <w:sz w:val="20"/>
          <w:szCs w:val="20"/>
          <w:color w:val="auto"/>
        </w:rPr>
      </w:pPr>
    </w:p>
    <w:p>
      <w:pPr>
        <w:spacing w:after="0" w:line="219" w:lineRule="exact"/>
        <w:rPr>
          <w:sz w:val="20"/>
          <w:szCs w:val="20"/>
          <w:color w:val="auto"/>
        </w:rPr>
      </w:pPr>
    </w:p>
    <w:p>
      <w:pPr>
        <w:ind w:right="4000" w:firstLine="8"/>
        <w:spacing w:after="0" w:line="282" w:lineRule="auto"/>
        <w:tabs>
          <w:tab w:leader="none" w:pos="348" w:val="left"/>
        </w:tabs>
        <w:numPr>
          <w:ilvl w:val="0"/>
          <w:numId w:val="6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A-035-2017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NIH </w:t>
      </w:r>
      <w:r>
        <w:rPr>
          <w:rFonts w:ascii="Times New Roman" w:cs="Times New Roman" w:eastAsia="Times New Roman" w:hAnsi="Times New Roman"/>
          <w:sz w:val="14"/>
          <w:szCs w:val="14"/>
          <w:color w:val="auto"/>
        </w:rPr>
        <w:t>Patent License Agreement--</w:t>
      </w:r>
      <w:r>
        <w:rPr>
          <w:rFonts w:ascii="Times New Roman" w:cs="Times New Roman" w:eastAsia="Times New Roman" w:hAnsi="Times New Roman"/>
          <w:sz w:val="14"/>
          <w:szCs w:val="14"/>
          <w:i w:val="1"/>
          <w:iCs w:val="1"/>
          <w:color w:val="auto"/>
        </w:rPr>
        <w:t>Exclusive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Model 10-2015 [Final] [Selecta Biosciences] [3 April 2017]</w:t>
      </w:r>
    </w:p>
    <w:p>
      <w:pPr>
        <w:sectPr>
          <w:pgSz w:w="11900" w:h="16838" w:orient="portrait"/>
          <w:cols w:equalWidth="0" w:num="1">
            <w:col w:w="11420"/>
          </w:cols>
          <w:pgMar w:left="240" w:top="364" w:right="239" w:bottom="1440" w:gutter="0" w:footer="0" w:header="0"/>
        </w:sectPr>
      </w:pPr>
    </w:p>
    <w:bookmarkStart w:id="102" w:name="page103"/>
    <w:bookmarkEnd w:id="102"/>
    <w:p>
      <w:pPr>
        <w:ind w:left="1300" w:right="220" w:hanging="647"/>
        <w:spacing w:after="0" w:line="286" w:lineRule="auto"/>
        <w:tabs>
          <w:tab w:leader="none" w:pos="1280" w:val="left"/>
        </w:tabs>
        <w:rPr>
          <w:sz w:val="20"/>
          <w:szCs w:val="20"/>
          <w:color w:val="auto"/>
        </w:rPr>
      </w:pPr>
      <w:r>
        <w:rPr>
          <w:rFonts w:ascii="Times New Roman" w:cs="Times New Roman" w:eastAsia="Times New Roman" w:hAnsi="Times New Roman"/>
          <w:sz w:val="18"/>
          <w:szCs w:val="18"/>
          <w:color w:val="auto"/>
        </w:rPr>
        <w:t>9.7</w:t>
      </w:r>
      <w:r>
        <w:rPr>
          <w:sz w:val="20"/>
          <w:szCs w:val="20"/>
          <w:color w:val="auto"/>
        </w:rPr>
        <w:tab/>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shall be solely responsible for determining if any tax on royalty income is owed outside the United States and shall pay the tax and be responsible for all filings with appropriate agencies of foreign governments.</w:t>
      </w:r>
    </w:p>
    <w:p>
      <w:pPr>
        <w:spacing w:after="0" w:line="155" w:lineRule="exact"/>
        <w:rPr>
          <w:sz w:val="20"/>
          <w:szCs w:val="20"/>
          <w:color w:val="auto"/>
        </w:rPr>
      </w:pPr>
    </w:p>
    <w:p>
      <w:pPr>
        <w:jc w:val="both"/>
        <w:ind w:left="130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color w:val="auto"/>
        </w:rPr>
        <w:t>9.8</w:t>
      </w:r>
      <w:r>
        <w:rPr>
          <w:sz w:val="20"/>
          <w:szCs w:val="20"/>
          <w:color w:val="auto"/>
        </w:rPr>
        <w:tab/>
      </w:r>
      <w:r>
        <w:rPr>
          <w:rFonts w:ascii="Times New Roman" w:cs="Times New Roman" w:eastAsia="Times New Roman" w:hAnsi="Times New Roman"/>
          <w:sz w:val="18"/>
          <w:szCs w:val="18"/>
          <w:color w:val="auto"/>
        </w:rPr>
        <w:t xml:space="preserve">Additional royalties may be assessed by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on any payment that is more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overdue at the rate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rate may be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payment of any additional royalties shall not prevent the</w:t>
      </w:r>
      <w:r>
        <w:rPr>
          <w:rFonts w:ascii="Times New Roman" w:cs="Times New Roman" w:eastAsia="Times New Roman" w:hAnsi="Times New Roman"/>
          <w:sz w:val="18"/>
          <w:szCs w:val="18"/>
          <w:b w:val="1"/>
          <w:bCs w:val="1"/>
          <w:color w:val="auto"/>
        </w:rPr>
        <w:t xml:space="preserve"> IC </w:t>
      </w:r>
      <w:r>
        <w:rPr>
          <w:rFonts w:ascii="Times New Roman" w:cs="Times New Roman" w:eastAsia="Times New Roman" w:hAnsi="Times New Roman"/>
          <w:sz w:val="18"/>
          <w:szCs w:val="18"/>
          <w:color w:val="auto"/>
        </w:rPr>
        <w:t>from exercising any other rights it may have as a consequence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lateness of any payment.</w:t>
      </w:r>
    </w:p>
    <w:p>
      <w:pPr>
        <w:spacing w:after="0" w:line="171" w:lineRule="exact"/>
        <w:rPr>
          <w:sz w:val="20"/>
          <w:szCs w:val="20"/>
          <w:color w:val="auto"/>
        </w:rPr>
      </w:pPr>
    </w:p>
    <w:p>
      <w:pPr>
        <w:ind w:left="1300" w:right="120" w:hanging="647"/>
        <w:spacing w:after="0" w:line="262" w:lineRule="auto"/>
        <w:tabs>
          <w:tab w:leader="none" w:pos="1280" w:val="left"/>
        </w:tabs>
        <w:rPr>
          <w:sz w:val="20"/>
          <w:szCs w:val="20"/>
          <w:color w:val="auto"/>
        </w:rPr>
      </w:pPr>
      <w:r>
        <w:rPr>
          <w:rFonts w:ascii="Times New Roman" w:cs="Times New Roman" w:eastAsia="Times New Roman" w:hAnsi="Times New Roman"/>
          <w:sz w:val="18"/>
          <w:szCs w:val="18"/>
          <w:color w:val="auto"/>
        </w:rPr>
        <w:t>9.9</w:t>
      </w:r>
      <w:r>
        <w:rPr>
          <w:sz w:val="20"/>
          <w:szCs w:val="20"/>
          <w:color w:val="auto"/>
        </w:rPr>
        <w:tab/>
      </w:r>
      <w:r>
        <w:rPr>
          <w:rFonts w:ascii="Times New Roman" w:cs="Times New Roman" w:eastAsia="Times New Roman" w:hAnsi="Times New Roman"/>
          <w:sz w:val="18"/>
          <w:szCs w:val="18"/>
          <w:color w:val="auto"/>
        </w:rPr>
        <w:t xml:space="preserve">All plans and reports required by this Article 9 and marked “confidential” by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shall, to the extent permitted by law, be treated by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as commercial and financial information obtained from a person and as privileged and confidential, and any proposed disclosure of these records by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under the Freedom of Information Act (FOIA), </w:t>
      </w:r>
      <w:r>
        <w:rPr>
          <w:rFonts w:ascii="Times New Roman" w:cs="Times New Roman" w:eastAsia="Times New Roman" w:hAnsi="Times New Roman"/>
          <w:sz w:val="18"/>
          <w:szCs w:val="18"/>
          <w:u w:val="single" w:color="auto"/>
          <w:color w:val="0000FF"/>
        </w:rPr>
        <w:t>5 U.S.C. §552</w:t>
      </w:r>
      <w:r>
        <w:rPr>
          <w:rFonts w:ascii="Times New Roman" w:cs="Times New Roman" w:eastAsia="Times New Roman" w:hAnsi="Times New Roman"/>
          <w:sz w:val="18"/>
          <w:szCs w:val="18"/>
          <w:color w:val="auto"/>
        </w:rPr>
        <w:t xml:space="preserve"> shall be subject to the predisclosure notification requirements of </w:t>
      </w:r>
      <w:r>
        <w:rPr>
          <w:rFonts w:ascii="Times New Roman" w:cs="Times New Roman" w:eastAsia="Times New Roman" w:hAnsi="Times New Roman"/>
          <w:sz w:val="18"/>
          <w:szCs w:val="18"/>
          <w:u w:val="single" w:color="auto"/>
          <w:color w:val="0000FF"/>
        </w:rPr>
        <w:t>45 C.F.R. §5.65(d).</w:t>
      </w:r>
    </w:p>
    <w:p>
      <w:pPr>
        <w:spacing w:after="0" w:line="181" w:lineRule="exact"/>
        <w:rPr>
          <w:sz w:val="20"/>
          <w:szCs w:val="20"/>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w:t>
      </w:r>
    </w:p>
    <w:p>
      <w:pPr>
        <w:spacing w:after="0" w:line="221" w:lineRule="exact"/>
        <w:rPr>
          <w:rFonts w:ascii="Times New Roman" w:cs="Times New Roman" w:eastAsia="Times New Roman" w:hAnsi="Times New Roman"/>
          <w:sz w:val="18"/>
          <w:szCs w:val="18"/>
          <w:color w:val="auto"/>
        </w:rPr>
      </w:pPr>
    </w:p>
    <w:p>
      <w:pPr>
        <w:ind w:left="1300" w:right="60" w:hanging="648"/>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10.1The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shall use </w:t>
      </w:r>
      <w:r>
        <w:rPr>
          <w:rFonts w:ascii="Times New Roman" w:cs="Times New Roman" w:eastAsia="Times New Roman" w:hAnsi="Times New Roman"/>
          <w:sz w:val="18"/>
          <w:szCs w:val="18"/>
          <w:b w:val="1"/>
          <w:bCs w:val="1"/>
          <w:color w:val="auto"/>
        </w:rPr>
        <w:t>Commercially Reasonable Efforts</w:t>
      </w:r>
      <w:r>
        <w:rPr>
          <w:rFonts w:ascii="Times New Roman" w:cs="Times New Roman" w:eastAsia="Times New Roman" w:hAnsi="Times New Roman"/>
          <w:sz w:val="18"/>
          <w:szCs w:val="18"/>
          <w:color w:val="auto"/>
        </w:rPr>
        <w:t xml:space="preserve"> to bring the </w:t>
      </w:r>
      <w:r>
        <w:rPr>
          <w:rFonts w:ascii="Times New Roman" w:cs="Times New Roman" w:eastAsia="Times New Roman" w:hAnsi="Times New Roman"/>
          <w:sz w:val="18"/>
          <w:szCs w:val="18"/>
          <w:b w:val="1"/>
          <w:bCs w:val="1"/>
          <w:color w:val="auto"/>
        </w:rPr>
        <w:t>Licensed Products</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b w:val="1"/>
          <w:bCs w:val="1"/>
          <w:color w:val="auto"/>
        </w:rPr>
        <w:t>Licensed Processes</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b w:val="1"/>
          <w:bCs w:val="1"/>
          <w:color w:val="auto"/>
        </w:rPr>
        <w:t>Practical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Application </w:t>
      </w:r>
      <w:r>
        <w:rPr>
          <w:rFonts w:ascii="Times New Roman" w:cs="Times New Roman" w:eastAsia="Times New Roman" w:hAnsi="Times New Roman"/>
          <w:sz w:val="18"/>
          <w:szCs w:val="18"/>
          <w:color w:val="auto"/>
        </w:rPr>
        <w:t>to perform the activities set forth in the</w:t>
      </w:r>
      <w:r>
        <w:rPr>
          <w:rFonts w:ascii="Times New Roman" w:cs="Times New Roman" w:eastAsia="Times New Roman" w:hAnsi="Times New Roman"/>
          <w:sz w:val="18"/>
          <w:szCs w:val="18"/>
          <w:b w:val="1"/>
          <w:bCs w:val="1"/>
          <w:color w:val="auto"/>
        </w:rPr>
        <w:t xml:space="preserve"> Commercial Development Plan </w:t>
      </w:r>
      <w:r>
        <w:rPr>
          <w:rFonts w:ascii="Times New Roman" w:cs="Times New Roman" w:eastAsia="Times New Roman" w:hAnsi="Times New Roman"/>
          <w:sz w:val="18"/>
          <w:szCs w:val="18"/>
          <w:color w:val="auto"/>
        </w:rPr>
        <w:t>in Appendix E and performance of the</w:t>
      </w:r>
      <w:r>
        <w:rPr>
          <w:rFonts w:ascii="Times New Roman" w:cs="Times New Roman" w:eastAsia="Times New Roman" w:hAnsi="Times New Roman"/>
          <w:sz w:val="18"/>
          <w:szCs w:val="18"/>
          <w:b w:val="1"/>
          <w:bCs w:val="1"/>
          <w:color w:val="auto"/>
        </w:rPr>
        <w:t xml:space="preserve"> Benchmarks </w:t>
      </w:r>
      <w:r>
        <w:rPr>
          <w:rFonts w:ascii="Times New Roman" w:cs="Times New Roman" w:eastAsia="Times New Roman" w:hAnsi="Times New Roman"/>
          <w:sz w:val="18"/>
          <w:szCs w:val="18"/>
          <w:color w:val="auto"/>
        </w:rPr>
        <w:t xml:space="preserve">in Appendix D. The efforts of a sublicensee or </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xml:space="preserve"> shall be considered the efforts of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1300" w:hanging="648"/>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10.2Upon the </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xml:space="preserve">, until the expiration or termination 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shall use </w:t>
      </w:r>
      <w:r>
        <w:rPr>
          <w:rFonts w:ascii="Times New Roman" w:cs="Times New Roman" w:eastAsia="Times New Roman" w:hAnsi="Times New Roman"/>
          <w:sz w:val="18"/>
          <w:szCs w:val="18"/>
          <w:b w:val="1"/>
          <w:bCs w:val="1"/>
          <w:color w:val="auto"/>
        </w:rPr>
        <w:t>Commercially Reasonable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Efforts </w:t>
      </w:r>
      <w:r>
        <w:rPr>
          <w:rFonts w:ascii="Times New Roman" w:cs="Times New Roman" w:eastAsia="Times New Roman" w:hAnsi="Times New Roman"/>
          <w:sz w:val="18"/>
          <w:szCs w:val="18"/>
          <w:color w:val="auto"/>
        </w:rPr>
        <w:t>to make the</w:t>
      </w:r>
      <w:r>
        <w:rPr>
          <w:rFonts w:ascii="Times New Roman" w:cs="Times New Roman" w:eastAsia="Times New Roman" w:hAnsi="Times New Roman"/>
          <w:sz w:val="18"/>
          <w:szCs w:val="18"/>
          <w:b w:val="1"/>
          <w:bCs w:val="1"/>
          <w:color w:val="auto"/>
        </w:rPr>
        <w:t xml:space="preserve"> Licensed Products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b w:val="1"/>
          <w:bCs w:val="1"/>
          <w:color w:val="auto"/>
        </w:rPr>
        <w:t xml:space="preserve"> Licensed Processes </w:t>
      </w:r>
      <w:r>
        <w:rPr>
          <w:rFonts w:ascii="Times New Roman" w:cs="Times New Roman" w:eastAsia="Times New Roman" w:hAnsi="Times New Roman"/>
          <w:sz w:val="18"/>
          <w:szCs w:val="18"/>
          <w:color w:val="auto"/>
        </w:rPr>
        <w:t>reasonably accessible to the United States public.</w:t>
      </w:r>
    </w:p>
    <w:p>
      <w:pPr>
        <w:spacing w:after="0" w:line="154" w:lineRule="exact"/>
        <w:rPr>
          <w:rFonts w:ascii="Times New Roman" w:cs="Times New Roman" w:eastAsia="Times New Roman" w:hAnsi="Times New Roman"/>
          <w:sz w:val="18"/>
          <w:szCs w:val="18"/>
          <w:color w:val="auto"/>
        </w:rPr>
      </w:pPr>
    </w:p>
    <w:p>
      <w:pPr>
        <w:ind w:left="1300" w:right="440" w:hanging="648"/>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10.3The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agrees, after its </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xml:space="preserve"> to make reasonable quantities of the </w:t>
      </w:r>
      <w:r>
        <w:rPr>
          <w:rFonts w:ascii="Times New Roman" w:cs="Times New Roman" w:eastAsia="Times New Roman" w:hAnsi="Times New Roman"/>
          <w:sz w:val="18"/>
          <w:szCs w:val="18"/>
          <w:b w:val="1"/>
          <w:bCs w:val="1"/>
          <w:color w:val="auto"/>
        </w:rPr>
        <w:t>Licensed Products</w:t>
      </w:r>
      <w:r>
        <w:rPr>
          <w:rFonts w:ascii="Times New Roman" w:cs="Times New Roman" w:eastAsia="Times New Roman" w:hAnsi="Times New Roman"/>
          <w:sz w:val="18"/>
          <w:szCs w:val="18"/>
          <w:color w:val="auto"/>
        </w:rPr>
        <w:t xml:space="preserve"> or materials produced through the use of the </w:t>
      </w:r>
      <w:r>
        <w:rPr>
          <w:rFonts w:ascii="Times New Roman" w:cs="Times New Roman" w:eastAsia="Times New Roman" w:hAnsi="Times New Roman"/>
          <w:sz w:val="18"/>
          <w:szCs w:val="18"/>
          <w:b w:val="1"/>
          <w:bCs w:val="1"/>
          <w:color w:val="auto"/>
        </w:rPr>
        <w:t>Licensed Processes</w:t>
      </w:r>
      <w:r>
        <w:rPr>
          <w:rFonts w:ascii="Times New Roman" w:cs="Times New Roman" w:eastAsia="Times New Roman" w:hAnsi="Times New Roman"/>
          <w:sz w:val="18"/>
          <w:szCs w:val="18"/>
          <w:color w:val="auto"/>
        </w:rPr>
        <w:t xml:space="preserve"> available to patient assistance programs.</w:t>
      </w:r>
    </w:p>
    <w:p>
      <w:pPr>
        <w:spacing w:after="0" w:line="154" w:lineRule="exact"/>
        <w:rPr>
          <w:rFonts w:ascii="Times New Roman" w:cs="Times New Roman" w:eastAsia="Times New Roman" w:hAnsi="Times New Roman"/>
          <w:sz w:val="18"/>
          <w:szCs w:val="18"/>
          <w:color w:val="auto"/>
        </w:rPr>
      </w:pPr>
    </w:p>
    <w:p>
      <w:pPr>
        <w:ind w:left="1300" w:right="80" w:hanging="648"/>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10.4The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agrees, after its </w:t>
      </w:r>
      <w:r>
        <w:rPr>
          <w:rFonts w:ascii="Times New Roman" w:cs="Times New Roman" w:eastAsia="Times New Roman" w:hAnsi="Times New Roman"/>
          <w:sz w:val="18"/>
          <w:szCs w:val="18"/>
          <w:b w:val="1"/>
          <w:bCs w:val="1"/>
          <w:color w:val="auto"/>
        </w:rPr>
        <w:t>First Commercial Sale</w:t>
      </w:r>
      <w:r>
        <w:rPr>
          <w:rFonts w:ascii="Times New Roman" w:cs="Times New Roman" w:eastAsia="Times New Roman" w:hAnsi="Times New Roman"/>
          <w:sz w:val="18"/>
          <w:szCs w:val="18"/>
          <w:color w:val="auto"/>
        </w:rPr>
        <w:t xml:space="preserve"> and as part of its marketing and product promotion, to develop educational materials (e.g., brochures, website, etc.) directed to patients and physicians detailing the </w:t>
      </w:r>
      <w:r>
        <w:rPr>
          <w:rFonts w:ascii="Times New Roman" w:cs="Times New Roman" w:eastAsia="Times New Roman" w:hAnsi="Times New Roman"/>
          <w:sz w:val="18"/>
          <w:szCs w:val="18"/>
          <w:b w:val="1"/>
          <w:bCs w:val="1"/>
          <w:color w:val="auto"/>
        </w:rPr>
        <w:t>Licensed Products</w:t>
      </w:r>
      <w:r>
        <w:rPr>
          <w:rFonts w:ascii="Times New Roman" w:cs="Times New Roman" w:eastAsia="Times New Roman" w:hAnsi="Times New Roman"/>
          <w:sz w:val="18"/>
          <w:szCs w:val="18"/>
          <w:color w:val="auto"/>
        </w:rPr>
        <w:t xml:space="preserve"> or medical aspects of the prophylactic and therapeutic uses of the </w:t>
      </w:r>
      <w:r>
        <w:rPr>
          <w:rFonts w:ascii="Times New Roman" w:cs="Times New Roman" w:eastAsia="Times New Roman" w:hAnsi="Times New Roman"/>
          <w:sz w:val="18"/>
          <w:szCs w:val="18"/>
          <w:b w:val="1"/>
          <w:bCs w:val="1"/>
          <w:color w:val="auto"/>
        </w:rPr>
        <w:t>Licensed Products</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1300" w:right="200" w:hanging="648"/>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10.5The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agrees to supply, to the Mailing Address for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Notices indicated on the Signature Page, the Office of Technology Transfer, </w:t>
      </w:r>
      <w:r>
        <w:rPr>
          <w:rFonts w:ascii="Times New Roman" w:cs="Times New Roman" w:eastAsia="Times New Roman" w:hAnsi="Times New Roman"/>
          <w:sz w:val="18"/>
          <w:szCs w:val="18"/>
          <w:b w:val="1"/>
          <w:bCs w:val="1"/>
          <w:color w:val="auto"/>
        </w:rPr>
        <w:t>NIH</w:t>
      </w:r>
      <w:r>
        <w:rPr>
          <w:rFonts w:ascii="Times New Roman" w:cs="Times New Roman" w:eastAsia="Times New Roman" w:hAnsi="Times New Roman"/>
          <w:sz w:val="18"/>
          <w:szCs w:val="18"/>
          <w:color w:val="auto"/>
        </w:rPr>
        <w:t xml:space="preserve"> with inert samples of the </w:t>
      </w:r>
      <w:r>
        <w:rPr>
          <w:rFonts w:ascii="Times New Roman" w:cs="Times New Roman" w:eastAsia="Times New Roman" w:hAnsi="Times New Roman"/>
          <w:sz w:val="18"/>
          <w:szCs w:val="18"/>
          <w:b w:val="1"/>
          <w:bCs w:val="1"/>
          <w:color w:val="auto"/>
        </w:rPr>
        <w:t>Licensed Products</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b w:val="1"/>
          <w:bCs w:val="1"/>
          <w:color w:val="auto"/>
        </w:rPr>
        <w:t>Licensed Processes</w:t>
      </w:r>
      <w:r>
        <w:rPr>
          <w:rFonts w:ascii="Times New Roman" w:cs="Times New Roman" w:eastAsia="Times New Roman" w:hAnsi="Times New Roman"/>
          <w:sz w:val="18"/>
          <w:szCs w:val="18"/>
          <w:color w:val="auto"/>
        </w:rPr>
        <w:t xml:space="preserve"> or their packaging for educational and display purposes only.</w:t>
      </w:r>
    </w:p>
    <w:p>
      <w:pPr>
        <w:spacing w:after="0" w:line="17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INFRINGEMENT AND PATENT ENFORCEMENT</w:t>
      </w:r>
    </w:p>
    <w:p>
      <w:pPr>
        <w:spacing w:after="0" w:line="221" w:lineRule="exact"/>
        <w:rPr>
          <w:rFonts w:ascii="Times New Roman" w:cs="Times New Roman" w:eastAsia="Times New Roman" w:hAnsi="Times New Roman"/>
          <w:sz w:val="18"/>
          <w:szCs w:val="18"/>
          <w:color w:val="auto"/>
        </w:rPr>
      </w:pPr>
    </w:p>
    <w:p>
      <w:pPr>
        <w:ind w:left="1300" w:right="40" w:hanging="648"/>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11.1The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agree to notify each other promptly of each infringement or possible infringement of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as well as, any facts which may affect the validity, scope, or enforceability of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of which either party becomes aware.</w:t>
      </w:r>
    </w:p>
    <w:p>
      <w:pPr>
        <w:spacing w:after="0" w:line="17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w:t>
      </w:r>
      <w:r>
        <w:rPr>
          <w:rFonts w:ascii="Times New Roman" w:cs="Times New Roman" w:eastAsia="Times New Roman" w:hAnsi="Times New Roman"/>
          <w:sz w:val="17"/>
          <w:szCs w:val="17"/>
          <w:color w:val="auto"/>
        </w:rPr>
        <w:t xml:space="preserve">Pursuant to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xml:space="preserve"> and the provisions of </w:t>
      </w:r>
      <w:r>
        <w:rPr>
          <w:rFonts w:ascii="Times New Roman" w:cs="Times New Roman" w:eastAsia="Times New Roman" w:hAnsi="Times New Roman"/>
          <w:sz w:val="17"/>
          <w:szCs w:val="17"/>
          <w:u w:val="single" w:color="auto"/>
          <w:color w:val="0000FF"/>
        </w:rPr>
        <w:t>35 U.S.C. Chapter 29</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b w:val="1"/>
          <w:bCs w:val="1"/>
          <w:color w:val="auto"/>
        </w:rPr>
        <w:t>Licensee</w:t>
      </w:r>
      <w:r>
        <w:rPr>
          <w:rFonts w:ascii="Times New Roman" w:cs="Times New Roman" w:eastAsia="Times New Roman" w:hAnsi="Times New Roman"/>
          <w:sz w:val="17"/>
          <w:szCs w:val="17"/>
          <w:color w:val="auto"/>
        </w:rPr>
        <w:t xml:space="preserve"> may:</w:t>
      </w:r>
    </w:p>
    <w:p>
      <w:pPr>
        <w:spacing w:after="0" w:line="225" w:lineRule="exact"/>
        <w:rPr>
          <w:rFonts w:ascii="Times New Roman" w:cs="Times New Roman" w:eastAsia="Times New Roman" w:hAnsi="Times New Roman"/>
          <w:sz w:val="18"/>
          <w:szCs w:val="18"/>
          <w:color w:val="auto"/>
        </w:rPr>
      </w:pPr>
    </w:p>
    <w:p>
      <w:pPr>
        <w:ind w:left="1960" w:right="120" w:hanging="655"/>
        <w:spacing w:after="0" w:line="286" w:lineRule="auto"/>
        <w:tabs>
          <w:tab w:leader="none" w:pos="19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bring suit in its own name, at its own expense, and on its own behalf for infringement of presumably valid claims in the </w:t>
      </w:r>
      <w:r>
        <w:rPr>
          <w:rFonts w:ascii="Times New Roman" w:cs="Times New Roman" w:eastAsia="Times New Roman" w:hAnsi="Times New Roman"/>
          <w:sz w:val="18"/>
          <w:szCs w:val="18"/>
          <w:b w:val="1"/>
          <w:bCs w:val="1"/>
          <w:color w:val="auto"/>
        </w:rPr>
        <w:t>Licensed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Patent Rights</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ind w:right="3980" w:firstLine="8"/>
        <w:spacing w:after="0" w:line="282" w:lineRule="auto"/>
        <w:tabs>
          <w:tab w:leader="none" w:pos="348"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A-035-2017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NIH </w:t>
      </w:r>
      <w:r>
        <w:rPr>
          <w:rFonts w:ascii="Times New Roman" w:cs="Times New Roman" w:eastAsia="Times New Roman" w:hAnsi="Times New Roman"/>
          <w:sz w:val="14"/>
          <w:szCs w:val="14"/>
          <w:color w:val="auto"/>
        </w:rPr>
        <w:t>Patent License Agreement--</w:t>
      </w:r>
      <w:r>
        <w:rPr>
          <w:rFonts w:ascii="Times New Roman" w:cs="Times New Roman" w:eastAsia="Times New Roman" w:hAnsi="Times New Roman"/>
          <w:sz w:val="14"/>
          <w:szCs w:val="14"/>
          <w:i w:val="1"/>
          <w:iCs w:val="1"/>
          <w:color w:val="auto"/>
        </w:rPr>
        <w:t>Exclusive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Model 10-2015 [Final] [Selecta Biosciences] [3 April 2017]</w:t>
      </w:r>
    </w:p>
    <w:p>
      <w:pPr>
        <w:sectPr>
          <w:pgSz w:w="11900" w:h="16838" w:orient="portrait"/>
          <w:cols w:equalWidth="0" w:num="1">
            <w:col w:w="11400"/>
          </w:cols>
          <w:pgMar w:left="240" w:top="360" w:right="259" w:bottom="1440" w:gutter="0" w:footer="0" w:header="0"/>
        </w:sectPr>
      </w:pPr>
    </w:p>
    <w:bookmarkStart w:id="103" w:name="page104"/>
    <w:bookmarkEnd w:id="103"/>
    <w:p>
      <w:pPr>
        <w:ind w:left="1960" w:right="620" w:hanging="655"/>
        <w:spacing w:after="0" w:line="282" w:lineRule="auto"/>
        <w:tabs>
          <w:tab w:leader="none" w:pos="1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enjoin infringement and collect for its use, damages, profits, and awards of whatever nature recoverable for the infringement; or</w:t>
      </w:r>
    </w:p>
    <w:p>
      <w:pPr>
        <w:spacing w:after="0" w:line="15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settle any claim or suit for infringement of the </w:t>
      </w:r>
      <w:r>
        <w:rPr>
          <w:rFonts w:ascii="Times New Roman" w:cs="Times New Roman" w:eastAsia="Times New Roman" w:hAnsi="Times New Roman"/>
          <w:sz w:val="18"/>
          <w:szCs w:val="18"/>
          <w:b w:val="1"/>
          <w:bCs w:val="1"/>
          <w:color w:val="auto"/>
        </w:rPr>
        <w:t>Licensed Patent Rights [***]</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1960" w:hanging="655"/>
        <w:spacing w:after="0" w:line="256" w:lineRule="auto"/>
        <w:tabs>
          <w:tab w:leader="none" w:pos="196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desires to initiate a suit for patent infringement,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shall notify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in writing. If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does not notify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of its intent to pursue legal action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shall be free to initiate suit.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shall have a continuing right to intervene in the suit.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shall take no action to compel the </w:t>
      </w:r>
      <w:r>
        <w:rPr>
          <w:rFonts w:ascii="Times New Roman" w:cs="Times New Roman" w:eastAsia="Times New Roman" w:hAnsi="Times New Roman"/>
          <w:sz w:val="18"/>
          <w:szCs w:val="18"/>
          <w:b w:val="1"/>
          <w:bCs w:val="1"/>
          <w:color w:val="auto"/>
        </w:rPr>
        <w:t>Government</w:t>
      </w:r>
      <w:r>
        <w:rPr>
          <w:rFonts w:ascii="Times New Roman" w:cs="Times New Roman" w:eastAsia="Times New Roman" w:hAnsi="Times New Roman"/>
          <w:sz w:val="18"/>
          <w:szCs w:val="18"/>
          <w:color w:val="auto"/>
        </w:rPr>
        <w:t xml:space="preserve"> either to initiate or to join in any suit for patent infringement.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may request the </w:t>
      </w:r>
      <w:r>
        <w:rPr>
          <w:rFonts w:ascii="Times New Roman" w:cs="Times New Roman" w:eastAsia="Times New Roman" w:hAnsi="Times New Roman"/>
          <w:sz w:val="18"/>
          <w:szCs w:val="18"/>
          <w:b w:val="1"/>
          <w:bCs w:val="1"/>
          <w:color w:val="auto"/>
        </w:rPr>
        <w:t>Government</w:t>
      </w:r>
      <w:r>
        <w:rPr>
          <w:rFonts w:ascii="Times New Roman" w:cs="Times New Roman" w:eastAsia="Times New Roman" w:hAnsi="Times New Roman"/>
          <w:sz w:val="18"/>
          <w:szCs w:val="18"/>
          <w:color w:val="auto"/>
        </w:rPr>
        <w:t xml:space="preserve"> to initiate or join in any suit if necessary to avoid dismissal of the suit. Should the </w:t>
      </w:r>
      <w:r>
        <w:rPr>
          <w:rFonts w:ascii="Times New Roman" w:cs="Times New Roman" w:eastAsia="Times New Roman" w:hAnsi="Times New Roman"/>
          <w:sz w:val="18"/>
          <w:szCs w:val="18"/>
          <w:b w:val="1"/>
          <w:bCs w:val="1"/>
          <w:color w:val="auto"/>
        </w:rPr>
        <w:t>Government</w:t>
      </w:r>
      <w:r>
        <w:rPr>
          <w:rFonts w:ascii="Times New Roman" w:cs="Times New Roman" w:eastAsia="Times New Roman" w:hAnsi="Times New Roman"/>
          <w:sz w:val="18"/>
          <w:szCs w:val="18"/>
          <w:color w:val="auto"/>
        </w:rPr>
        <w:t xml:space="preserve"> be made a party to any suit,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shall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all cases,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agrees to keep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reasonably apprised of the status and progress of any litigation. Before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commences an infringement action,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shall notify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left="1300" w:right="20" w:hanging="647"/>
        <w:spacing w:after="0" w:line="232" w:lineRule="exact"/>
        <w:tabs>
          <w:tab w:leader="none" w:pos="128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8"/>
          <w:szCs w:val="18"/>
          <w:color w:val="auto"/>
        </w:rPr>
        <w:t>In the event that a declaratory judgment action alleging invalidity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infringement of any of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shall be brought against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or raised by way of counterclaim or affirmative defense in an infringement suit brought by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under Paragraph 11.2, pursuant to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and the provisions of </w:t>
      </w:r>
      <w:r>
        <w:rPr>
          <w:rFonts w:ascii="Times New Roman" w:cs="Times New Roman" w:eastAsia="Times New Roman" w:hAnsi="Times New Roman"/>
          <w:sz w:val="18"/>
          <w:szCs w:val="18"/>
          <w:u w:val="single" w:color="auto"/>
          <w:color w:val="0000FF"/>
        </w:rPr>
        <w:t>35 U.S.C. Chapter 29</w:t>
      </w:r>
      <w:r>
        <w:rPr>
          <w:rFonts w:ascii="Times New Roman" w:cs="Times New Roman" w:eastAsia="Times New Roman" w:hAnsi="Times New Roman"/>
          <w:sz w:val="18"/>
          <w:szCs w:val="18"/>
          <w:color w:val="auto"/>
        </w:rPr>
        <w:t xml:space="preserve"> or other statutes,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may:</w:t>
      </w:r>
    </w:p>
    <w:p>
      <w:pPr>
        <w:spacing w:after="0" w:line="196" w:lineRule="exact"/>
        <w:rPr>
          <w:sz w:val="20"/>
          <w:szCs w:val="20"/>
          <w:color w:val="auto"/>
        </w:rPr>
      </w:pPr>
    </w:p>
    <w:p>
      <w:pPr>
        <w:ind w:left="1960" w:right="360" w:hanging="655"/>
        <w:spacing w:after="0" w:line="286" w:lineRule="auto"/>
        <w:tabs>
          <w:tab w:leader="none" w:pos="1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defend the suit in its own name, at its own expense, and on its own behalf for presumably valid claims in the </w:t>
      </w:r>
      <w:r>
        <w:rPr>
          <w:rFonts w:ascii="Times New Roman" w:cs="Times New Roman" w:eastAsia="Times New Roman" w:hAnsi="Times New Roman"/>
          <w:sz w:val="18"/>
          <w:szCs w:val="18"/>
          <w:b w:val="1"/>
          <w:bCs w:val="1"/>
          <w:color w:val="auto"/>
        </w:rPr>
        <w:t>Licensed Patent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color w:val="auto"/>
        </w:rPr>
      </w:pPr>
    </w:p>
    <w:p>
      <w:pPr>
        <w:ind w:left="1960" w:hanging="655"/>
        <w:spacing w:after="0" w:line="282" w:lineRule="auto"/>
        <w:tabs>
          <w:tab w:leader="none" w:pos="1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suit, ultimately to enjoin infringement and to collect for its use, damages, profits, and awards of whatever nature recoverable for the infringement; and</w:t>
      </w:r>
    </w:p>
    <w:p>
      <w:pPr>
        <w:spacing w:after="0" w:line="157" w:lineRule="exact"/>
        <w:rPr>
          <w:rFonts w:ascii="Times New Roman" w:cs="Times New Roman" w:eastAsia="Times New Roman" w:hAnsi="Times New Roman"/>
          <w:sz w:val="18"/>
          <w:szCs w:val="18"/>
          <w:color w:val="auto"/>
        </w:rPr>
      </w:pPr>
    </w:p>
    <w:p>
      <w:pPr>
        <w:ind w:left="1960" w:right="140" w:hanging="655"/>
        <w:spacing w:after="0" w:line="286" w:lineRule="auto"/>
        <w:tabs>
          <w:tab w:leader="none" w:pos="1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settle any claim or suit for declaratory judgment involving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and shall have a continuing right to intervene in the suit; and</w:t>
      </w:r>
    </w:p>
    <w:p>
      <w:pPr>
        <w:spacing w:after="0" w:line="154" w:lineRule="exact"/>
        <w:rPr>
          <w:rFonts w:ascii="Times New Roman" w:cs="Times New Roman" w:eastAsia="Times New Roman" w:hAnsi="Times New Roman"/>
          <w:sz w:val="18"/>
          <w:szCs w:val="18"/>
          <w:color w:val="auto"/>
        </w:rPr>
      </w:pPr>
    </w:p>
    <w:p>
      <w:pPr>
        <w:ind w:left="1960" w:hanging="655"/>
        <w:spacing w:after="0" w:line="256" w:lineRule="auto"/>
        <w:tabs>
          <w:tab w:leader="none" w:pos="196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does not notify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of its intent to respond to the legal action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shall be free to do so.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shall take no action to compel the </w:t>
      </w:r>
      <w:r>
        <w:rPr>
          <w:rFonts w:ascii="Times New Roman" w:cs="Times New Roman" w:eastAsia="Times New Roman" w:hAnsi="Times New Roman"/>
          <w:sz w:val="18"/>
          <w:szCs w:val="18"/>
          <w:b w:val="1"/>
          <w:bCs w:val="1"/>
          <w:color w:val="auto"/>
        </w:rPr>
        <w:t>Government</w:t>
      </w:r>
      <w:r>
        <w:rPr>
          <w:rFonts w:ascii="Times New Roman" w:cs="Times New Roman" w:eastAsia="Times New Roman" w:hAnsi="Times New Roman"/>
          <w:sz w:val="18"/>
          <w:szCs w:val="18"/>
          <w:color w:val="auto"/>
        </w:rPr>
        <w:t xml:space="preserve"> either to initiate or to join in any declaratory judgment action. The </w:t>
      </w:r>
      <w:r>
        <w:rPr>
          <w:rFonts w:ascii="Times New Roman" w:cs="Times New Roman" w:eastAsia="Times New Roman" w:hAnsi="Times New Roman"/>
          <w:sz w:val="18"/>
          <w:szCs w:val="18"/>
          <w:b w:val="1"/>
          <w:bCs w:val="1"/>
          <w:color w:val="auto"/>
        </w:rPr>
        <w:t xml:space="preserve">Licensee </w:t>
      </w:r>
      <w:r>
        <w:rPr>
          <w:rFonts w:ascii="Times New Roman" w:cs="Times New Roman" w:eastAsia="Times New Roman" w:hAnsi="Times New Roman"/>
          <w:sz w:val="18"/>
          <w:szCs w:val="18"/>
          <w:color w:val="auto"/>
        </w:rPr>
        <w:t>may request the</w:t>
      </w:r>
      <w:r>
        <w:rPr>
          <w:rFonts w:ascii="Times New Roman" w:cs="Times New Roman" w:eastAsia="Times New Roman" w:hAnsi="Times New Roman"/>
          <w:sz w:val="18"/>
          <w:szCs w:val="18"/>
          <w:b w:val="1"/>
          <w:bCs w:val="1"/>
          <w:color w:val="auto"/>
        </w:rPr>
        <w:t xml:space="preserve"> Government </w:t>
      </w:r>
      <w:r>
        <w:rPr>
          <w:rFonts w:ascii="Times New Roman" w:cs="Times New Roman" w:eastAsia="Times New Roman" w:hAnsi="Times New Roman"/>
          <w:sz w:val="18"/>
          <w:szCs w:val="18"/>
          <w:color w:val="auto"/>
        </w:rPr>
        <w:t>to initiate or to join any suit if necessary to avoid dismissal of the suit. Should the</w:t>
      </w:r>
      <w:r>
        <w:rPr>
          <w:rFonts w:ascii="Times New Roman" w:cs="Times New Roman" w:eastAsia="Times New Roman" w:hAnsi="Times New Roman"/>
          <w:sz w:val="18"/>
          <w:szCs w:val="18"/>
          <w:b w:val="1"/>
          <w:bCs w:val="1"/>
          <w:color w:val="auto"/>
        </w:rPr>
        <w:t xml:space="preserve"> Government </w:t>
      </w:r>
      <w:r>
        <w:rPr>
          <w:rFonts w:ascii="Times New Roman" w:cs="Times New Roman" w:eastAsia="Times New Roman" w:hAnsi="Times New Roman"/>
          <w:sz w:val="18"/>
          <w:szCs w:val="18"/>
          <w:color w:val="auto"/>
        </w:rPr>
        <w:t>be made a party to any suit by motion or any other action of the</w:t>
      </w:r>
      <w:r>
        <w:rPr>
          <w:rFonts w:ascii="Times New Roman" w:cs="Times New Roman" w:eastAsia="Times New Roman" w:hAnsi="Times New Roman"/>
          <w:sz w:val="18"/>
          <w:szCs w:val="18"/>
          <w:b w:val="1"/>
          <w:bCs w:val="1"/>
          <w:color w:val="auto"/>
        </w:rPr>
        <w:t xml:space="preserve"> Licensee</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Licensee </w:t>
      </w:r>
      <w:r>
        <w:rPr>
          <w:rFonts w:ascii="Times New Roman" w:cs="Times New Roman" w:eastAsia="Times New Roman" w:hAnsi="Times New Roman"/>
          <w:sz w:val="18"/>
          <w:szCs w:val="18"/>
          <w:color w:val="auto"/>
        </w:rPr>
        <w:t>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If the</w:t>
      </w:r>
      <w:r>
        <w:rPr>
          <w:rFonts w:ascii="Times New Roman" w:cs="Times New Roman" w:eastAsia="Times New Roman" w:hAnsi="Times New Roman"/>
          <w:sz w:val="18"/>
          <w:szCs w:val="18"/>
          <w:b w:val="1"/>
          <w:bCs w:val="1"/>
          <w:color w:val="auto"/>
        </w:rPr>
        <w:t xml:space="preserve"> Licensee </w:t>
      </w:r>
      <w:r>
        <w:rPr>
          <w:rFonts w:ascii="Times New Roman" w:cs="Times New Roman" w:eastAsia="Times New Roman" w:hAnsi="Times New Roman"/>
          <w:sz w:val="18"/>
          <w:szCs w:val="18"/>
          <w:color w:val="auto"/>
        </w:rPr>
        <w:t xml:space="preserve">elects not to defend against the declaratory judgment action,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at its option, may do so at its own expense. In all cases, the </w:t>
      </w:r>
      <w:r>
        <w:rPr>
          <w:rFonts w:ascii="Times New Roman" w:cs="Times New Roman" w:eastAsia="Times New Roman" w:hAnsi="Times New Roman"/>
          <w:sz w:val="18"/>
          <w:szCs w:val="18"/>
          <w:b w:val="1"/>
          <w:bCs w:val="1"/>
          <w:color w:val="auto"/>
        </w:rPr>
        <w:t xml:space="preserve">Licensee </w:t>
      </w:r>
      <w:r>
        <w:rPr>
          <w:rFonts w:ascii="Times New Roman" w:cs="Times New Roman" w:eastAsia="Times New Roman" w:hAnsi="Times New Roman"/>
          <w:sz w:val="18"/>
          <w:szCs w:val="18"/>
          <w:color w:val="auto"/>
        </w:rPr>
        <w:t>agrees to keep the</w:t>
      </w:r>
      <w:r>
        <w:rPr>
          <w:rFonts w:ascii="Times New Roman" w:cs="Times New Roman" w:eastAsia="Times New Roman" w:hAnsi="Times New Roman"/>
          <w:sz w:val="18"/>
          <w:szCs w:val="18"/>
          <w:b w:val="1"/>
          <w:bCs w:val="1"/>
          <w:color w:val="auto"/>
        </w:rPr>
        <w:t xml:space="preserve"> IC </w:t>
      </w:r>
      <w:r>
        <w:rPr>
          <w:rFonts w:ascii="Times New Roman" w:cs="Times New Roman" w:eastAsia="Times New Roman" w:hAnsi="Times New Roman"/>
          <w:sz w:val="18"/>
          <w:szCs w:val="18"/>
          <w:color w:val="auto"/>
        </w:rPr>
        <w:t>reasonably apprised of the status and progress of any litigation. Before the</w:t>
      </w:r>
      <w:r>
        <w:rPr>
          <w:rFonts w:ascii="Times New Roman" w:cs="Times New Roman" w:eastAsia="Times New Roman" w:hAnsi="Times New Roman"/>
          <w:sz w:val="18"/>
          <w:szCs w:val="18"/>
          <w:b w:val="1"/>
          <w:bCs w:val="1"/>
          <w:color w:val="auto"/>
        </w:rPr>
        <w:t xml:space="preserve"> Licensee </w:t>
      </w:r>
      <w:r>
        <w:rPr>
          <w:rFonts w:ascii="Times New Roman" w:cs="Times New Roman" w:eastAsia="Times New Roman" w:hAnsi="Times New Roman"/>
          <w:sz w:val="18"/>
          <w:szCs w:val="18"/>
          <w:color w:val="auto"/>
        </w:rPr>
        <w:t>commences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infringement action,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shall notify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300" w:right="180" w:hanging="647"/>
        <w:spacing w:after="0" w:line="286" w:lineRule="auto"/>
        <w:tabs>
          <w:tab w:leader="none" w:pos="128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8"/>
          <w:szCs w:val="18"/>
          <w:color w:val="auto"/>
        </w:rPr>
        <w:t xml:space="preserve">In any action under Paragraphs 11.2 or 11.3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The value of any recovery made by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through court judgment or settlement shall,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1300" w:right="340" w:hanging="647"/>
        <w:spacing w:after="0" w:line="286" w:lineRule="auto"/>
        <w:tabs>
          <w:tab w:leader="none" w:pos="128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shall cooperate fully with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in connection with any action under Paragraphs 11.2 or 11.3.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agrees promptly to provide access to all necessary documents and to render reasonable assistance in response to a request by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w:t>
      </w:r>
    </w:p>
    <w:p>
      <w:pPr>
        <w:spacing w:after="0" w:line="398" w:lineRule="exact"/>
        <w:rPr>
          <w:sz w:val="20"/>
          <w:szCs w:val="20"/>
          <w:color w:val="auto"/>
        </w:rPr>
      </w:pPr>
    </w:p>
    <w:p>
      <w:pPr>
        <w:ind w:right="3980" w:firstLine="8"/>
        <w:spacing w:after="0" w:line="282" w:lineRule="auto"/>
        <w:tabs>
          <w:tab w:leader="none" w:pos="348"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A-035-2017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NIH </w:t>
      </w:r>
      <w:r>
        <w:rPr>
          <w:rFonts w:ascii="Times New Roman" w:cs="Times New Roman" w:eastAsia="Times New Roman" w:hAnsi="Times New Roman"/>
          <w:sz w:val="14"/>
          <w:szCs w:val="14"/>
          <w:color w:val="auto"/>
        </w:rPr>
        <w:t>Patent License Agreement--</w:t>
      </w:r>
      <w:r>
        <w:rPr>
          <w:rFonts w:ascii="Times New Roman" w:cs="Times New Roman" w:eastAsia="Times New Roman" w:hAnsi="Times New Roman"/>
          <w:sz w:val="14"/>
          <w:szCs w:val="14"/>
          <w:i w:val="1"/>
          <w:iCs w:val="1"/>
          <w:color w:val="auto"/>
        </w:rPr>
        <w:t>Exclusive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Model 10-2015 [Final] [Selecta Biosciences] [3 April 2017]</w:t>
      </w:r>
    </w:p>
    <w:p>
      <w:pPr>
        <w:sectPr>
          <w:pgSz w:w="11900" w:h="16838" w:orient="portrait"/>
          <w:cols w:equalWidth="0" w:num="1">
            <w:col w:w="11400"/>
          </w:cols>
          <w:pgMar w:left="240" w:top="364" w:right="259" w:bottom="1440" w:gutter="0" w:footer="0" w:header="0"/>
        </w:sectPr>
      </w:pPr>
    </w:p>
    <w:bookmarkStart w:id="104" w:name="page105"/>
    <w:bookmarkEnd w:id="104"/>
    <w:p>
      <w:pPr>
        <w:ind w:left="660" w:hanging="652"/>
        <w:spacing w:after="0"/>
        <w:tabs>
          <w:tab w:leader="none" w:pos="66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NEGATION OF WARRANTIES AND INDEMNIFICATION</w:t>
      </w:r>
    </w:p>
    <w:p>
      <w:pPr>
        <w:spacing w:after="0" w:line="22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w:t>
      </w: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IC</w:t>
      </w:r>
      <w:r>
        <w:rPr>
          <w:rFonts w:ascii="Times New Roman" w:cs="Times New Roman" w:eastAsia="Times New Roman" w:hAnsi="Times New Roman"/>
          <w:sz w:val="17"/>
          <w:szCs w:val="17"/>
          <w:color w:val="auto"/>
        </w:rPr>
        <w:t xml:space="preserve"> offers no warranties other than those specified in Article 1.</w:t>
      </w:r>
    </w:p>
    <w:p>
      <w:pPr>
        <w:spacing w:after="0" w:line="225" w:lineRule="exact"/>
        <w:rPr>
          <w:rFonts w:ascii="Times New Roman" w:cs="Times New Roman" w:eastAsia="Times New Roman" w:hAnsi="Times New Roman"/>
          <w:sz w:val="18"/>
          <w:szCs w:val="18"/>
          <w:color w:val="auto"/>
        </w:rPr>
      </w:pPr>
    </w:p>
    <w:p>
      <w:pPr>
        <w:ind w:left="1300" w:right="200" w:hanging="648"/>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12.2The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does not warrant the validity of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and makes no representations whatsoever with regard to the scope of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or that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may be exploited without infringing other patents or other intellectual property rights of third parties.</w:t>
      </w:r>
    </w:p>
    <w:p>
      <w:pPr>
        <w:spacing w:after="0" w:line="170" w:lineRule="exact"/>
        <w:rPr>
          <w:rFonts w:ascii="Times New Roman" w:cs="Times New Roman" w:eastAsia="Times New Roman" w:hAnsi="Times New Roman"/>
          <w:sz w:val="18"/>
          <w:szCs w:val="18"/>
          <w:color w:val="auto"/>
        </w:rPr>
      </w:pPr>
    </w:p>
    <w:p>
      <w:pPr>
        <w:ind w:left="1300" w:right="460" w:hanging="648"/>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12.3THE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MAKES NO WARRANTIES, EXPRESS OR IMPLIED, OF MERCHANTABILITY OR FITNESS FOR A PARTICULAR PURPOSE OF ANY SUBJECT MATTER DEFINED BY THE CLAIMS OF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OR TANGIBLE MATERIALS RELATED THERETO.</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12.4The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does not represent that it shall commence legal actions against third parties infringing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ind w:left="1300" w:right="480" w:hanging="648"/>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12.5The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shall indemnify and hold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its employees, students, fellows, agents, and consultants harmless from and against all liability, demands, damages, expenses, and losses, including but not limited to death, personal injury, illness, or property damage in connection with or arising out of:</w:t>
      </w:r>
    </w:p>
    <w:p>
      <w:pPr>
        <w:spacing w:after="0" w:line="170"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use by or on behalf of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its sublicensees, directors, employees, or third parties of any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or</w:t>
      </w:r>
    </w:p>
    <w:p>
      <w:pPr>
        <w:spacing w:after="0" w:line="225" w:lineRule="exact"/>
        <w:rPr>
          <w:rFonts w:ascii="Times New Roman" w:cs="Times New Roman" w:eastAsia="Times New Roman" w:hAnsi="Times New Roman"/>
          <w:sz w:val="18"/>
          <w:szCs w:val="18"/>
          <w:color w:val="auto"/>
        </w:rPr>
      </w:pPr>
    </w:p>
    <w:p>
      <w:pPr>
        <w:ind w:left="1960" w:right="60" w:hanging="655"/>
        <w:spacing w:after="0" w:line="286" w:lineRule="auto"/>
        <w:tabs>
          <w:tab w:leader="none" w:pos="1960"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design, manufacture, distribution, or use of any </w:t>
      </w:r>
      <w:r>
        <w:rPr>
          <w:rFonts w:ascii="Times New Roman" w:cs="Times New Roman" w:eastAsia="Times New Roman" w:hAnsi="Times New Roman"/>
          <w:sz w:val="18"/>
          <w:szCs w:val="18"/>
          <w:b w:val="1"/>
          <w:bCs w:val="1"/>
          <w:color w:val="auto"/>
        </w:rPr>
        <w:t>Licensed Products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Licensed Processes</w:t>
      </w:r>
      <w:r>
        <w:rPr>
          <w:rFonts w:ascii="Times New Roman" w:cs="Times New Roman" w:eastAsia="Times New Roman" w:hAnsi="Times New Roman"/>
          <w:sz w:val="18"/>
          <w:szCs w:val="18"/>
          <w:color w:val="auto"/>
        </w:rPr>
        <w:t xml:space="preserve"> or materials by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or other products or processes developed in connection with or arising out of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12.6</w:t>
      </w:r>
      <w:r>
        <w:rPr>
          <w:sz w:val="20"/>
          <w:szCs w:val="20"/>
          <w:color w:val="auto"/>
        </w:rPr>
        <w:tab/>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agrees to maintain a liability insurance program consistent with sound business practice.</w:t>
      </w:r>
    </w:p>
    <w:p>
      <w:pPr>
        <w:spacing w:after="0" w:line="229" w:lineRule="exact"/>
        <w:rPr>
          <w:sz w:val="20"/>
          <w:szCs w:val="20"/>
          <w:color w:val="auto"/>
        </w:rPr>
      </w:pPr>
    </w:p>
    <w:p>
      <w:pPr>
        <w:ind w:left="660" w:hanging="652"/>
        <w:spacing w:after="0"/>
        <w:tabs>
          <w:tab w:leader="none" w:pos="66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TERMINATION, AND MODIFICATION OF RIGHTS</w:t>
      </w:r>
    </w:p>
    <w:p>
      <w:pPr>
        <w:spacing w:after="0" w:line="221" w:lineRule="exact"/>
        <w:rPr>
          <w:rFonts w:ascii="Times New Roman" w:cs="Times New Roman" w:eastAsia="Times New Roman" w:hAnsi="Times New Roman"/>
          <w:sz w:val="18"/>
          <w:szCs w:val="18"/>
          <w:color w:val="auto"/>
        </w:rPr>
      </w:pPr>
    </w:p>
    <w:p>
      <w:pPr>
        <w:ind w:left="1300" w:right="240" w:hanging="648"/>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13.1This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effective when signed by all parties, unless the provisions of Paragraph 14.16 are not fulfilled, and shall extend to the expiration of the last to expire of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unless sooner terminated as provided in this Article 13.</w:t>
      </w:r>
    </w:p>
    <w:p>
      <w:pPr>
        <w:spacing w:after="0" w:line="154" w:lineRule="exact"/>
        <w:rPr>
          <w:rFonts w:ascii="Times New Roman" w:cs="Times New Roman" w:eastAsia="Times New Roman" w:hAnsi="Times New Roman"/>
          <w:sz w:val="18"/>
          <w:szCs w:val="18"/>
          <w:color w:val="auto"/>
        </w:rPr>
      </w:pPr>
    </w:p>
    <w:p>
      <w:pPr>
        <w:ind w:left="1300" w:hanging="648"/>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13.2In the event that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is in default in the performance of any material obligations under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including but not limited to the obligations listed in Paragraph 13.5, and if the default has not been remedied within ninety (90) days after the date of notice in writing of the default,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may terminate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by written notice and pursue outstanding royalties owed through procedures provided by the </w:t>
      </w:r>
      <w:r>
        <w:rPr>
          <w:rFonts w:ascii="Times New Roman" w:cs="Times New Roman" w:eastAsia="Times New Roman" w:hAnsi="Times New Roman"/>
          <w:sz w:val="18"/>
          <w:szCs w:val="18"/>
          <w:u w:val="single" w:color="auto"/>
          <w:color w:val="0000FF"/>
        </w:rPr>
        <w:t>Federal Debt Collection Act</w:t>
      </w:r>
      <w:r>
        <w:rPr>
          <w:rFonts w:ascii="Times New Roman" w:cs="Times New Roman" w:eastAsia="Times New Roman" w:hAnsi="Times New Roman"/>
          <w:sz w:val="18"/>
          <w:szCs w:val="18"/>
          <w:color w:val="auto"/>
        </w:rPr>
        <w:t>.</w:t>
      </w:r>
    </w:p>
    <w:p>
      <w:pPr>
        <w:spacing w:after="0" w:line="176" w:lineRule="exact"/>
        <w:rPr>
          <w:rFonts w:ascii="Times New Roman" w:cs="Times New Roman" w:eastAsia="Times New Roman" w:hAnsi="Times New Roman"/>
          <w:sz w:val="18"/>
          <w:szCs w:val="18"/>
          <w:color w:val="auto"/>
        </w:rPr>
      </w:pPr>
    </w:p>
    <w:p>
      <w:pPr>
        <w:ind w:left="1300" w:right="480" w:hanging="648"/>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13.3In the event that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becomes insolvent, files a petition in bankruptcy, has such a petition filed against it, determines to file a petition in bankruptcy, or receives notice of a third party's intention to file an involuntary petition in bankruptcy,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shall immediately notify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in writing.</w:t>
      </w:r>
    </w:p>
    <w:p>
      <w:pPr>
        <w:spacing w:after="0" w:line="170" w:lineRule="exact"/>
        <w:rPr>
          <w:rFonts w:ascii="Times New Roman" w:cs="Times New Roman" w:eastAsia="Times New Roman" w:hAnsi="Times New Roman"/>
          <w:sz w:val="18"/>
          <w:szCs w:val="18"/>
          <w:color w:val="auto"/>
        </w:rPr>
      </w:pPr>
    </w:p>
    <w:p>
      <w:pPr>
        <w:ind w:left="1300" w:right="20" w:hanging="648"/>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13.4The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shall have a unilateral right to terminate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or any licenses in any country or territory by giving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sixty (60) days written notice to that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A-035-2017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NIH </w:t>
      </w:r>
      <w:r>
        <w:rPr>
          <w:rFonts w:ascii="Times New Roman" w:cs="Times New Roman" w:eastAsia="Times New Roman" w:hAnsi="Times New Roman"/>
          <w:sz w:val="14"/>
          <w:szCs w:val="14"/>
          <w:color w:val="auto"/>
        </w:rPr>
        <w:t>Patent License Agreement--</w:t>
      </w:r>
      <w:r>
        <w:rPr>
          <w:rFonts w:ascii="Times New Roman" w:cs="Times New Roman" w:eastAsia="Times New Roman" w:hAnsi="Times New Roman"/>
          <w:sz w:val="14"/>
          <w:szCs w:val="14"/>
          <w:i w:val="1"/>
          <w:iCs w:val="1"/>
          <w:color w:val="auto"/>
        </w:rPr>
        <w:t>Exclusive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Model 10-2015 [Final] [Selecta Biosciences] [3 April 2017]</w:t>
      </w:r>
    </w:p>
    <w:p>
      <w:pPr>
        <w:sectPr>
          <w:pgSz w:w="11900" w:h="16838" w:orient="portrait"/>
          <w:cols w:equalWidth="0" w:num="1">
            <w:col w:w="11420"/>
          </w:cols>
          <w:pgMar w:left="240" w:top="364" w:right="239" w:bottom="1440" w:gutter="0" w:footer="0" w:header="0"/>
        </w:sectPr>
      </w:pPr>
    </w:p>
    <w:bookmarkStart w:id="105" w:name="page106"/>
    <w:bookmarkEnd w:id="105"/>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13.5</w:t>
      </w:r>
      <w:r>
        <w:rPr>
          <w:sz w:val="20"/>
          <w:szCs w:val="20"/>
          <w:color w:val="auto"/>
        </w:rPr>
        <w:tab/>
      </w:r>
      <w:r>
        <w:rPr>
          <w:rFonts w:ascii="Times New Roman" w:cs="Times New Roman" w:eastAsia="Times New Roman" w:hAnsi="Times New Roman"/>
          <w:sz w:val="17"/>
          <w:szCs w:val="17"/>
          <w:color w:val="auto"/>
        </w:rPr>
        <w:t xml:space="preserve">The </w:t>
      </w:r>
      <w:r>
        <w:rPr>
          <w:rFonts w:ascii="Times New Roman" w:cs="Times New Roman" w:eastAsia="Times New Roman" w:hAnsi="Times New Roman"/>
          <w:sz w:val="17"/>
          <w:szCs w:val="17"/>
          <w:b w:val="1"/>
          <w:bCs w:val="1"/>
          <w:color w:val="auto"/>
        </w:rPr>
        <w:t>IC</w:t>
      </w:r>
      <w:r>
        <w:rPr>
          <w:rFonts w:ascii="Times New Roman" w:cs="Times New Roman" w:eastAsia="Times New Roman" w:hAnsi="Times New Roman"/>
          <w:sz w:val="17"/>
          <w:szCs w:val="17"/>
          <w:color w:val="auto"/>
        </w:rPr>
        <w:t xml:space="preserve"> shall specifically have the right to terminate or modify, at its option,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xml:space="preserve">, if the </w:t>
      </w:r>
      <w:r>
        <w:rPr>
          <w:rFonts w:ascii="Times New Roman" w:cs="Times New Roman" w:eastAsia="Times New Roman" w:hAnsi="Times New Roman"/>
          <w:sz w:val="17"/>
          <w:szCs w:val="17"/>
          <w:b w:val="1"/>
          <w:bCs w:val="1"/>
          <w:color w:val="auto"/>
        </w:rPr>
        <w:t>IC</w:t>
      </w:r>
      <w:r>
        <w:rPr>
          <w:rFonts w:ascii="Times New Roman" w:cs="Times New Roman" w:eastAsia="Times New Roman" w:hAnsi="Times New Roman"/>
          <w:sz w:val="17"/>
          <w:szCs w:val="17"/>
          <w:color w:val="auto"/>
        </w:rPr>
        <w:t xml:space="preserve"> determines that the </w:t>
      </w:r>
      <w:r>
        <w:rPr>
          <w:rFonts w:ascii="Times New Roman" w:cs="Times New Roman" w:eastAsia="Times New Roman" w:hAnsi="Times New Roman"/>
          <w:sz w:val="17"/>
          <w:szCs w:val="17"/>
          <w:b w:val="1"/>
          <w:bCs w:val="1"/>
          <w:color w:val="auto"/>
        </w:rPr>
        <w:t>Licensee</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960" w:hanging="655"/>
        <w:spacing w:after="0" w:line="268" w:lineRule="auto"/>
        <w:tabs>
          <w:tab w:leader="none" w:pos="1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not executing the </w:t>
      </w:r>
      <w:r>
        <w:rPr>
          <w:rFonts w:ascii="Times New Roman" w:cs="Times New Roman" w:eastAsia="Times New Roman" w:hAnsi="Times New Roman"/>
          <w:sz w:val="18"/>
          <w:szCs w:val="18"/>
          <w:b w:val="1"/>
          <w:bCs w:val="1"/>
          <w:color w:val="auto"/>
        </w:rPr>
        <w:t>Commercial Development Plan</w:t>
      </w:r>
      <w:r>
        <w:rPr>
          <w:rFonts w:ascii="Times New Roman" w:cs="Times New Roman" w:eastAsia="Times New Roman" w:hAnsi="Times New Roman"/>
          <w:sz w:val="18"/>
          <w:szCs w:val="18"/>
          <w:color w:val="auto"/>
        </w:rPr>
        <w:t xml:space="preserve"> submitted with its request for a license and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cannot otherwise demonstrate to the </w:t>
      </w:r>
      <w:r>
        <w:rPr>
          <w:rFonts w:ascii="Times New Roman" w:cs="Times New Roman" w:eastAsia="Times New Roman" w:hAnsi="Times New Roman"/>
          <w:sz w:val="18"/>
          <w:szCs w:val="18"/>
          <w:b w:val="1"/>
          <w:bCs w:val="1"/>
          <w:color w:val="auto"/>
        </w:rPr>
        <w:t>IC’s</w:t>
      </w:r>
      <w:r>
        <w:rPr>
          <w:rFonts w:ascii="Times New Roman" w:cs="Times New Roman" w:eastAsia="Times New Roman" w:hAnsi="Times New Roman"/>
          <w:sz w:val="18"/>
          <w:szCs w:val="18"/>
          <w:color w:val="auto"/>
        </w:rPr>
        <w:t xml:space="preserve"> satisfaction that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has taken, or can be expected to take within a reasonable time, effective steps to achieve the </w:t>
      </w:r>
      <w:r>
        <w:rPr>
          <w:rFonts w:ascii="Times New Roman" w:cs="Times New Roman" w:eastAsia="Times New Roman" w:hAnsi="Times New Roman"/>
          <w:sz w:val="18"/>
          <w:szCs w:val="18"/>
          <w:b w:val="1"/>
          <w:bCs w:val="1"/>
          <w:color w:val="auto"/>
        </w:rPr>
        <w:t>Practical Application</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b w:val="1"/>
          <w:bCs w:val="1"/>
          <w:color w:val="auto"/>
        </w:rPr>
        <w:t>Licensed Products</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b w:val="1"/>
          <w:bCs w:val="1"/>
          <w:color w:val="auto"/>
        </w:rPr>
        <w:t>Licensed Processes</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not achieved the </w:t>
      </w:r>
      <w:r>
        <w:rPr>
          <w:rFonts w:ascii="Times New Roman" w:cs="Times New Roman" w:eastAsia="Times New Roman" w:hAnsi="Times New Roman"/>
          <w:sz w:val="18"/>
          <w:szCs w:val="18"/>
          <w:b w:val="1"/>
          <w:bCs w:val="1"/>
          <w:color w:val="auto"/>
        </w:rPr>
        <w:t>Benchmarks</w:t>
      </w:r>
      <w:r>
        <w:rPr>
          <w:rFonts w:ascii="Times New Roman" w:cs="Times New Roman" w:eastAsia="Times New Roman" w:hAnsi="Times New Roman"/>
          <w:sz w:val="18"/>
          <w:szCs w:val="18"/>
          <w:color w:val="auto"/>
        </w:rPr>
        <w:t xml:space="preserve"> as may be modified under Paragraph 9.2;</w:t>
      </w:r>
    </w:p>
    <w:p>
      <w:pPr>
        <w:spacing w:after="0" w:line="229" w:lineRule="exact"/>
        <w:rPr>
          <w:rFonts w:ascii="Times New Roman" w:cs="Times New Roman" w:eastAsia="Times New Roman" w:hAnsi="Times New Roman"/>
          <w:sz w:val="18"/>
          <w:szCs w:val="18"/>
          <w:color w:val="auto"/>
        </w:rPr>
      </w:pPr>
    </w:p>
    <w:p>
      <w:pPr>
        <w:ind w:left="1960" w:right="240" w:hanging="655"/>
        <w:spacing w:after="0" w:line="282" w:lineRule="auto"/>
        <w:tabs>
          <w:tab w:leader="none" w:pos="1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willfully made a false statement of, or willfully omitted a material fact in the license application or in any report required by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committed a material breach of a covenant or agreement contained in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960" w:right="760" w:hanging="655"/>
        <w:spacing w:after="0" w:line="286" w:lineRule="auto"/>
        <w:tabs>
          <w:tab w:leader="none" w:pos="1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is not keeping the </w:t>
      </w:r>
      <w:r>
        <w:rPr>
          <w:rFonts w:ascii="Times New Roman" w:cs="Times New Roman" w:eastAsia="Times New Roman" w:hAnsi="Times New Roman"/>
          <w:sz w:val="18"/>
          <w:szCs w:val="18"/>
          <w:b w:val="1"/>
          <w:bCs w:val="1"/>
          <w:color w:val="auto"/>
        </w:rPr>
        <w:t>Licensed Products</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b w:val="1"/>
          <w:bCs w:val="1"/>
          <w:color w:val="auto"/>
        </w:rPr>
        <w:t>Licensed Processes</w:t>
      </w:r>
      <w:r>
        <w:rPr>
          <w:rFonts w:ascii="Times New Roman" w:cs="Times New Roman" w:eastAsia="Times New Roman" w:hAnsi="Times New Roman"/>
          <w:sz w:val="18"/>
          <w:szCs w:val="18"/>
          <w:color w:val="auto"/>
        </w:rPr>
        <w:t xml:space="preserve"> reasonably available to the public after commercial use commences;</w:t>
      </w:r>
    </w:p>
    <w:p>
      <w:pPr>
        <w:spacing w:after="0" w:line="158"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cannot reasonably satisfy unmet health and safety needs; or</w:t>
      </w:r>
    </w:p>
    <w:p>
      <w:pPr>
        <w:spacing w:after="0" w:line="27"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cannot reasonably justify a failure to comply with the domestic production requirement of Paragraph 5.2 unless waived.</w:t>
      </w:r>
    </w:p>
    <w:p>
      <w:pPr>
        <w:spacing w:after="0" w:line="203" w:lineRule="exact"/>
        <w:rPr>
          <w:sz w:val="20"/>
          <w:szCs w:val="20"/>
          <w:color w:val="auto"/>
        </w:rPr>
      </w:pPr>
    </w:p>
    <w:p>
      <w:pPr>
        <w:ind w:left="1300" w:right="40" w:hanging="647"/>
        <w:spacing w:after="0" w:line="257" w:lineRule="auto"/>
        <w:tabs>
          <w:tab w:leader="none" w:pos="1280" w:val="left"/>
        </w:tabs>
        <w:rPr>
          <w:sz w:val="20"/>
          <w:szCs w:val="20"/>
          <w:color w:val="auto"/>
        </w:rPr>
      </w:pPr>
      <w:r>
        <w:rPr>
          <w:rFonts w:ascii="Times New Roman" w:cs="Times New Roman" w:eastAsia="Times New Roman" w:hAnsi="Times New Roman"/>
          <w:sz w:val="18"/>
          <w:szCs w:val="18"/>
          <w:color w:val="auto"/>
        </w:rPr>
        <w:t>13.6</w:t>
      </w:r>
      <w:r>
        <w:rPr>
          <w:sz w:val="20"/>
          <w:szCs w:val="20"/>
          <w:color w:val="auto"/>
        </w:rPr>
        <w:tab/>
      </w:r>
      <w:r>
        <w:rPr>
          <w:rFonts w:ascii="Times New Roman" w:cs="Times New Roman" w:eastAsia="Times New Roman" w:hAnsi="Times New Roman"/>
          <w:sz w:val="18"/>
          <w:szCs w:val="18"/>
          <w:color w:val="auto"/>
        </w:rPr>
        <w:t xml:space="preserve">In making the determination referenced in Paragraph 13.5,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shall take into account the normal course of such commercial development programs conducted with sound and reasonable business practices and judgment and the annual reports submitted by the </w:t>
      </w:r>
      <w:r>
        <w:rPr>
          <w:rFonts w:ascii="Times New Roman" w:cs="Times New Roman" w:eastAsia="Times New Roman" w:hAnsi="Times New Roman"/>
          <w:sz w:val="18"/>
          <w:szCs w:val="18"/>
          <w:b w:val="1"/>
          <w:bCs w:val="1"/>
          <w:color w:val="auto"/>
        </w:rPr>
        <w:t xml:space="preserve">Licensee </w:t>
      </w:r>
      <w:r>
        <w:rPr>
          <w:rFonts w:ascii="Times New Roman" w:cs="Times New Roman" w:eastAsia="Times New Roman" w:hAnsi="Times New Roman"/>
          <w:sz w:val="18"/>
          <w:szCs w:val="18"/>
          <w:color w:val="auto"/>
        </w:rPr>
        <w:t>under Paragraph 9.2. Prior to invoking termination or modification of this</w:t>
      </w:r>
      <w:r>
        <w:rPr>
          <w:rFonts w:ascii="Times New Roman" w:cs="Times New Roman" w:eastAsia="Times New Roman" w:hAnsi="Times New Roman"/>
          <w:sz w:val="18"/>
          <w:szCs w:val="18"/>
          <w:b w:val="1"/>
          <w:bCs w:val="1"/>
          <w:color w:val="auto"/>
        </w:rPr>
        <w:t xml:space="preserve"> Agreement </w:t>
      </w:r>
      <w:r>
        <w:rPr>
          <w:rFonts w:ascii="Times New Roman" w:cs="Times New Roman" w:eastAsia="Times New Roman" w:hAnsi="Times New Roman"/>
          <w:sz w:val="18"/>
          <w:szCs w:val="18"/>
          <w:color w:val="auto"/>
        </w:rPr>
        <w:t>under Paragraph 13.5, the</w:t>
      </w:r>
      <w:r>
        <w:rPr>
          <w:rFonts w:ascii="Times New Roman" w:cs="Times New Roman" w:eastAsia="Times New Roman" w:hAnsi="Times New Roman"/>
          <w:sz w:val="18"/>
          <w:szCs w:val="18"/>
          <w:b w:val="1"/>
          <w:bCs w:val="1"/>
          <w:color w:val="auto"/>
        </w:rPr>
        <w:t xml:space="preserve"> IC </w:t>
      </w:r>
      <w:r>
        <w:rPr>
          <w:rFonts w:ascii="Times New Roman" w:cs="Times New Roman" w:eastAsia="Times New Roman" w:hAnsi="Times New Roman"/>
          <w:sz w:val="18"/>
          <w:szCs w:val="18"/>
          <w:color w:val="auto"/>
        </w:rPr>
        <w:t>shall give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written notice to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providing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specific notice of, and a ninety (90) day opportunity to respond to, the </w:t>
      </w:r>
      <w:r>
        <w:rPr>
          <w:rFonts w:ascii="Times New Roman" w:cs="Times New Roman" w:eastAsia="Times New Roman" w:hAnsi="Times New Roman"/>
          <w:sz w:val="18"/>
          <w:szCs w:val="18"/>
          <w:b w:val="1"/>
          <w:bCs w:val="1"/>
          <w:color w:val="auto"/>
        </w:rPr>
        <w:t>IC’s</w:t>
      </w:r>
      <w:r>
        <w:rPr>
          <w:rFonts w:ascii="Times New Roman" w:cs="Times New Roman" w:eastAsia="Times New Roman" w:hAnsi="Times New Roman"/>
          <w:sz w:val="18"/>
          <w:szCs w:val="18"/>
          <w:color w:val="auto"/>
        </w:rPr>
        <w:t xml:space="preserve"> concerns as to the items referenced in 13.5(a)-13.5(g). If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fails to alleviate the </w:t>
      </w:r>
      <w:r>
        <w:rPr>
          <w:rFonts w:ascii="Times New Roman" w:cs="Times New Roman" w:eastAsia="Times New Roman" w:hAnsi="Times New Roman"/>
          <w:sz w:val="18"/>
          <w:szCs w:val="18"/>
          <w:b w:val="1"/>
          <w:bCs w:val="1"/>
          <w:color w:val="auto"/>
        </w:rPr>
        <w:t>IC’s</w:t>
      </w:r>
      <w:r>
        <w:rPr>
          <w:rFonts w:ascii="Times New Roman" w:cs="Times New Roman" w:eastAsia="Times New Roman" w:hAnsi="Times New Roman"/>
          <w:sz w:val="18"/>
          <w:szCs w:val="18"/>
          <w:color w:val="auto"/>
        </w:rPr>
        <w:t xml:space="preserve"> concerns as to the items referenced in 13.5(a)-13.5(g) or fails to initiate corrective action to the </w:t>
      </w:r>
      <w:r>
        <w:rPr>
          <w:rFonts w:ascii="Times New Roman" w:cs="Times New Roman" w:eastAsia="Times New Roman" w:hAnsi="Times New Roman"/>
          <w:sz w:val="18"/>
          <w:szCs w:val="18"/>
          <w:b w:val="1"/>
          <w:bCs w:val="1"/>
          <w:color w:val="auto"/>
        </w:rPr>
        <w:t>IC’s</w:t>
      </w:r>
      <w:r>
        <w:rPr>
          <w:rFonts w:ascii="Times New Roman" w:cs="Times New Roman" w:eastAsia="Times New Roman" w:hAnsi="Times New Roman"/>
          <w:sz w:val="18"/>
          <w:szCs w:val="18"/>
          <w:color w:val="auto"/>
        </w:rPr>
        <w:t xml:space="preserve"> satisfaction,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may terminate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1300" w:right="60" w:hanging="647"/>
        <w:spacing w:after="0" w:line="259" w:lineRule="auto"/>
        <w:tabs>
          <w:tab w:leader="none" w:pos="1280" w:val="left"/>
        </w:tabs>
        <w:rPr>
          <w:sz w:val="20"/>
          <w:szCs w:val="20"/>
          <w:color w:val="auto"/>
        </w:rPr>
      </w:pPr>
      <w:r>
        <w:rPr>
          <w:rFonts w:ascii="Times New Roman" w:cs="Times New Roman" w:eastAsia="Times New Roman" w:hAnsi="Times New Roman"/>
          <w:sz w:val="18"/>
          <w:szCs w:val="18"/>
          <w:color w:val="auto"/>
        </w:rPr>
        <w:t>13.7</w:t>
      </w:r>
      <w:r>
        <w:rPr>
          <w:sz w:val="20"/>
          <w:szCs w:val="20"/>
          <w:color w:val="auto"/>
        </w:rPr>
        <w:tab/>
      </w:r>
      <w:r>
        <w:rPr>
          <w:rFonts w:ascii="Times New Roman" w:cs="Times New Roman" w:eastAsia="Times New Roman" w:hAnsi="Times New Roman"/>
          <w:sz w:val="18"/>
          <w:szCs w:val="18"/>
          <w:color w:val="auto"/>
        </w:rPr>
        <w:t xml:space="preserve">When the public health and safety so require, and after written notice to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providing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opportunity to respond,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shall have the right to require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to grant sublicenses to responsible applicants, on reasonable terms, in any </w:t>
      </w:r>
      <w:r>
        <w:rPr>
          <w:rFonts w:ascii="Times New Roman" w:cs="Times New Roman" w:eastAsia="Times New Roman" w:hAnsi="Times New Roman"/>
          <w:sz w:val="18"/>
          <w:szCs w:val="18"/>
          <w:b w:val="1"/>
          <w:bCs w:val="1"/>
          <w:color w:val="auto"/>
        </w:rPr>
        <w:t xml:space="preserve">Licensed Fields of Use </w:t>
      </w:r>
      <w:r>
        <w:rPr>
          <w:rFonts w:ascii="Times New Roman" w:cs="Times New Roman" w:eastAsia="Times New Roman" w:hAnsi="Times New Roman"/>
          <w:sz w:val="18"/>
          <w:szCs w:val="18"/>
          <w:color w:val="auto"/>
        </w:rPr>
        <w:t>under the</w:t>
      </w:r>
      <w:r>
        <w:rPr>
          <w:rFonts w:ascii="Times New Roman" w:cs="Times New Roman" w:eastAsia="Times New Roman" w:hAnsi="Times New Roman"/>
          <w:sz w:val="18"/>
          <w:szCs w:val="18"/>
          <w:b w:val="1"/>
          <w:bCs w:val="1"/>
          <w:color w:val="auto"/>
        </w:rPr>
        <w:t xml:space="preserve"> Licensed Patent Rights</w:t>
      </w:r>
      <w:r>
        <w:rPr>
          <w:rFonts w:ascii="Times New Roman" w:cs="Times New Roman" w:eastAsia="Times New Roman" w:hAnsi="Times New Roman"/>
          <w:sz w:val="18"/>
          <w:szCs w:val="18"/>
          <w:color w:val="auto"/>
        </w:rPr>
        <w:t>, unless the</w:t>
      </w:r>
      <w:r>
        <w:rPr>
          <w:rFonts w:ascii="Times New Roman" w:cs="Times New Roman" w:eastAsia="Times New Roman" w:hAnsi="Times New Roman"/>
          <w:sz w:val="18"/>
          <w:szCs w:val="18"/>
          <w:b w:val="1"/>
          <w:bCs w:val="1"/>
          <w:color w:val="auto"/>
        </w:rPr>
        <w:t xml:space="preserve"> Licensee </w:t>
      </w:r>
      <w:r>
        <w:rPr>
          <w:rFonts w:ascii="Times New Roman" w:cs="Times New Roman" w:eastAsia="Times New Roman" w:hAnsi="Times New Roman"/>
          <w:sz w:val="18"/>
          <w:szCs w:val="18"/>
          <w:color w:val="auto"/>
        </w:rPr>
        <w:t>can reasonably demonstrate that the granting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sublicense would not materially increase the availability to the public of the subject matter of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shall not require the granting of a sublicense unless the responsible applicant has first negotiated in good faith with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300" w:right="6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color w:val="auto"/>
        </w:rPr>
        <w:t>13.8</w:t>
      </w:r>
      <w:r>
        <w:rPr>
          <w:sz w:val="20"/>
          <w:szCs w:val="20"/>
          <w:color w:val="auto"/>
        </w:rPr>
        <w:tab/>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reserves the right according to </w:t>
      </w:r>
      <w:r>
        <w:rPr>
          <w:rFonts w:ascii="Times New Roman" w:cs="Times New Roman" w:eastAsia="Times New Roman" w:hAnsi="Times New Roman"/>
          <w:sz w:val="18"/>
          <w:szCs w:val="18"/>
          <w:u w:val="single" w:color="auto"/>
          <w:color w:val="0000FF"/>
        </w:rPr>
        <w:t>35 U.S.C. §209(d)(3)</w:t>
      </w:r>
      <w:r>
        <w:rPr>
          <w:rFonts w:ascii="Times New Roman" w:cs="Times New Roman" w:eastAsia="Times New Roman" w:hAnsi="Times New Roman"/>
          <w:sz w:val="18"/>
          <w:szCs w:val="18"/>
          <w:color w:val="auto"/>
        </w:rPr>
        <w:t xml:space="preserve"> to terminate or modify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if it is determined that this action is necessary to meet the requirements for public use specified by federal regulations issued after the date of the license and these requirements are not reasonably satisfied by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300" w:right="160" w:hanging="647"/>
        <w:spacing w:after="0" w:line="262" w:lineRule="auto"/>
        <w:tabs>
          <w:tab w:leader="none" w:pos="1280" w:val="left"/>
        </w:tabs>
        <w:rPr>
          <w:sz w:val="20"/>
          <w:szCs w:val="20"/>
          <w:color w:val="auto"/>
        </w:rPr>
      </w:pPr>
      <w:r>
        <w:rPr>
          <w:rFonts w:ascii="Times New Roman" w:cs="Times New Roman" w:eastAsia="Times New Roman" w:hAnsi="Times New Roman"/>
          <w:sz w:val="18"/>
          <w:szCs w:val="18"/>
          <w:color w:val="auto"/>
        </w:rPr>
        <w:t>13.9</w:t>
      </w:r>
      <w:r>
        <w:rPr>
          <w:sz w:val="20"/>
          <w:szCs w:val="20"/>
          <w:color w:val="auto"/>
        </w:rPr>
        <w:tab/>
      </w:r>
      <w:r>
        <w:rPr>
          <w:rFonts w:ascii="Times New Roman" w:cs="Times New Roman" w:eastAsia="Times New Roman" w:hAnsi="Times New Roman"/>
          <w:sz w:val="18"/>
          <w:szCs w:val="18"/>
          <w:color w:val="auto"/>
        </w:rPr>
        <w:t xml:space="preserve">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receipt of written notice of the </w:t>
      </w:r>
      <w:r>
        <w:rPr>
          <w:rFonts w:ascii="Times New Roman" w:cs="Times New Roman" w:eastAsia="Times New Roman" w:hAnsi="Times New Roman"/>
          <w:sz w:val="18"/>
          <w:szCs w:val="18"/>
          <w:b w:val="1"/>
          <w:bCs w:val="1"/>
          <w:color w:val="auto"/>
        </w:rPr>
        <w:t>IC’s</w:t>
      </w:r>
      <w:r>
        <w:rPr>
          <w:rFonts w:ascii="Times New Roman" w:cs="Times New Roman" w:eastAsia="Times New Roman" w:hAnsi="Times New Roman"/>
          <w:sz w:val="18"/>
          <w:szCs w:val="18"/>
          <w:color w:val="auto"/>
        </w:rPr>
        <w:t xml:space="preserve"> unilateral decision to modify or terminate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may, consistent with the provisions of </w:t>
      </w:r>
      <w:r>
        <w:rPr>
          <w:rFonts w:ascii="Times New Roman" w:cs="Times New Roman" w:eastAsia="Times New Roman" w:hAnsi="Times New Roman"/>
          <w:sz w:val="18"/>
          <w:szCs w:val="18"/>
          <w:u w:val="single" w:color="auto"/>
          <w:color w:val="0000FF"/>
        </w:rPr>
        <w:t>37 C.F.R.</w:t>
      </w:r>
      <w:r>
        <w:rPr>
          <w:rFonts w:ascii="Times New Roman" w:cs="Times New Roman" w:eastAsia="Times New Roman" w:hAnsi="Times New Roman"/>
          <w:sz w:val="18"/>
          <w:szCs w:val="18"/>
          <w:color w:val="auto"/>
        </w:rPr>
        <w:t xml:space="preserve"> </w:t>
      </w:r>
      <w:r>
        <w:rPr>
          <w:rFonts w:ascii="Arial" w:cs="Arial" w:eastAsia="Arial" w:hAnsi="Arial"/>
          <w:sz w:val="18"/>
          <w:szCs w:val="18"/>
          <w:u w:val="single" w:color="auto"/>
          <w:color w:val="0000FF"/>
        </w:rPr>
        <w:t>§</w:t>
      </w:r>
      <w:r>
        <w:rPr>
          <w:rFonts w:ascii="Times New Roman" w:cs="Times New Roman" w:eastAsia="Times New Roman" w:hAnsi="Times New Roman"/>
          <w:sz w:val="18"/>
          <w:szCs w:val="18"/>
          <w:u w:val="single" w:color="auto"/>
          <w:color w:val="0000FF"/>
        </w:rPr>
        <w:t>404.11</w:t>
      </w:r>
      <w:r>
        <w:rPr>
          <w:rFonts w:ascii="Times New Roman" w:cs="Times New Roman" w:eastAsia="Times New Roman" w:hAnsi="Times New Roman"/>
          <w:sz w:val="18"/>
          <w:szCs w:val="18"/>
          <w:color w:val="auto"/>
        </w:rPr>
        <w:t xml:space="preserve">, appeal the decision by written submission to the designated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official or designee. The decision of the designated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official or designee shall be the final agency decision.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may thereafter exercise any and all administrative or judicial remedies that may be accessible.</w:t>
      </w:r>
    </w:p>
    <w:p>
      <w:pPr>
        <w:spacing w:after="0" w:line="202" w:lineRule="exact"/>
        <w:rPr>
          <w:sz w:val="20"/>
          <w:szCs w:val="20"/>
          <w:color w:val="auto"/>
        </w:rPr>
      </w:pPr>
    </w:p>
    <w:p>
      <w:pPr>
        <w:ind w:right="4000" w:firstLine="8"/>
        <w:spacing w:after="0" w:line="282" w:lineRule="auto"/>
        <w:tabs>
          <w:tab w:leader="none" w:pos="348" w:val="left"/>
        </w:tabs>
        <w:numPr>
          <w:ilvl w:val="0"/>
          <w:numId w:val="7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A-035-2017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NIH </w:t>
      </w:r>
      <w:r>
        <w:rPr>
          <w:rFonts w:ascii="Times New Roman" w:cs="Times New Roman" w:eastAsia="Times New Roman" w:hAnsi="Times New Roman"/>
          <w:sz w:val="14"/>
          <w:szCs w:val="14"/>
          <w:color w:val="auto"/>
        </w:rPr>
        <w:t>Patent License Agreement--</w:t>
      </w:r>
      <w:r>
        <w:rPr>
          <w:rFonts w:ascii="Times New Roman" w:cs="Times New Roman" w:eastAsia="Times New Roman" w:hAnsi="Times New Roman"/>
          <w:sz w:val="14"/>
          <w:szCs w:val="14"/>
          <w:i w:val="1"/>
          <w:iCs w:val="1"/>
          <w:color w:val="auto"/>
        </w:rPr>
        <w:t>Exclusive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Model 10-2015 [Final] [Selecta Biosciences] [3 April 2017]</w:t>
      </w:r>
    </w:p>
    <w:p>
      <w:pPr>
        <w:sectPr>
          <w:pgSz w:w="11900" w:h="16838" w:orient="portrait"/>
          <w:cols w:equalWidth="0" w:num="1">
            <w:col w:w="11420"/>
          </w:cols>
          <w:pgMar w:left="240" w:top="360" w:right="239" w:bottom="1440" w:gutter="0" w:footer="0" w:header="0"/>
        </w:sectPr>
      </w:pPr>
    </w:p>
    <w:bookmarkStart w:id="106" w:name="page107"/>
    <w:bookmarkEnd w:id="106"/>
    <w:p>
      <w:pPr>
        <w:ind w:left="1300" w:right="60" w:hanging="647"/>
        <w:spacing w:after="0" w:line="256" w:lineRule="auto"/>
        <w:tabs>
          <w:tab w:leader="none" w:pos="1280" w:val="left"/>
        </w:tabs>
        <w:rPr>
          <w:sz w:val="20"/>
          <w:szCs w:val="20"/>
          <w:color w:val="auto"/>
        </w:rPr>
      </w:pPr>
      <w:r>
        <w:rPr>
          <w:rFonts w:ascii="Times New Roman" w:cs="Times New Roman" w:eastAsia="Times New Roman" w:hAnsi="Times New Roman"/>
          <w:sz w:val="18"/>
          <w:szCs w:val="18"/>
          <w:color w:val="auto"/>
        </w:rPr>
        <w:t>13.10</w:t>
        <w:tab/>
        <w:t xml:space="preserve">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expiration or termination 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under this Article 13, a final report shall be submitted by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Any royalty payments, including those incurred but not yet paid (such as the full minimum annual royalty), and those related to patent expenses, due to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shall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If terminated under this Article 13, sublicensees may elect to convert their sublicenses to direct licenses with the </w:t>
      </w:r>
      <w:r>
        <w:rPr>
          <w:rFonts w:ascii="Times New Roman" w:cs="Times New Roman" w:eastAsia="Times New Roman" w:hAnsi="Times New Roman"/>
          <w:sz w:val="18"/>
          <w:szCs w:val="18"/>
          <w:b w:val="1"/>
          <w:bCs w:val="1"/>
          <w:color w:val="auto"/>
        </w:rPr>
        <w:t xml:space="preserve">IC </w:t>
      </w:r>
      <w:r>
        <w:rPr>
          <w:rFonts w:ascii="Times New Roman" w:cs="Times New Roman" w:eastAsia="Times New Roman" w:hAnsi="Times New Roman"/>
          <w:sz w:val="18"/>
          <w:szCs w:val="18"/>
          <w:color w:val="auto"/>
        </w:rPr>
        <w:t>pursuant to Paragraph 4.3. Unless otherwise specifically provided for under this</w:t>
      </w:r>
      <w:r>
        <w:rPr>
          <w:rFonts w:ascii="Times New Roman" w:cs="Times New Roman" w:eastAsia="Times New Roman" w:hAnsi="Times New Roman"/>
          <w:sz w:val="18"/>
          <w:szCs w:val="18"/>
          <w:b w:val="1"/>
          <w:bCs w:val="1"/>
          <w:color w:val="auto"/>
        </w:rPr>
        <w:t xml:space="preserve"> Agreement</w:t>
      </w:r>
      <w:r>
        <w:rPr>
          <w:rFonts w:ascii="Times New Roman" w:cs="Times New Roman" w:eastAsia="Times New Roman" w:hAnsi="Times New Roman"/>
          <w:sz w:val="18"/>
          <w:szCs w:val="18"/>
          <w:color w:val="auto"/>
        </w:rPr>
        <w:t>, upon termination or expiration of this</w:t>
      </w:r>
      <w:r>
        <w:rPr>
          <w:rFonts w:ascii="Times New Roman" w:cs="Times New Roman" w:eastAsia="Times New Roman" w:hAnsi="Times New Roman"/>
          <w:sz w:val="18"/>
          <w:szCs w:val="18"/>
          <w:b w:val="1"/>
          <w:bCs w:val="1"/>
          <w:color w:val="auto"/>
        </w:rPr>
        <w:t xml:space="preserve"> Agreement</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Licensee </w:t>
      </w:r>
      <w:r>
        <w:rPr>
          <w:rFonts w:ascii="Times New Roman" w:cs="Times New Roman" w:eastAsia="Times New Roman" w:hAnsi="Times New Roman"/>
          <w:sz w:val="18"/>
          <w:szCs w:val="18"/>
          <w:color w:val="auto"/>
        </w:rPr>
        <w:t>shall return all</w:t>
      </w:r>
      <w:r>
        <w:rPr>
          <w:rFonts w:ascii="Times New Roman" w:cs="Times New Roman" w:eastAsia="Times New Roman" w:hAnsi="Times New Roman"/>
          <w:sz w:val="18"/>
          <w:szCs w:val="18"/>
          <w:b w:val="1"/>
          <w:bCs w:val="1"/>
          <w:color w:val="auto"/>
        </w:rPr>
        <w:t xml:space="preserve"> Licensed Products </w:t>
      </w:r>
      <w:r>
        <w:rPr>
          <w:rFonts w:ascii="Times New Roman" w:cs="Times New Roman" w:eastAsia="Times New Roman" w:hAnsi="Times New Roman"/>
          <w:sz w:val="18"/>
          <w:szCs w:val="18"/>
          <w:color w:val="auto"/>
        </w:rPr>
        <w:t>or other materials included within the</w:t>
      </w:r>
      <w:r>
        <w:rPr>
          <w:rFonts w:ascii="Times New Roman" w:cs="Times New Roman" w:eastAsia="Times New Roman" w:hAnsi="Times New Roman"/>
          <w:sz w:val="18"/>
          <w:szCs w:val="18"/>
          <w:b w:val="1"/>
          <w:bCs w:val="1"/>
          <w:color w:val="auto"/>
        </w:rPr>
        <w:t xml:space="preserve"> Licensed Patent Rights </w:t>
      </w:r>
      <w:r>
        <w:rPr>
          <w:rFonts w:ascii="Times New Roman" w:cs="Times New Roman" w:eastAsia="Times New Roman" w:hAnsi="Times New Roman"/>
          <w:sz w:val="18"/>
          <w:szCs w:val="18"/>
          <w:color w:val="auto"/>
        </w:rPr>
        <w:t>to the</w:t>
      </w:r>
      <w:r>
        <w:rPr>
          <w:rFonts w:ascii="Times New Roman" w:cs="Times New Roman" w:eastAsia="Times New Roman" w:hAnsi="Times New Roman"/>
          <w:sz w:val="18"/>
          <w:szCs w:val="18"/>
          <w:b w:val="1"/>
          <w:bCs w:val="1"/>
          <w:color w:val="auto"/>
        </w:rPr>
        <w:t xml:space="preserve"> IC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with certification of the destruction thereof.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may not be granted additional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licenses if the final reporting requirement is not fulfilled.</w:t>
      </w:r>
    </w:p>
    <w:p>
      <w:pPr>
        <w:spacing w:after="0" w:line="187" w:lineRule="exact"/>
        <w:rPr>
          <w:sz w:val="20"/>
          <w:szCs w:val="20"/>
          <w:color w:val="auto"/>
        </w:rPr>
      </w:pPr>
    </w:p>
    <w:p>
      <w:pPr>
        <w:ind w:left="660" w:hanging="652"/>
        <w:spacing w:after="0"/>
        <w:tabs>
          <w:tab w:leader="none" w:pos="6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PROVISIONS</w:t>
      </w:r>
    </w:p>
    <w:p>
      <w:pPr>
        <w:spacing w:after="0" w:line="221" w:lineRule="exact"/>
        <w:rPr>
          <w:rFonts w:ascii="Times New Roman" w:cs="Times New Roman" w:eastAsia="Times New Roman" w:hAnsi="Times New Roman"/>
          <w:sz w:val="18"/>
          <w:szCs w:val="18"/>
          <w:color w:val="auto"/>
        </w:rPr>
      </w:pPr>
    </w:p>
    <w:p>
      <w:pPr>
        <w:ind w:left="1300" w:right="40" w:hanging="648"/>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14.1Neither party may waive or release any of its rights or interests in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except in writing. The failure of the </w:t>
      </w:r>
      <w:r>
        <w:rPr>
          <w:rFonts w:ascii="Times New Roman" w:cs="Times New Roman" w:eastAsia="Times New Roman" w:hAnsi="Times New Roman"/>
          <w:sz w:val="18"/>
          <w:szCs w:val="18"/>
          <w:b w:val="1"/>
          <w:bCs w:val="1"/>
          <w:color w:val="auto"/>
        </w:rPr>
        <w:t>Government</w:t>
      </w:r>
      <w:r>
        <w:rPr>
          <w:rFonts w:ascii="Times New Roman" w:cs="Times New Roman" w:eastAsia="Times New Roman" w:hAnsi="Times New Roman"/>
          <w:sz w:val="18"/>
          <w:szCs w:val="18"/>
          <w:color w:val="auto"/>
        </w:rPr>
        <w:t xml:space="preserve"> to assert a right hereunder or to insist upon compliance with any term or condition 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shall not constitute a waiver of that right by the </w:t>
      </w:r>
      <w:r>
        <w:rPr>
          <w:rFonts w:ascii="Times New Roman" w:cs="Times New Roman" w:eastAsia="Times New Roman" w:hAnsi="Times New Roman"/>
          <w:sz w:val="18"/>
          <w:szCs w:val="18"/>
          <w:b w:val="1"/>
          <w:bCs w:val="1"/>
          <w:color w:val="auto"/>
        </w:rPr>
        <w:t>Government</w:t>
      </w:r>
      <w:r>
        <w:rPr>
          <w:rFonts w:ascii="Times New Roman" w:cs="Times New Roman" w:eastAsia="Times New Roman" w:hAnsi="Times New Roman"/>
          <w:sz w:val="18"/>
          <w:szCs w:val="18"/>
          <w:color w:val="auto"/>
        </w:rPr>
        <w:t xml:space="preserve"> or excuse a similar subsequent failure to perform any of these terms or conditions by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1300" w:right="320" w:hanging="648"/>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14.2This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constitutes the entire agreement between the parties relating to the subject matter of the </w:t>
      </w:r>
      <w:r>
        <w:rPr>
          <w:rFonts w:ascii="Times New Roman" w:cs="Times New Roman" w:eastAsia="Times New Roman" w:hAnsi="Times New Roman"/>
          <w:sz w:val="18"/>
          <w:szCs w:val="18"/>
          <w:b w:val="1"/>
          <w:bCs w:val="1"/>
          <w:color w:val="auto"/>
        </w:rPr>
        <w:t>Licensed Patent Rights</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 xml:space="preserve">Licensed Products </w:t>
      </w:r>
      <w:r>
        <w:rPr>
          <w:rFonts w:ascii="Times New Roman" w:cs="Times New Roman" w:eastAsia="Times New Roman" w:hAnsi="Times New Roman"/>
          <w:sz w:val="18"/>
          <w:szCs w:val="18"/>
          <w:color w:val="auto"/>
        </w:rPr>
        <w:t>and the</w:t>
      </w:r>
      <w:r>
        <w:rPr>
          <w:rFonts w:ascii="Times New Roman" w:cs="Times New Roman" w:eastAsia="Times New Roman" w:hAnsi="Times New Roman"/>
          <w:sz w:val="18"/>
          <w:szCs w:val="18"/>
          <w:b w:val="1"/>
          <w:bCs w:val="1"/>
          <w:color w:val="auto"/>
        </w:rPr>
        <w:t xml:space="preserve"> Licensed Processes</w:t>
      </w:r>
      <w:r>
        <w:rPr>
          <w:rFonts w:ascii="Times New Roman" w:cs="Times New Roman" w:eastAsia="Times New Roman" w:hAnsi="Times New Roman"/>
          <w:sz w:val="18"/>
          <w:szCs w:val="18"/>
          <w:color w:val="auto"/>
        </w:rPr>
        <w:t>, and all prior negotiations, representations, agreements, and understandings are merged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into, extinguished by, and completely expressed by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1300" w:right="100" w:hanging="648"/>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14.3The provisions 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are severable, and in the event that any provision 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shall be determined to be invalid or unenforceable under any controlling body of law, this determination shall not in any way affect the validity or enforceability of the remaining provisions 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w:t>
      </w:r>
    </w:p>
    <w:p>
      <w:pPr>
        <w:spacing w:after="0" w:line="170" w:lineRule="exact"/>
        <w:rPr>
          <w:rFonts w:ascii="Times New Roman" w:cs="Times New Roman" w:eastAsia="Times New Roman" w:hAnsi="Times New Roman"/>
          <w:sz w:val="18"/>
          <w:szCs w:val="18"/>
          <w:color w:val="auto"/>
        </w:rPr>
      </w:pPr>
    </w:p>
    <w:p>
      <w:pPr>
        <w:ind w:left="1300" w:right="100" w:hanging="648"/>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14.4If either party desires a modification to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the parties shall, upon reasonable notice of the proposed modification by the party desiring the change, confer in good faith to determine the desirability of the modification. No modification shall be effective until a written amendment is signed by the signatories to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or their designees.</w:t>
      </w:r>
    </w:p>
    <w:p>
      <w:pPr>
        <w:spacing w:after="0" w:line="170" w:lineRule="exact"/>
        <w:rPr>
          <w:rFonts w:ascii="Times New Roman" w:cs="Times New Roman" w:eastAsia="Times New Roman" w:hAnsi="Times New Roman"/>
          <w:sz w:val="18"/>
          <w:szCs w:val="18"/>
          <w:color w:val="auto"/>
        </w:rPr>
      </w:pPr>
    </w:p>
    <w:p>
      <w:pPr>
        <w:ind w:left="1300" w:right="140" w:hanging="648"/>
        <w:spacing w:after="0" w:line="28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14.5The construction, validity, performance, and effect 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shall be governed by Federal law as applied by the Federal courts in the District of Columbia.</w:t>
      </w:r>
    </w:p>
    <w:p>
      <w:pPr>
        <w:spacing w:after="0" w:line="154" w:lineRule="exact"/>
        <w:rPr>
          <w:rFonts w:ascii="Times New Roman" w:cs="Times New Roman" w:eastAsia="Times New Roman" w:hAnsi="Times New Roman"/>
          <w:sz w:val="18"/>
          <w:szCs w:val="18"/>
          <w:color w:val="auto"/>
        </w:rPr>
      </w:pPr>
    </w:p>
    <w:p>
      <w:pPr>
        <w:ind w:left="1300" w:hanging="648"/>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14.6All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notices required or permitted by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shall be given by prepaid, first class, registered or certified mail or by an express/overnight delivery service provided by a commercial carrier, properly addressed to the other party at the address designated on the following Signature Page, or to another address as may be designated in writing by the other party.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notices shall be considered timely if the notices are received on or before the established deadline date or sent on or before the deadline date as verifiable by U.S. Postal Service postmark or dated receipt from a commercial carrier. Parties should request a legibly dated U.S. Postal Service postmark or obtain a dated receipt from a commercial carrier or the U.S. Postal Service. Private metered postmarks shall not be acceptable as proof of timely mailing.</w:t>
      </w:r>
    </w:p>
    <w:p>
      <w:pPr>
        <w:spacing w:after="0" w:line="200" w:lineRule="exact"/>
        <w:rPr>
          <w:sz w:val="20"/>
          <w:szCs w:val="20"/>
          <w:color w:val="auto"/>
        </w:rPr>
      </w:pPr>
    </w:p>
    <w:p>
      <w:pPr>
        <w:spacing w:after="0" w:line="226" w:lineRule="exact"/>
        <w:rPr>
          <w:sz w:val="20"/>
          <w:szCs w:val="20"/>
          <w:color w:val="auto"/>
        </w:rPr>
      </w:pPr>
    </w:p>
    <w:p>
      <w:pPr>
        <w:ind w:right="4000" w:firstLine="8"/>
        <w:spacing w:after="0" w:line="282" w:lineRule="auto"/>
        <w:tabs>
          <w:tab w:leader="none" w:pos="348" w:val="left"/>
        </w:tabs>
        <w:numPr>
          <w:ilvl w:val="0"/>
          <w:numId w:val="8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A-035-2017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NIH </w:t>
      </w:r>
      <w:r>
        <w:rPr>
          <w:rFonts w:ascii="Times New Roman" w:cs="Times New Roman" w:eastAsia="Times New Roman" w:hAnsi="Times New Roman"/>
          <w:sz w:val="14"/>
          <w:szCs w:val="14"/>
          <w:color w:val="auto"/>
        </w:rPr>
        <w:t>Patent License Agreement--</w:t>
      </w:r>
      <w:r>
        <w:rPr>
          <w:rFonts w:ascii="Times New Roman" w:cs="Times New Roman" w:eastAsia="Times New Roman" w:hAnsi="Times New Roman"/>
          <w:sz w:val="14"/>
          <w:szCs w:val="14"/>
          <w:i w:val="1"/>
          <w:iCs w:val="1"/>
          <w:color w:val="auto"/>
        </w:rPr>
        <w:t>Exclusive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Model 10-2015 [Final] [Selecta Biosciences] [3 April 2017]</w:t>
      </w:r>
    </w:p>
    <w:p>
      <w:pPr>
        <w:sectPr>
          <w:pgSz w:w="11900" w:h="16838" w:orient="portrait"/>
          <w:cols w:equalWidth="0" w:num="1">
            <w:col w:w="11420"/>
          </w:cols>
          <w:pgMar w:left="240" w:top="576" w:right="239" w:bottom="1440" w:gutter="0" w:footer="0" w:header="0"/>
        </w:sectPr>
      </w:pPr>
    </w:p>
    <w:bookmarkStart w:id="107" w:name="page108"/>
    <w:bookmarkEnd w:id="107"/>
    <w:p>
      <w:pPr>
        <w:ind w:left="1300" w:right="80" w:hanging="647"/>
        <w:spacing w:after="0" w:line="262" w:lineRule="auto"/>
        <w:tabs>
          <w:tab w:leader="none" w:pos="1280" w:val="left"/>
        </w:tabs>
        <w:rPr>
          <w:sz w:val="20"/>
          <w:szCs w:val="20"/>
          <w:color w:val="auto"/>
        </w:rPr>
      </w:pPr>
      <w:r>
        <w:rPr>
          <w:rFonts w:ascii="Times New Roman" w:cs="Times New Roman" w:eastAsia="Times New Roman" w:hAnsi="Times New Roman"/>
          <w:sz w:val="18"/>
          <w:szCs w:val="18"/>
          <w:color w:val="auto"/>
        </w:rPr>
        <w:t>14.7</w:t>
      </w:r>
      <w:r>
        <w:rPr>
          <w:sz w:val="20"/>
          <w:szCs w:val="20"/>
          <w:color w:val="auto"/>
        </w:rPr>
        <w:tab/>
      </w: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shall not be assigned or otherwise transferred (including any transfer by legal process or by operation of law, and any transfer in bankruptcy or insolvency, or in any other compulsory procedure or order of court) except to the </w:t>
      </w:r>
      <w:r>
        <w:rPr>
          <w:rFonts w:ascii="Times New Roman" w:cs="Times New Roman" w:eastAsia="Times New Roman" w:hAnsi="Times New Roman"/>
          <w:sz w:val="18"/>
          <w:szCs w:val="18"/>
          <w:b w:val="1"/>
          <w:bCs w:val="1"/>
          <w:color w:val="auto"/>
        </w:rPr>
        <w:t>Licensee’s Affiliate(s)</w:t>
      </w:r>
      <w:r>
        <w:rPr>
          <w:rFonts w:ascii="Times New Roman" w:cs="Times New Roman" w:eastAsia="Times New Roman" w:hAnsi="Times New Roman"/>
          <w:sz w:val="18"/>
          <w:szCs w:val="18"/>
          <w:color w:val="auto"/>
        </w:rPr>
        <w:t xml:space="preserve"> without the prior written consent of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The parties agree that the identity of the parties is material to the formation 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and that the obligations under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are nondelegable. In the event that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approves a proposed assignment,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shall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w:t>
      </w:r>
    </w:p>
    <w:p>
      <w:pPr>
        <w:spacing w:after="0" w:line="152" w:lineRule="exact"/>
        <w:rPr>
          <w:sz w:val="20"/>
          <w:szCs w:val="20"/>
          <w:color w:val="auto"/>
        </w:rPr>
      </w:pPr>
    </w:p>
    <w:p>
      <w:pPr>
        <w:ind w:left="1300" w:right="40" w:hanging="647"/>
        <w:spacing w:after="0" w:line="223" w:lineRule="exact"/>
        <w:tabs>
          <w:tab w:leader="none" w:pos="1280" w:val="left"/>
        </w:tabs>
        <w:rPr>
          <w:sz w:val="20"/>
          <w:szCs w:val="20"/>
          <w:color w:val="auto"/>
        </w:rPr>
      </w:pPr>
      <w:r>
        <w:rPr>
          <w:rFonts w:ascii="Times New Roman" w:cs="Times New Roman" w:eastAsia="Times New Roman" w:hAnsi="Times New Roman"/>
          <w:sz w:val="18"/>
          <w:szCs w:val="18"/>
          <w:color w:val="auto"/>
        </w:rPr>
        <w:t>14.8</w:t>
      </w:r>
      <w:r>
        <w:rPr>
          <w:sz w:val="20"/>
          <w:szCs w:val="20"/>
          <w:color w:val="auto"/>
        </w:rPr>
        <w:tab/>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agrees in its use of any </w:t>
      </w:r>
      <w:r>
        <w:rPr>
          <w:rFonts w:ascii="Times New Roman" w:cs="Times New Roman" w:eastAsia="Times New Roman" w:hAnsi="Times New Roman"/>
          <w:sz w:val="18"/>
          <w:szCs w:val="18"/>
          <w:b w:val="1"/>
          <w:bCs w:val="1"/>
          <w:color w:val="auto"/>
        </w:rPr>
        <w:t>IC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supplied materials to comply with all applicable statutes, regulations, and guidelines, including </w:t>
      </w:r>
      <w:r>
        <w:rPr>
          <w:rFonts w:ascii="Times New Roman" w:cs="Times New Roman" w:eastAsia="Times New Roman" w:hAnsi="Times New Roman"/>
          <w:sz w:val="18"/>
          <w:szCs w:val="18"/>
          <w:b w:val="1"/>
          <w:bCs w:val="1"/>
          <w:color w:val="auto"/>
        </w:rPr>
        <w:t xml:space="preserve">NIH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HHS </w:t>
      </w:r>
      <w:r>
        <w:rPr>
          <w:rFonts w:ascii="Times New Roman" w:cs="Times New Roman" w:eastAsia="Times New Roman" w:hAnsi="Times New Roman"/>
          <w:sz w:val="18"/>
          <w:szCs w:val="18"/>
          <w:color w:val="auto"/>
        </w:rPr>
        <w:t>regulations and guidelines. The</w:t>
      </w:r>
      <w:r>
        <w:rPr>
          <w:rFonts w:ascii="Times New Roman" w:cs="Times New Roman" w:eastAsia="Times New Roman" w:hAnsi="Times New Roman"/>
          <w:sz w:val="18"/>
          <w:szCs w:val="18"/>
          <w:b w:val="1"/>
          <w:bCs w:val="1"/>
          <w:color w:val="auto"/>
        </w:rPr>
        <w:t xml:space="preserve"> Licensee </w:t>
      </w:r>
      <w:r>
        <w:rPr>
          <w:rFonts w:ascii="Times New Roman" w:cs="Times New Roman" w:eastAsia="Times New Roman" w:hAnsi="Times New Roman"/>
          <w:sz w:val="18"/>
          <w:szCs w:val="18"/>
          <w:color w:val="auto"/>
        </w:rPr>
        <w:t>agrees not to use the materials for research involving human subjects or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trials in the United States without complying with </w:t>
      </w:r>
      <w:r>
        <w:rPr>
          <w:rFonts w:ascii="Times New Roman" w:cs="Times New Roman" w:eastAsia="Times New Roman" w:hAnsi="Times New Roman"/>
          <w:sz w:val="18"/>
          <w:szCs w:val="18"/>
          <w:u w:val="single" w:color="auto"/>
          <w:color w:val="0000FF"/>
        </w:rPr>
        <w:t>21 C.F.R. Part 50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45 C.F.R. Part 46</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agrees not to use the materials for research involving human subjects or clinical trials outside of the United States without notifying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in writing, of the research or trials and complying with the applicable regulations of the appropriate national control authorities. Written notification to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of research involving human subjects or clinical trials outside of the United States shall be given no later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prior to commencement of the research or trials.</w:t>
      </w:r>
    </w:p>
    <w:p>
      <w:pPr>
        <w:spacing w:after="0" w:line="196" w:lineRule="exact"/>
        <w:rPr>
          <w:sz w:val="20"/>
          <w:szCs w:val="20"/>
          <w:color w:val="auto"/>
        </w:rPr>
      </w:pPr>
    </w:p>
    <w:p>
      <w:pPr>
        <w:ind w:left="1300" w:right="20" w:hanging="647"/>
        <w:spacing w:after="0" w:line="259" w:lineRule="auto"/>
        <w:tabs>
          <w:tab w:leader="none" w:pos="1280" w:val="left"/>
        </w:tabs>
        <w:rPr>
          <w:sz w:val="20"/>
          <w:szCs w:val="20"/>
          <w:color w:val="auto"/>
        </w:rPr>
      </w:pPr>
      <w:r>
        <w:rPr>
          <w:rFonts w:ascii="Times New Roman" w:cs="Times New Roman" w:eastAsia="Times New Roman" w:hAnsi="Times New Roman"/>
          <w:sz w:val="18"/>
          <w:szCs w:val="18"/>
          <w:color w:val="auto"/>
        </w:rPr>
        <w:t>14.9</w:t>
      </w:r>
      <w:r>
        <w:rPr>
          <w:sz w:val="20"/>
          <w:szCs w:val="20"/>
          <w:color w:val="auto"/>
        </w:rPr>
        <w:tab/>
      </w: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acknowledges that it is subject to and agrees to abide by the United States laws and regulations (including the </w:t>
      </w:r>
      <w:r>
        <w:rPr>
          <w:rFonts w:ascii="Times New Roman" w:cs="Times New Roman" w:eastAsia="Times New Roman" w:hAnsi="Times New Roman"/>
          <w:sz w:val="18"/>
          <w:szCs w:val="18"/>
          <w:u w:val="single" w:color="auto"/>
          <w:color w:val="0000FF"/>
        </w:rPr>
        <w:t>Export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Administration Act of 1979</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Arms Export Control Act</w:t>
      </w:r>
      <w:r>
        <w:rPr>
          <w:rFonts w:ascii="Times New Roman" w:cs="Times New Roman" w:eastAsia="Times New Roman" w:hAnsi="Times New Roman"/>
          <w:sz w:val="18"/>
          <w:szCs w:val="18"/>
          <w:color w:val="000000"/>
        </w:rPr>
        <w:t>) controlling the export of technical data, computer software, laboratory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prototypes, biological material, and other commodities. The transfer of these items may require a license from the appropriate agency of the U.S. </w:t>
      </w:r>
      <w:r>
        <w:rPr>
          <w:rFonts w:ascii="Times New Roman" w:cs="Times New Roman" w:eastAsia="Times New Roman" w:hAnsi="Times New Roman"/>
          <w:sz w:val="18"/>
          <w:szCs w:val="18"/>
          <w:b w:val="1"/>
          <w:bCs w:val="1"/>
          <w:color w:val="000000"/>
        </w:rPr>
        <w:t>Government</w:t>
      </w:r>
      <w:r>
        <w:rPr>
          <w:rFonts w:ascii="Times New Roman" w:cs="Times New Roman" w:eastAsia="Times New Roman" w:hAnsi="Times New Roman"/>
          <w:sz w:val="18"/>
          <w:szCs w:val="18"/>
          <w:color w:val="000000"/>
        </w:rPr>
        <w:t xml:space="preserve"> or written assurances by the </w:t>
      </w:r>
      <w:r>
        <w:rPr>
          <w:rFonts w:ascii="Times New Roman" w:cs="Times New Roman" w:eastAsia="Times New Roman" w:hAnsi="Times New Roman"/>
          <w:sz w:val="18"/>
          <w:szCs w:val="18"/>
          <w:b w:val="1"/>
          <w:bCs w:val="1"/>
          <w:color w:val="000000"/>
        </w:rPr>
        <w:t>Licensee</w:t>
      </w:r>
      <w:r>
        <w:rPr>
          <w:rFonts w:ascii="Times New Roman" w:cs="Times New Roman" w:eastAsia="Times New Roman" w:hAnsi="Times New Roman"/>
          <w:sz w:val="18"/>
          <w:szCs w:val="18"/>
          <w:color w:val="000000"/>
        </w:rPr>
        <w:t xml:space="preserve"> that it shall not export these items to certain foreign countries without prior approval of this agency. The </w:t>
      </w:r>
      <w:r>
        <w:rPr>
          <w:rFonts w:ascii="Times New Roman" w:cs="Times New Roman" w:eastAsia="Times New Roman" w:hAnsi="Times New Roman"/>
          <w:sz w:val="18"/>
          <w:szCs w:val="18"/>
          <w:b w:val="1"/>
          <w:bCs w:val="1"/>
          <w:color w:val="000000"/>
        </w:rPr>
        <w:t>IC</w:t>
      </w:r>
      <w:r>
        <w:rPr>
          <w:rFonts w:ascii="Times New Roman" w:cs="Times New Roman" w:eastAsia="Times New Roman" w:hAnsi="Times New Roman"/>
          <w:sz w:val="18"/>
          <w:szCs w:val="18"/>
          <w:color w:val="000000"/>
        </w:rPr>
        <w:t xml:space="preserve"> neither represents that a license is or is not required or that, if required, it shall be issued.</w:t>
      </w:r>
    </w:p>
    <w:p>
      <w:pPr>
        <w:spacing w:after="0" w:line="180" w:lineRule="exact"/>
        <w:rPr>
          <w:sz w:val="20"/>
          <w:szCs w:val="20"/>
          <w:color w:val="auto"/>
        </w:rPr>
      </w:pPr>
    </w:p>
    <w:p>
      <w:pPr>
        <w:ind w:left="1300" w:right="2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color w:val="auto"/>
        </w:rPr>
        <w:t>14.10</w:t>
        <w:tab/>
        <w:t xml:space="preserve">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agrees to mark the </w:t>
      </w:r>
      <w:r>
        <w:rPr>
          <w:rFonts w:ascii="Times New Roman" w:cs="Times New Roman" w:eastAsia="Times New Roman" w:hAnsi="Times New Roman"/>
          <w:sz w:val="18"/>
          <w:szCs w:val="18"/>
          <w:b w:val="1"/>
          <w:bCs w:val="1"/>
          <w:color w:val="auto"/>
        </w:rPr>
        <w:t>Licensed Products</w:t>
      </w:r>
      <w:r>
        <w:rPr>
          <w:rFonts w:ascii="Times New Roman" w:cs="Times New Roman" w:eastAsia="Times New Roman" w:hAnsi="Times New Roman"/>
          <w:sz w:val="18"/>
          <w:szCs w:val="18"/>
          <w:color w:val="auto"/>
        </w:rPr>
        <w:t xml:space="preserve"> or their packaging sold in the United States with all applicable U.S. patent numbers and similarly to indicate “Patent Pending” status. All the </w:t>
      </w:r>
      <w:r>
        <w:rPr>
          <w:rFonts w:ascii="Times New Roman" w:cs="Times New Roman" w:eastAsia="Times New Roman" w:hAnsi="Times New Roman"/>
          <w:sz w:val="18"/>
          <w:szCs w:val="18"/>
          <w:b w:val="1"/>
          <w:bCs w:val="1"/>
          <w:color w:val="auto"/>
        </w:rPr>
        <w:t>Licensed Products</w:t>
      </w:r>
      <w:r>
        <w:rPr>
          <w:rFonts w:ascii="Times New Roman" w:cs="Times New Roman" w:eastAsia="Times New Roman" w:hAnsi="Times New Roman"/>
          <w:sz w:val="18"/>
          <w:szCs w:val="18"/>
          <w:color w:val="auto"/>
        </w:rPr>
        <w:t xml:space="preserve"> manufactured in, shipped to, or sold in other countries shall be marked in a manner to preserve the </w:t>
      </w:r>
      <w:r>
        <w:rPr>
          <w:rFonts w:ascii="Times New Roman" w:cs="Times New Roman" w:eastAsia="Times New Roman" w:hAnsi="Times New Roman"/>
          <w:sz w:val="18"/>
          <w:szCs w:val="18"/>
          <w:b w:val="1"/>
          <w:bCs w:val="1"/>
          <w:color w:val="auto"/>
        </w:rPr>
        <w:t>IC’s</w:t>
      </w:r>
      <w:r>
        <w:rPr>
          <w:rFonts w:ascii="Times New Roman" w:cs="Times New Roman" w:eastAsia="Times New Roman" w:hAnsi="Times New Roman"/>
          <w:sz w:val="18"/>
          <w:szCs w:val="18"/>
          <w:color w:val="auto"/>
        </w:rPr>
        <w:t xml:space="preserve"> patent rights in those countries.</w:t>
      </w:r>
    </w:p>
    <w:p>
      <w:pPr>
        <w:spacing w:after="0" w:line="171" w:lineRule="exact"/>
        <w:rPr>
          <w:sz w:val="20"/>
          <w:szCs w:val="20"/>
          <w:color w:val="auto"/>
        </w:rPr>
      </w:pPr>
    </w:p>
    <w:p>
      <w:pPr>
        <w:ind w:left="1300" w:hanging="647"/>
        <w:spacing w:after="0" w:line="259" w:lineRule="auto"/>
        <w:tabs>
          <w:tab w:leader="none" w:pos="1280" w:val="left"/>
        </w:tabs>
        <w:rPr>
          <w:sz w:val="20"/>
          <w:szCs w:val="20"/>
          <w:color w:val="auto"/>
        </w:rPr>
      </w:pPr>
      <w:r>
        <w:rPr>
          <w:rFonts w:ascii="Times New Roman" w:cs="Times New Roman" w:eastAsia="Times New Roman" w:hAnsi="Times New Roman"/>
          <w:sz w:val="18"/>
          <w:szCs w:val="18"/>
          <w:color w:val="auto"/>
        </w:rPr>
        <w:t>14.11</w:t>
        <w:tab/>
        <w:t xml:space="preserve">By entering into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does not directly or indirectly endorse any product or service provided, or to be provided, by the </w:t>
      </w:r>
      <w:r>
        <w:rPr>
          <w:rFonts w:ascii="Times New Roman" w:cs="Times New Roman" w:eastAsia="Times New Roman" w:hAnsi="Times New Roman"/>
          <w:sz w:val="18"/>
          <w:szCs w:val="18"/>
          <w:b w:val="1"/>
          <w:bCs w:val="1"/>
          <w:color w:val="auto"/>
        </w:rPr>
        <w:t xml:space="preserve">Licensee </w:t>
      </w:r>
      <w:r>
        <w:rPr>
          <w:rFonts w:ascii="Times New Roman" w:cs="Times New Roman" w:eastAsia="Times New Roman" w:hAnsi="Times New Roman"/>
          <w:sz w:val="18"/>
          <w:szCs w:val="18"/>
          <w:color w:val="auto"/>
        </w:rPr>
        <w:t>whether directly or indirectly related to this</w:t>
      </w:r>
      <w:r>
        <w:rPr>
          <w:rFonts w:ascii="Times New Roman" w:cs="Times New Roman" w:eastAsia="Times New Roman" w:hAnsi="Times New Roman"/>
          <w:sz w:val="18"/>
          <w:szCs w:val="18"/>
          <w:b w:val="1"/>
          <w:bCs w:val="1"/>
          <w:color w:val="auto"/>
        </w:rPr>
        <w:t xml:space="preserve"> Agreement</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Licensee </w:t>
      </w:r>
      <w:r>
        <w:rPr>
          <w:rFonts w:ascii="Times New Roman" w:cs="Times New Roman" w:eastAsia="Times New Roman" w:hAnsi="Times New Roman"/>
          <w:sz w:val="18"/>
          <w:szCs w:val="18"/>
          <w:color w:val="auto"/>
        </w:rPr>
        <w:t>shall not state or imply that this</w:t>
      </w:r>
      <w:r>
        <w:rPr>
          <w:rFonts w:ascii="Times New Roman" w:cs="Times New Roman" w:eastAsia="Times New Roman" w:hAnsi="Times New Roman"/>
          <w:sz w:val="18"/>
          <w:szCs w:val="18"/>
          <w:b w:val="1"/>
          <w:bCs w:val="1"/>
          <w:color w:val="auto"/>
        </w:rPr>
        <w:t xml:space="preserve"> Agreement </w:t>
      </w:r>
      <w:r>
        <w:rPr>
          <w:rFonts w:ascii="Times New Roman" w:cs="Times New Roman" w:eastAsia="Times New Roman" w:hAnsi="Times New Roman"/>
          <w:sz w:val="18"/>
          <w:szCs w:val="18"/>
          <w:color w:val="auto"/>
        </w:rPr>
        <w:t>is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endorsement by the </w:t>
      </w:r>
      <w:r>
        <w:rPr>
          <w:rFonts w:ascii="Times New Roman" w:cs="Times New Roman" w:eastAsia="Times New Roman" w:hAnsi="Times New Roman"/>
          <w:sz w:val="18"/>
          <w:szCs w:val="18"/>
          <w:b w:val="1"/>
          <w:bCs w:val="1"/>
          <w:color w:val="auto"/>
        </w:rPr>
        <w:t>Government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any other </w:t>
      </w:r>
      <w:r>
        <w:rPr>
          <w:rFonts w:ascii="Times New Roman" w:cs="Times New Roman" w:eastAsia="Times New Roman" w:hAnsi="Times New Roman"/>
          <w:sz w:val="18"/>
          <w:szCs w:val="18"/>
          <w:b w:val="1"/>
          <w:bCs w:val="1"/>
          <w:color w:val="auto"/>
        </w:rPr>
        <w:t>Government</w:t>
      </w:r>
      <w:r>
        <w:rPr>
          <w:rFonts w:ascii="Times New Roman" w:cs="Times New Roman" w:eastAsia="Times New Roman" w:hAnsi="Times New Roman"/>
          <w:sz w:val="18"/>
          <w:szCs w:val="18"/>
          <w:color w:val="auto"/>
        </w:rPr>
        <w:t xml:space="preserve"> organizational unit, or any </w:t>
      </w:r>
      <w:r>
        <w:rPr>
          <w:rFonts w:ascii="Times New Roman" w:cs="Times New Roman" w:eastAsia="Times New Roman" w:hAnsi="Times New Roman"/>
          <w:sz w:val="18"/>
          <w:szCs w:val="18"/>
          <w:b w:val="1"/>
          <w:bCs w:val="1"/>
          <w:color w:val="auto"/>
        </w:rPr>
        <w:t>Government</w:t>
      </w:r>
      <w:r>
        <w:rPr>
          <w:rFonts w:ascii="Times New Roman" w:cs="Times New Roman" w:eastAsia="Times New Roman" w:hAnsi="Times New Roman"/>
          <w:sz w:val="18"/>
          <w:szCs w:val="18"/>
          <w:color w:val="auto"/>
        </w:rPr>
        <w:t xml:space="preserve"> employee. Additionally, the </w:t>
      </w:r>
      <w:r>
        <w:rPr>
          <w:rFonts w:ascii="Times New Roman" w:cs="Times New Roman" w:eastAsia="Times New Roman" w:hAnsi="Times New Roman"/>
          <w:sz w:val="18"/>
          <w:szCs w:val="18"/>
          <w:b w:val="1"/>
          <w:bCs w:val="1"/>
          <w:color w:val="auto"/>
        </w:rPr>
        <w:t xml:space="preserve">Licensee </w:t>
      </w:r>
      <w:r>
        <w:rPr>
          <w:rFonts w:ascii="Times New Roman" w:cs="Times New Roman" w:eastAsia="Times New Roman" w:hAnsi="Times New Roman"/>
          <w:sz w:val="18"/>
          <w:szCs w:val="18"/>
          <w:color w:val="auto"/>
        </w:rPr>
        <w:t>shall not use the names of the</w:t>
      </w:r>
      <w:r>
        <w:rPr>
          <w:rFonts w:ascii="Times New Roman" w:cs="Times New Roman" w:eastAsia="Times New Roman" w:hAnsi="Times New Roman"/>
          <w:sz w:val="18"/>
          <w:szCs w:val="18"/>
          <w:b w:val="1"/>
          <w:bCs w:val="1"/>
          <w:color w:val="auto"/>
        </w:rPr>
        <w:t xml:space="preserve"> IC</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color w:val="auto"/>
        </w:rPr>
        <w:t xml:space="preserve"> FDA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b w:val="1"/>
          <w:bCs w:val="1"/>
          <w:color w:val="auto"/>
        </w:rPr>
        <w:t xml:space="preserve"> HHS </w:t>
      </w:r>
      <w:r>
        <w:rPr>
          <w:rFonts w:ascii="Times New Roman" w:cs="Times New Roman" w:eastAsia="Times New Roman" w:hAnsi="Times New Roman"/>
          <w:sz w:val="18"/>
          <w:szCs w:val="18"/>
          <w:color w:val="auto"/>
        </w:rPr>
        <w:t>or the</w:t>
      </w:r>
      <w:r>
        <w:rPr>
          <w:rFonts w:ascii="Times New Roman" w:cs="Times New Roman" w:eastAsia="Times New Roman" w:hAnsi="Times New Roman"/>
          <w:sz w:val="18"/>
          <w:szCs w:val="18"/>
          <w:b w:val="1"/>
          <w:bCs w:val="1"/>
          <w:color w:val="auto"/>
        </w:rPr>
        <w:t xml:space="preserve"> Government </w:t>
      </w:r>
      <w:r>
        <w:rPr>
          <w:rFonts w:ascii="Times New Roman" w:cs="Times New Roman" w:eastAsia="Times New Roman" w:hAnsi="Times New Roman"/>
          <w:sz w:val="18"/>
          <w:szCs w:val="18"/>
          <w:color w:val="auto"/>
        </w:rPr>
        <w:t>or their employees in any advertising, promotional,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sales literature without the prior written approval of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300" w:right="100" w:hanging="647"/>
        <w:spacing w:after="0" w:line="262" w:lineRule="auto"/>
        <w:tabs>
          <w:tab w:leader="none" w:pos="1280" w:val="left"/>
        </w:tabs>
        <w:rPr>
          <w:sz w:val="20"/>
          <w:szCs w:val="20"/>
          <w:color w:val="auto"/>
        </w:rPr>
      </w:pPr>
      <w:r>
        <w:rPr>
          <w:rFonts w:ascii="Times New Roman" w:cs="Times New Roman" w:eastAsia="Times New Roman" w:hAnsi="Times New Roman"/>
          <w:sz w:val="18"/>
          <w:szCs w:val="18"/>
          <w:color w:val="auto"/>
        </w:rPr>
        <w:t>14.12</w:t>
        <w:tab/>
        <w:t xml:space="preserve">The parties agree to attempt to settle amicably any controversy or claim arising under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or a breach 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except for appeals of modifications or termination decisions provided for in Article 13.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agrees first to appeal any unsettled claims or controversies to the designated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official, or designee, whose decision shall be considered the final agency decision. Thereafter,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may exercise any administrative or judicial remedies that may be available.</w:t>
      </w:r>
    </w:p>
    <w:p>
      <w:pPr>
        <w:spacing w:after="0" w:line="181" w:lineRule="exact"/>
        <w:rPr>
          <w:sz w:val="20"/>
          <w:szCs w:val="20"/>
          <w:color w:val="auto"/>
        </w:rPr>
      </w:pPr>
    </w:p>
    <w:p>
      <w:pPr>
        <w:jc w:val="both"/>
        <w:ind w:left="1300" w:right="140" w:hanging="647"/>
        <w:spacing w:after="0" w:line="266" w:lineRule="auto"/>
        <w:tabs>
          <w:tab w:leader="none" w:pos="1280" w:val="left"/>
        </w:tabs>
        <w:rPr>
          <w:sz w:val="20"/>
          <w:szCs w:val="20"/>
          <w:color w:val="auto"/>
        </w:rPr>
      </w:pPr>
      <w:r>
        <w:rPr>
          <w:rFonts w:ascii="Times New Roman" w:cs="Times New Roman" w:eastAsia="Times New Roman" w:hAnsi="Times New Roman"/>
          <w:sz w:val="18"/>
          <w:szCs w:val="18"/>
          <w:color w:val="auto"/>
        </w:rPr>
        <w:t>14.13</w:t>
        <w:tab/>
        <w:t xml:space="preserve">Nothing relating to the grant of a license, nor the grant itself, shall be construed to confer upon any person any immunity from or defenses under the antitrust laws or from a charge of patent misuse, and the acquisition and use of rights pursuant to </w:t>
      </w:r>
      <w:r>
        <w:rPr>
          <w:rFonts w:ascii="Times New Roman" w:cs="Times New Roman" w:eastAsia="Times New Roman" w:hAnsi="Times New Roman"/>
          <w:sz w:val="18"/>
          <w:szCs w:val="18"/>
          <w:u w:val="single" w:color="auto"/>
          <w:color w:val="0000FF"/>
        </w:rPr>
        <w:t>37 C.F.R. Part 404</w:t>
      </w:r>
      <w:r>
        <w:rPr>
          <w:rFonts w:ascii="Times New Roman" w:cs="Times New Roman" w:eastAsia="Times New Roman" w:hAnsi="Times New Roman"/>
          <w:sz w:val="18"/>
          <w:szCs w:val="18"/>
          <w:color w:val="auto"/>
        </w:rPr>
        <w:t xml:space="preserve"> shall not be immunized from the operation of state or Federal law by reason of the source of the grant.</w:t>
      </w:r>
    </w:p>
    <w:p>
      <w:pPr>
        <w:spacing w:after="0" w:line="200" w:lineRule="exact"/>
        <w:rPr>
          <w:sz w:val="20"/>
          <w:szCs w:val="20"/>
          <w:color w:val="auto"/>
        </w:rPr>
      </w:pPr>
    </w:p>
    <w:p>
      <w:pPr>
        <w:spacing w:after="0" w:line="215" w:lineRule="exact"/>
        <w:rPr>
          <w:sz w:val="20"/>
          <w:szCs w:val="20"/>
          <w:color w:val="auto"/>
        </w:rPr>
      </w:pPr>
    </w:p>
    <w:p>
      <w:pPr>
        <w:ind w:right="3980" w:firstLine="8"/>
        <w:spacing w:after="0" w:line="282" w:lineRule="auto"/>
        <w:tabs>
          <w:tab w:leader="none" w:pos="348" w:val="left"/>
        </w:tabs>
        <w:numPr>
          <w:ilvl w:val="0"/>
          <w:numId w:val="8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A-035-2017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NIH </w:t>
      </w:r>
      <w:r>
        <w:rPr>
          <w:rFonts w:ascii="Times New Roman" w:cs="Times New Roman" w:eastAsia="Times New Roman" w:hAnsi="Times New Roman"/>
          <w:sz w:val="14"/>
          <w:szCs w:val="14"/>
          <w:color w:val="auto"/>
        </w:rPr>
        <w:t>Patent License Agreement--</w:t>
      </w:r>
      <w:r>
        <w:rPr>
          <w:rFonts w:ascii="Times New Roman" w:cs="Times New Roman" w:eastAsia="Times New Roman" w:hAnsi="Times New Roman"/>
          <w:sz w:val="14"/>
          <w:szCs w:val="14"/>
          <w:i w:val="1"/>
          <w:iCs w:val="1"/>
          <w:color w:val="auto"/>
        </w:rPr>
        <w:t>Exclusive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Model 10-2015 [Final] [Selecta Biosciences] [3 April 2017]</w:t>
      </w:r>
    </w:p>
    <w:p>
      <w:pPr>
        <w:sectPr>
          <w:pgSz w:w="11900" w:h="16838" w:orient="portrait"/>
          <w:cols w:equalWidth="0" w:num="1">
            <w:col w:w="11400"/>
          </w:cols>
          <w:pgMar w:left="240" w:top="360" w:right="259" w:bottom="1440" w:gutter="0" w:footer="0" w:header="0"/>
        </w:sectPr>
      </w:pPr>
    </w:p>
    <w:bookmarkStart w:id="108" w:name="page109"/>
    <w:bookmarkEnd w:id="108"/>
    <w:p>
      <w:pPr>
        <w:ind w:left="1300" w:right="380" w:hanging="647"/>
        <w:spacing w:after="0" w:line="268" w:lineRule="auto"/>
        <w:tabs>
          <w:tab w:leader="none" w:pos="1280" w:val="left"/>
        </w:tabs>
        <w:rPr>
          <w:sz w:val="20"/>
          <w:szCs w:val="20"/>
          <w:color w:val="auto"/>
        </w:rPr>
      </w:pPr>
      <w:r>
        <w:rPr>
          <w:rFonts w:ascii="Times New Roman" w:cs="Times New Roman" w:eastAsia="Times New Roman" w:hAnsi="Times New Roman"/>
          <w:sz w:val="18"/>
          <w:szCs w:val="18"/>
          <w:color w:val="auto"/>
        </w:rPr>
        <w:t>14.14</w:t>
        <w:tab/>
        <w:t xml:space="preserve">Any formal recordation 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required by the laws of any </w:t>
      </w:r>
      <w:r>
        <w:rPr>
          <w:rFonts w:ascii="Times New Roman" w:cs="Times New Roman" w:eastAsia="Times New Roman" w:hAnsi="Times New Roman"/>
          <w:sz w:val="18"/>
          <w:szCs w:val="18"/>
          <w:b w:val="1"/>
          <w:bCs w:val="1"/>
          <w:color w:val="auto"/>
        </w:rPr>
        <w:t>Licensed Territory</w:t>
      </w:r>
      <w:r>
        <w:rPr>
          <w:rFonts w:ascii="Times New Roman" w:cs="Times New Roman" w:eastAsia="Times New Roman" w:hAnsi="Times New Roman"/>
          <w:sz w:val="18"/>
          <w:szCs w:val="18"/>
          <w:color w:val="auto"/>
        </w:rPr>
        <w:t xml:space="preserve"> as a prerequisite to enforceability of the </w:t>
      </w:r>
      <w:r>
        <w:rPr>
          <w:rFonts w:ascii="Times New Roman" w:cs="Times New Roman" w:eastAsia="Times New Roman" w:hAnsi="Times New Roman"/>
          <w:sz w:val="18"/>
          <w:szCs w:val="18"/>
          <w:b w:val="1"/>
          <w:bCs w:val="1"/>
          <w:color w:val="auto"/>
        </w:rPr>
        <w:t xml:space="preserve">Agreement </w:t>
      </w:r>
      <w:r>
        <w:rPr>
          <w:rFonts w:ascii="Times New Roman" w:cs="Times New Roman" w:eastAsia="Times New Roman" w:hAnsi="Times New Roman"/>
          <w:sz w:val="18"/>
          <w:szCs w:val="18"/>
          <w:color w:val="auto"/>
        </w:rPr>
        <w:t>in the courts of any foreign jurisdiction or for other reasons shall be carried out by the</w:t>
      </w:r>
      <w:r>
        <w:rPr>
          <w:rFonts w:ascii="Times New Roman" w:cs="Times New Roman" w:eastAsia="Times New Roman" w:hAnsi="Times New Roman"/>
          <w:sz w:val="18"/>
          <w:szCs w:val="18"/>
          <w:b w:val="1"/>
          <w:bCs w:val="1"/>
          <w:color w:val="auto"/>
        </w:rPr>
        <w:t xml:space="preserve"> Licensee </w:t>
      </w:r>
      <w:r>
        <w:rPr>
          <w:rFonts w:ascii="Times New Roman" w:cs="Times New Roman" w:eastAsia="Times New Roman" w:hAnsi="Times New Roman"/>
          <w:sz w:val="18"/>
          <w:szCs w:val="18"/>
          <w:color w:val="auto"/>
        </w:rPr>
        <w:t>at its expense,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appropriately verified proof of recordation shall be promptly furnished to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color w:val="auto"/>
        </w:rPr>
        <w:t>14.15</w:t>
      </w:r>
      <w:r>
        <w:rPr>
          <w:sz w:val="20"/>
          <w:szCs w:val="20"/>
          <w:color w:val="auto"/>
        </w:rPr>
        <w:tab/>
      </w:r>
      <w:r>
        <w:rPr>
          <w:rFonts w:ascii="Times New Roman" w:cs="Times New Roman" w:eastAsia="Times New Roman" w:hAnsi="Times New Roman"/>
          <w:sz w:val="17"/>
          <w:szCs w:val="17"/>
          <w:color w:val="auto"/>
        </w:rPr>
        <w:t xml:space="preserve">Paragraphs 4.3, 8.1, 9.5-9.9, 12.1-12.5, 13.9, 13.10, 14.12 and 14.15 of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xml:space="preserve"> shall survive termination of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1300" w:hanging="647"/>
        <w:spacing w:after="0" w:line="262" w:lineRule="auto"/>
        <w:tabs>
          <w:tab w:leader="none" w:pos="1280" w:val="left"/>
        </w:tabs>
        <w:rPr>
          <w:sz w:val="20"/>
          <w:szCs w:val="20"/>
          <w:color w:val="auto"/>
        </w:rPr>
      </w:pPr>
      <w:r>
        <w:rPr>
          <w:rFonts w:ascii="Times New Roman" w:cs="Times New Roman" w:eastAsia="Times New Roman" w:hAnsi="Times New Roman"/>
          <w:sz w:val="18"/>
          <w:szCs w:val="18"/>
          <w:color w:val="auto"/>
        </w:rPr>
        <w:t>14.16</w:t>
        <w:tab/>
        <w:t xml:space="preserve">The terms and conditions 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shall, at the </w:t>
      </w:r>
      <w:r>
        <w:rPr>
          <w:rFonts w:ascii="Times New Roman" w:cs="Times New Roman" w:eastAsia="Times New Roman" w:hAnsi="Times New Roman"/>
          <w:sz w:val="18"/>
          <w:szCs w:val="18"/>
          <w:b w:val="1"/>
          <w:bCs w:val="1"/>
          <w:color w:val="auto"/>
        </w:rPr>
        <w:t>IC’s</w:t>
      </w:r>
      <w:r>
        <w:rPr>
          <w:rFonts w:ascii="Times New Roman" w:cs="Times New Roman" w:eastAsia="Times New Roman" w:hAnsi="Times New Roman"/>
          <w:sz w:val="18"/>
          <w:szCs w:val="18"/>
          <w:color w:val="auto"/>
        </w:rPr>
        <w:t xml:space="preserve"> sole option, be considered by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to be withdrawn from the </w:t>
      </w:r>
      <w:r>
        <w:rPr>
          <w:rFonts w:ascii="Times New Roman" w:cs="Times New Roman" w:eastAsia="Times New Roman" w:hAnsi="Times New Roman"/>
          <w:sz w:val="18"/>
          <w:szCs w:val="18"/>
          <w:b w:val="1"/>
          <w:bCs w:val="1"/>
          <w:color w:val="auto"/>
        </w:rPr>
        <w:t>Licensee’s</w:t>
      </w:r>
      <w:r>
        <w:rPr>
          <w:rFonts w:ascii="Times New Roman" w:cs="Times New Roman" w:eastAsia="Times New Roman" w:hAnsi="Times New Roman"/>
          <w:sz w:val="18"/>
          <w:szCs w:val="18"/>
          <w:color w:val="auto"/>
        </w:rPr>
        <w:t xml:space="preserve"> consideration and the terms and conditions 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and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itself to be null and void, unless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executed by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and a fully executed original is received by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from the date of the </w:t>
      </w:r>
      <w:r>
        <w:rPr>
          <w:rFonts w:ascii="Times New Roman" w:cs="Times New Roman" w:eastAsia="Times New Roman" w:hAnsi="Times New Roman"/>
          <w:sz w:val="18"/>
          <w:szCs w:val="18"/>
          <w:b w:val="1"/>
          <w:bCs w:val="1"/>
          <w:color w:val="auto"/>
        </w:rPr>
        <w:t>IC’s</w:t>
      </w:r>
      <w:r>
        <w:rPr>
          <w:rFonts w:ascii="Times New Roman" w:cs="Times New Roman" w:eastAsia="Times New Roman" w:hAnsi="Times New Roman"/>
          <w:sz w:val="18"/>
          <w:szCs w:val="18"/>
          <w:color w:val="auto"/>
        </w:rPr>
        <w:t xml:space="preserve"> signature found at the Signature Page.</w:t>
      </w:r>
    </w:p>
    <w:p>
      <w:pPr>
        <w:spacing w:after="0" w:line="17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SIGNATURES BEGIN ON NEXT PAGE</w:t>
      </w:r>
    </w:p>
    <w:p>
      <w:pPr>
        <w:spacing w:after="0" w:line="200" w:lineRule="exact"/>
        <w:rPr>
          <w:sz w:val="20"/>
          <w:szCs w:val="20"/>
          <w:color w:val="auto"/>
        </w:rPr>
      </w:pPr>
    </w:p>
    <w:p>
      <w:pPr>
        <w:spacing w:after="0" w:line="268" w:lineRule="exact"/>
        <w:rPr>
          <w:sz w:val="20"/>
          <w:szCs w:val="20"/>
          <w:color w:val="auto"/>
        </w:rPr>
      </w:pPr>
    </w:p>
    <w:p>
      <w:pPr>
        <w:ind w:right="3760" w:firstLine="8"/>
        <w:spacing w:after="0" w:line="282" w:lineRule="auto"/>
        <w:tabs>
          <w:tab w:leader="none" w:pos="348" w:val="left"/>
        </w:tabs>
        <w:numPr>
          <w:ilvl w:val="0"/>
          <w:numId w:val="8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A-035-2017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NIH </w:t>
      </w:r>
      <w:r>
        <w:rPr>
          <w:rFonts w:ascii="Times New Roman" w:cs="Times New Roman" w:eastAsia="Times New Roman" w:hAnsi="Times New Roman"/>
          <w:sz w:val="14"/>
          <w:szCs w:val="14"/>
          <w:color w:val="auto"/>
        </w:rPr>
        <w:t>Patent License Agreement--</w:t>
      </w:r>
      <w:r>
        <w:rPr>
          <w:rFonts w:ascii="Times New Roman" w:cs="Times New Roman" w:eastAsia="Times New Roman" w:hAnsi="Times New Roman"/>
          <w:sz w:val="14"/>
          <w:szCs w:val="14"/>
          <w:i w:val="1"/>
          <w:iCs w:val="1"/>
          <w:color w:val="auto"/>
        </w:rPr>
        <w:t>Exclusive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Model 10-2015 [Final] [Selecta Biosciences] [3 April 2017]</w:t>
      </w:r>
    </w:p>
    <w:p>
      <w:pPr>
        <w:sectPr>
          <w:pgSz w:w="11900" w:h="16838" w:orient="portrait"/>
          <w:cols w:equalWidth="0" w:num="1">
            <w:col w:w="11180"/>
          </w:cols>
          <w:pgMar w:left="240" w:top="360" w:right="47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8"/>
        </w:trPr>
        <w:tc>
          <w:tcPr>
            <w:tcW w:w="1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w w:val="99"/>
              </w:rPr>
              <w:t xml:space="preserve">NIH PATENT LICENSE AGREEMENT - </w:t>
            </w:r>
            <w:r>
              <w:rPr>
                <w:rFonts w:ascii="Times New Roman" w:cs="Times New Roman" w:eastAsia="Times New Roman" w:hAnsi="Times New Roman"/>
                <w:sz w:val="18"/>
                <w:szCs w:val="18"/>
                <w:b w:val="1"/>
                <w:bCs w:val="1"/>
                <w:i w:val="1"/>
                <w:iCs w:val="1"/>
                <w:color w:val="auto"/>
                <w:w w:val="99"/>
              </w:rPr>
              <w:t>EXCLUSIVE</w:t>
            </w:r>
          </w:p>
        </w:tc>
      </w:tr>
      <w:tr>
        <w:trPr>
          <w:trHeight w:val="432"/>
        </w:trPr>
        <w:tc>
          <w:tcPr>
            <w:tcW w:w="18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SIGNATURE PAGE</w:t>
            </w:r>
          </w:p>
        </w:tc>
      </w:tr>
      <w:tr>
        <w:trPr>
          <w:trHeight w:val="432"/>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For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392"/>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Richard U. Rodriguez</w:t>
            </w:r>
          </w:p>
        </w:tc>
        <w:tc>
          <w:tcPr>
            <w:tcW w:w="5120" w:type="dxa"/>
            <w:vAlign w:val="bottom"/>
            <w:gridSpan w:val="3"/>
          </w:tcPr>
          <w:p>
            <w:pPr>
              <w:jc w:val="right"/>
              <w:ind w:right="3950"/>
              <w:spacing w:after="0"/>
              <w:rPr>
                <w:sz w:val="20"/>
                <w:szCs w:val="20"/>
                <w:color w:val="auto"/>
              </w:rPr>
            </w:pPr>
            <w:r>
              <w:rPr>
                <w:rFonts w:ascii="Times New Roman" w:cs="Times New Roman" w:eastAsia="Times New Roman" w:hAnsi="Times New Roman"/>
                <w:sz w:val="18"/>
                <w:szCs w:val="18"/>
                <w:color w:val="auto"/>
              </w:rPr>
              <w:t>4-14-17</w:t>
            </w:r>
          </w:p>
        </w:tc>
      </w:tr>
      <w:tr>
        <w:trPr>
          <w:trHeight w:val="20"/>
        </w:trPr>
        <w:tc>
          <w:tcPr>
            <w:tcW w:w="18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218"/>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U. Rodriguez, M.B.A.</w:t>
            </w:r>
          </w:p>
        </w:tc>
        <w:tc>
          <w:tcPr>
            <w:tcW w:w="500" w:type="dxa"/>
            <w:vAlign w:val="bottom"/>
          </w:tcPr>
          <w:p>
            <w:pPr>
              <w:spacing w:after="0"/>
              <w:rPr>
                <w:sz w:val="18"/>
                <w:szCs w:val="18"/>
                <w:color w:val="auto"/>
              </w:rPr>
            </w:pPr>
          </w:p>
        </w:tc>
        <w:tc>
          <w:tcPr>
            <w:tcW w:w="46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Date</w:t>
            </w:r>
          </w:p>
        </w:tc>
      </w:tr>
      <w:tr>
        <w:trPr>
          <w:trHeight w:val="216"/>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Associate Director</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16"/>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Technology Transfer Center</w:t>
            </w:r>
          </w:p>
        </w:tc>
        <w:tc>
          <w:tcPr>
            <w:tcW w:w="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40" w:type="dxa"/>
            <w:vAlign w:val="bottom"/>
          </w:tcPr>
          <w:p>
            <w:pPr>
              <w:spacing w:after="0"/>
              <w:rPr>
                <w:sz w:val="18"/>
                <w:szCs w:val="18"/>
                <w:color w:val="auto"/>
              </w:rPr>
            </w:pPr>
          </w:p>
        </w:tc>
      </w:tr>
      <w:tr>
        <w:trPr>
          <w:trHeight w:val="234"/>
        </w:trPr>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National Cancer Institute</w:t>
            </w:r>
          </w:p>
        </w:tc>
        <w:tc>
          <w:tcPr>
            <w:tcW w:w="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40" w:type="dxa"/>
            <w:vAlign w:val="bottom"/>
          </w:tcPr>
          <w:p>
            <w:pPr>
              <w:spacing w:after="0"/>
              <w:rPr>
                <w:sz w:val="20"/>
                <w:szCs w:val="20"/>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Mailing Address or E-mail Address for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notices and reports: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 Compliance and Administration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Monitoring &amp; Enforcement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National Institutes of Health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6011 Executive Boulevard, Suite 325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Rockville, Maryland 20852-3804 U.S.A.</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4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For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(Upon, information and belief, the undersigned expressly certifies or affirms that the contents of any statements of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made or referred to in this document are truthful and accurate.):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by:</w:t>
            </w: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2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 Werner Caultreels, Ph.D.</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4-27-17</w:t>
            </w:r>
          </w:p>
        </w:tc>
      </w:tr>
      <w:tr>
        <w:trPr>
          <w:trHeight w:val="20"/>
        </w:trPr>
        <w:tc>
          <w:tcPr>
            <w:tcW w:w="14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2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Signature of Authorized Official</w:t>
            </w:r>
          </w:p>
        </w:tc>
        <w:tc>
          <w:tcPr>
            <w:tcW w:w="460" w:type="dxa"/>
            <w:vAlign w:val="bottom"/>
          </w:tcPr>
          <w:p>
            <w:pPr>
              <w:spacing w:after="0"/>
              <w:rPr>
                <w:sz w:val="20"/>
                <w:szCs w:val="20"/>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w w:val="94"/>
              </w:rPr>
              <w:t>Date</w:t>
            </w:r>
          </w:p>
        </w:tc>
      </w:tr>
      <w:tr>
        <w:trPr>
          <w:trHeight w:val="392"/>
        </w:trPr>
        <w:tc>
          <w:tcPr>
            <w:tcW w:w="17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Werner Cautreels, Ph.D.</w:t>
            </w:r>
          </w:p>
        </w:tc>
        <w:tc>
          <w:tcPr>
            <w:tcW w:w="1060" w:type="dxa"/>
            <w:vAlign w:val="bottom"/>
            <w:gridSpan w:val="2"/>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2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Printed Name</w:t>
            </w: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2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CEO and Chairman</w:t>
            </w: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7"/>
        </w:trPr>
        <w:tc>
          <w:tcPr>
            <w:tcW w:w="1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Title</w:t>
            </w:r>
          </w:p>
        </w:tc>
        <w:tc>
          <w:tcPr>
            <w:tcW w:w="1400" w:type="dxa"/>
            <w:vAlign w:val="bottom"/>
            <w:gridSpan w:val="3"/>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r>
    </w:tbl>
    <w:p>
      <w:pPr>
        <w:spacing w:after="0" w:line="194" w:lineRule="exact"/>
        <w:rPr>
          <w:sz w:val="20"/>
          <w:szCs w:val="20"/>
          <w:color w:val="auto"/>
        </w:rPr>
      </w:pPr>
    </w:p>
    <w:p>
      <w:pPr>
        <w:ind w:left="660" w:hanging="166"/>
        <w:spacing w:after="0"/>
        <w:tabs>
          <w:tab w:leader="none" w:pos="660"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Official and Mailing Address for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notices:</w:t>
      </w:r>
    </w:p>
    <w:p>
      <w:pPr>
        <w:spacing w:after="0" w:line="229" w:lineRule="exact"/>
        <w:rPr>
          <w:rFonts w:ascii="Times New Roman" w:cs="Times New Roman" w:eastAsia="Times New Roman" w:hAnsi="Times New Roman"/>
          <w:sz w:val="18"/>
          <w:szCs w:val="18"/>
          <w:color w:val="auto"/>
        </w:rPr>
      </w:pPr>
    </w:p>
    <w:p>
      <w:pPr>
        <w:ind w:left="660" w:right="9020"/>
        <w:spacing w:after="0" w:line="27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David Abraham General Counsel Selecta Biosciences</w:t>
      </w:r>
    </w:p>
    <w:p>
      <w:pPr>
        <w:spacing w:after="0" w:line="1" w:lineRule="exact"/>
        <w:rPr>
          <w:rFonts w:ascii="Times New Roman" w:cs="Times New Roman" w:eastAsia="Times New Roman" w:hAnsi="Times New Roman"/>
          <w:sz w:val="18"/>
          <w:szCs w:val="18"/>
          <w:color w:val="auto"/>
        </w:rPr>
      </w:pPr>
    </w:p>
    <w:p>
      <w:pPr>
        <w:ind w:left="660" w:right="80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480 Arsenal Street, Building One Watertown, MA 02472</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Phone: (617) 923-1400</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93" w:lineRule="exact"/>
        <w:rPr>
          <w:rFonts w:ascii="Times New Roman" w:cs="Times New Roman" w:eastAsia="Times New Roman" w:hAnsi="Times New Roman"/>
          <w:sz w:val="18"/>
          <w:szCs w:val="18"/>
          <w:color w:val="auto"/>
        </w:rPr>
      </w:pPr>
    </w:p>
    <w:p>
      <w:pPr>
        <w:ind w:right="3680" w:firstLine="8"/>
        <w:spacing w:after="0" w:line="282" w:lineRule="auto"/>
        <w:tabs>
          <w:tab w:leader="none" w:pos="348"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A-035-2017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NIH </w:t>
      </w:r>
      <w:r>
        <w:rPr>
          <w:rFonts w:ascii="Times New Roman" w:cs="Times New Roman" w:eastAsia="Times New Roman" w:hAnsi="Times New Roman"/>
          <w:sz w:val="14"/>
          <w:szCs w:val="14"/>
          <w:color w:val="auto"/>
        </w:rPr>
        <w:t>Patent License Agreement--</w:t>
      </w:r>
      <w:r>
        <w:rPr>
          <w:rFonts w:ascii="Times New Roman" w:cs="Times New Roman" w:eastAsia="Times New Roman" w:hAnsi="Times New Roman"/>
          <w:sz w:val="14"/>
          <w:szCs w:val="14"/>
          <w:i w:val="1"/>
          <w:iCs w:val="1"/>
          <w:color w:val="auto"/>
        </w:rPr>
        <w:t>Exclusive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Model 10-2015 [Final] [Selecta Biosciences] [3 April 2017]</w:t>
      </w:r>
    </w:p>
    <w:p>
      <w:pPr>
        <w:sectPr>
          <w:pgSz w:w="11900" w:h="16838" w:orient="portrait"/>
          <w:cols w:equalWidth="0" w:num="1">
            <w:col w:w="11100"/>
          </w:cols>
          <w:pgMar w:left="240" w:top="360" w:right="559" w:bottom="1440" w:gutter="0" w:footer="0" w:header="0"/>
        </w:sectPr>
      </w:pPr>
    </w:p>
    <w:bookmarkStart w:id="110" w:name="page111"/>
    <w:bookmarkEnd w:id="110"/>
    <w:p>
      <w:pPr>
        <w:ind w:left="660" w:hanging="193"/>
        <w:spacing w:after="0"/>
        <w:tabs>
          <w:tab w:leader="none" w:pos="66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Official and Mailing Address for Financial notices (the </w:t>
      </w:r>
      <w:r>
        <w:rPr>
          <w:rFonts w:ascii="Times New Roman" w:cs="Times New Roman" w:eastAsia="Times New Roman" w:hAnsi="Times New Roman"/>
          <w:sz w:val="18"/>
          <w:szCs w:val="18"/>
          <w:b w:val="1"/>
          <w:bCs w:val="1"/>
          <w:color w:val="auto"/>
        </w:rPr>
        <w:t>Licensee’s</w:t>
      </w:r>
      <w:r>
        <w:rPr>
          <w:rFonts w:ascii="Times New Roman" w:cs="Times New Roman" w:eastAsia="Times New Roman" w:hAnsi="Times New Roman"/>
          <w:sz w:val="18"/>
          <w:szCs w:val="18"/>
          <w:color w:val="auto"/>
        </w:rPr>
        <w:t xml:space="preserve"> contact person for royalty payments)</w:t>
      </w:r>
    </w:p>
    <w:p>
      <w:pPr>
        <w:spacing w:after="0" w:line="229" w:lineRule="exact"/>
        <w:rPr>
          <w:rFonts w:ascii="Times New Roman" w:cs="Times New Roman" w:eastAsia="Times New Roman" w:hAnsi="Times New Roman"/>
          <w:sz w:val="18"/>
          <w:szCs w:val="18"/>
          <w:color w:val="auto"/>
        </w:rPr>
      </w:pPr>
    </w:p>
    <w:p>
      <w:pPr>
        <w:ind w:left="660" w:right="9240"/>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David Siewers Selecta Biosciences</w:t>
      </w:r>
    </w:p>
    <w:p>
      <w:pPr>
        <w:ind w:left="660" w:right="82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480 Arsenal Street, Building One Watertown, MA 02472</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Phone: (617) 923-1400</w:t>
      </w:r>
    </w:p>
    <w:p>
      <w:pPr>
        <w:spacing w:after="0" w:line="9"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660"/>
        <w:spacing w:after="0" w:line="26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false or misleading statements made, presented, or submitted to the </w:t>
      </w:r>
      <w:r>
        <w:rPr>
          <w:rFonts w:ascii="Times New Roman" w:cs="Times New Roman" w:eastAsia="Times New Roman" w:hAnsi="Times New Roman"/>
          <w:sz w:val="18"/>
          <w:szCs w:val="18"/>
          <w:b w:val="1"/>
          <w:bCs w:val="1"/>
          <w:color w:val="auto"/>
        </w:rPr>
        <w:t>Government</w:t>
      </w:r>
      <w:r>
        <w:rPr>
          <w:rFonts w:ascii="Times New Roman" w:cs="Times New Roman" w:eastAsia="Times New Roman" w:hAnsi="Times New Roman"/>
          <w:sz w:val="18"/>
          <w:szCs w:val="18"/>
          <w:color w:val="auto"/>
        </w:rPr>
        <w:t xml:space="preserve">, including any relevant omissions, under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and during the course of negotiation 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are subject to all applicable civil and criminal statutes including Federal statutes </w:t>
      </w:r>
      <w:r>
        <w:rPr>
          <w:rFonts w:ascii="Times New Roman" w:cs="Times New Roman" w:eastAsia="Times New Roman" w:hAnsi="Times New Roman"/>
          <w:sz w:val="18"/>
          <w:szCs w:val="18"/>
          <w:u w:val="single" w:color="auto"/>
          <w:color w:val="0000FF"/>
        </w:rPr>
        <w:t>31 U.S.C.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§§3801-3812</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(civil liability) and</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18 U.S.C. §1001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(criminal liability including fine(s) or imprisonment).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29"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Confidential treatment has been requested with respect to the omitted portions.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A-035-2017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NIH </w:t>
      </w:r>
      <w:r>
        <w:rPr>
          <w:rFonts w:ascii="Times New Roman" w:cs="Times New Roman" w:eastAsia="Times New Roman" w:hAnsi="Times New Roman"/>
          <w:sz w:val="14"/>
          <w:szCs w:val="14"/>
          <w:color w:val="auto"/>
        </w:rPr>
        <w:t>Patent License Agreement--</w:t>
      </w:r>
      <w:r>
        <w:rPr>
          <w:rFonts w:ascii="Times New Roman" w:cs="Times New Roman" w:eastAsia="Times New Roman" w:hAnsi="Times New Roman"/>
          <w:sz w:val="14"/>
          <w:szCs w:val="14"/>
          <w:i w:val="1"/>
          <w:iCs w:val="1"/>
          <w:color w:val="auto"/>
        </w:rPr>
        <w:t>Exclusive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Model 10-2015 [Final] [Selecta Biosciences] [3 April 2017]</w:t>
      </w:r>
    </w:p>
    <w:p>
      <w:pPr>
        <w:sectPr>
          <w:pgSz w:w="11900" w:h="16838" w:orient="portrait"/>
          <w:cols w:equalWidth="0" w:num="1">
            <w:col w:w="11320"/>
          </w:cols>
          <w:pgMar w:left="240" w:top="576" w:right="339" w:bottom="1440" w:gutter="0" w:footer="0" w:header="0"/>
        </w:sectPr>
      </w:pPr>
    </w:p>
    <w:bookmarkStart w:id="111" w:name="page112"/>
    <w:bookmarkEnd w:id="111"/>
    <w:p>
      <w:pPr>
        <w:jc w:val="right"/>
        <w:ind w:right="2579"/>
        <w:spacing w:after="0"/>
        <w:rPr>
          <w:sz w:val="20"/>
          <w:szCs w:val="20"/>
          <w:color w:val="auto"/>
        </w:rPr>
      </w:pPr>
      <w:r>
        <w:rPr>
          <w:rFonts w:ascii="Times New Roman" w:cs="Times New Roman" w:eastAsia="Times New Roman" w:hAnsi="Times New Roman"/>
          <w:sz w:val="18"/>
          <w:szCs w:val="18"/>
          <w:b w:val="1"/>
          <w:bCs w:val="1"/>
          <w:u w:val="single" w:color="auto"/>
          <w:color w:val="auto"/>
        </w:rPr>
        <w:t>APPENDIX A - Patent(s) or Patent Application(s)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Patent(s) or Patent Application(s):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Group A </w:t>
      </w:r>
      <w:r>
        <w:rPr>
          <w:rFonts w:ascii="Times New Roman" w:cs="Times New Roman" w:eastAsia="Times New Roman" w:hAnsi="Times New Roman"/>
          <w:sz w:val="18"/>
          <w:szCs w:val="18"/>
          <w:u w:val="single" w:color="auto"/>
          <w:color w:val="auto"/>
        </w:rPr>
        <w:t>(Exclusive Rights)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u w:val="single" w:color="auto"/>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Group B </w:t>
      </w:r>
      <w:r>
        <w:rPr>
          <w:rFonts w:ascii="Times New Roman" w:cs="Times New Roman" w:eastAsia="Times New Roman" w:hAnsi="Times New Roman"/>
          <w:sz w:val="18"/>
          <w:szCs w:val="18"/>
          <w:u w:val="single" w:color="auto"/>
          <w:color w:val="auto"/>
        </w:rPr>
        <w:t>(Non-exclusive Rights)</w:t>
      </w:r>
    </w:p>
    <w:p>
      <w:pPr>
        <w:spacing w:after="0" w:line="2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w:t>
      </w:r>
    </w:p>
    <w:p>
      <w:pPr>
        <w:spacing w:after="0" w:line="200" w:lineRule="exact"/>
        <w:rPr>
          <w:sz w:val="20"/>
          <w:szCs w:val="20"/>
          <w:color w:val="auto"/>
        </w:rPr>
      </w:pPr>
    </w:p>
    <w:p>
      <w:pPr>
        <w:spacing w:after="0" w:line="264" w:lineRule="exact"/>
        <w:rPr>
          <w:sz w:val="20"/>
          <w:szCs w:val="20"/>
          <w:color w:val="auto"/>
        </w:rPr>
      </w:pPr>
    </w:p>
    <w:p>
      <w:pPr>
        <w:ind w:right="2799" w:firstLine="8"/>
        <w:spacing w:after="0" w:line="282" w:lineRule="auto"/>
        <w:tabs>
          <w:tab w:leader="none" w:pos="348"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A-035-2017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NIH </w:t>
      </w:r>
      <w:r>
        <w:rPr>
          <w:rFonts w:ascii="Times New Roman" w:cs="Times New Roman" w:eastAsia="Times New Roman" w:hAnsi="Times New Roman"/>
          <w:sz w:val="14"/>
          <w:szCs w:val="14"/>
          <w:color w:val="auto"/>
        </w:rPr>
        <w:t>Patent License Agreement--</w:t>
      </w:r>
      <w:r>
        <w:rPr>
          <w:rFonts w:ascii="Times New Roman" w:cs="Times New Roman" w:eastAsia="Times New Roman" w:hAnsi="Times New Roman"/>
          <w:sz w:val="14"/>
          <w:szCs w:val="14"/>
          <w:i w:val="1"/>
          <w:iCs w:val="1"/>
          <w:color w:val="auto"/>
        </w:rPr>
        <w:t>Exclusive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Model 10-2015 [Final] [Selecta Biosciences] [3 April 2017]</w:t>
      </w:r>
    </w:p>
    <w:p>
      <w:pPr>
        <w:sectPr>
          <w:pgSz w:w="11900" w:h="16838" w:orient="portrait"/>
          <w:cols w:equalWidth="0" w:num="1">
            <w:col w:w="10219"/>
          </w:cols>
          <w:pgMar w:left="240" w:top="360" w:right="1440" w:bottom="1440" w:gutter="0" w:footer="0" w:header="0"/>
        </w:sectPr>
      </w:pPr>
    </w:p>
    <w:bookmarkStart w:id="112" w:name="page113"/>
    <w:bookmarkEnd w:id="112"/>
    <w:p>
      <w:pPr>
        <w:ind w:left="3700"/>
        <w:spacing w:after="0"/>
        <w:rPr>
          <w:sz w:val="20"/>
          <w:szCs w:val="20"/>
          <w:color w:val="auto"/>
        </w:rPr>
      </w:pPr>
      <w:r>
        <w:rPr>
          <w:rFonts w:ascii="Times New Roman" w:cs="Times New Roman" w:eastAsia="Times New Roman" w:hAnsi="Times New Roman"/>
          <w:sz w:val="18"/>
          <w:szCs w:val="18"/>
          <w:b w:val="1"/>
          <w:bCs w:val="1"/>
          <w:u w:val="single" w:color="auto"/>
          <w:color w:val="auto"/>
        </w:rPr>
        <w:t>APPENDIX B - Licensed Fields of Use and Territory</w:t>
      </w:r>
    </w:p>
    <w:p>
      <w:pPr>
        <w:spacing w:after="0" w:line="200" w:lineRule="exact"/>
        <w:rPr>
          <w:sz w:val="20"/>
          <w:szCs w:val="20"/>
          <w:color w:val="auto"/>
        </w:rPr>
      </w:pPr>
    </w:p>
    <w:p>
      <w:pPr>
        <w:spacing w:after="0" w:line="241" w:lineRule="exact"/>
        <w:rPr>
          <w:sz w:val="20"/>
          <w:szCs w:val="20"/>
          <w:color w:val="auto"/>
        </w:rPr>
      </w:pPr>
    </w:p>
    <w:p>
      <w:pPr>
        <w:ind w:left="660" w:hanging="652"/>
        <w:spacing w:after="0"/>
        <w:tabs>
          <w:tab w:leader="none" w:pos="66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Licensed Fields of Use:</w:t>
      </w:r>
    </w:p>
    <w:p>
      <w:pPr>
        <w:spacing w:after="0" w:line="107" w:lineRule="exact"/>
        <w:rPr>
          <w:rFonts w:ascii="Times New Roman" w:cs="Times New Roman" w:eastAsia="Times New Roman" w:hAnsi="Times New Roman"/>
          <w:sz w:val="18"/>
          <w:szCs w:val="18"/>
          <w:color w:val="auto"/>
        </w:rPr>
      </w:pPr>
    </w:p>
    <w:p>
      <w:pPr>
        <w:ind w:left="660" w:right="1719"/>
        <w:spacing w:after="0" w:line="4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anti-mesothelin targeted immunotoxins for the treatment of mesothelin-expressing cancers, [***]. For purposes of clarity, the immunotoxin [***]</w:t>
      </w:r>
      <w:r>
        <w:rPr>
          <w:rFonts w:ascii="Times New Roman" w:cs="Times New Roman" w:eastAsia="Times New Roman" w:hAnsi="Times New Roman"/>
          <w:sz w:val="18"/>
          <w:szCs w:val="18"/>
          <w:b w:val="1"/>
          <w:bCs w:val="1"/>
          <w:color w:val="auto"/>
        </w:rPr>
        <w:t>.</w:t>
      </w:r>
    </w:p>
    <w:p>
      <w:pPr>
        <w:spacing w:after="0" w:line="2" w:lineRule="exact"/>
        <w:rPr>
          <w:sz w:val="20"/>
          <w:szCs w:val="20"/>
          <w:color w:val="auto"/>
        </w:rPr>
      </w:pPr>
    </w:p>
    <w:p>
      <w:pPr>
        <w:ind w:left="660" w:right="8059" w:hanging="652"/>
        <w:spacing w:after="0" w:line="583" w:lineRule="auto"/>
        <w:tabs>
          <w:tab w:leader="none" w:pos="66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Licensed Territory: </w:t>
      </w:r>
      <w:r>
        <w:rPr>
          <w:rFonts w:ascii="Times New Roman" w:cs="Times New Roman" w:eastAsia="Times New Roman" w:hAnsi="Times New Roman"/>
          <w:sz w:val="17"/>
          <w:szCs w:val="17"/>
          <w:color w:val="auto"/>
        </w:rPr>
        <w:t>Worldwide</w:t>
      </w:r>
    </w:p>
    <w:p>
      <w:pPr>
        <w:spacing w:after="0" w:line="373" w:lineRule="exact"/>
        <w:rPr>
          <w:sz w:val="20"/>
          <w:szCs w:val="20"/>
          <w:color w:val="auto"/>
        </w:rPr>
      </w:pPr>
    </w:p>
    <w:p>
      <w:pPr>
        <w:ind w:right="2799" w:firstLine="8"/>
        <w:spacing w:after="0" w:line="282" w:lineRule="auto"/>
        <w:tabs>
          <w:tab w:leader="none" w:pos="348" w:val="left"/>
        </w:tabs>
        <w:numPr>
          <w:ilvl w:val="0"/>
          <w:numId w:val="8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A-035-2017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NIH </w:t>
      </w:r>
      <w:r>
        <w:rPr>
          <w:rFonts w:ascii="Times New Roman" w:cs="Times New Roman" w:eastAsia="Times New Roman" w:hAnsi="Times New Roman"/>
          <w:sz w:val="14"/>
          <w:szCs w:val="14"/>
          <w:color w:val="auto"/>
        </w:rPr>
        <w:t>Patent License Agreement--</w:t>
      </w:r>
      <w:r>
        <w:rPr>
          <w:rFonts w:ascii="Times New Roman" w:cs="Times New Roman" w:eastAsia="Times New Roman" w:hAnsi="Times New Roman"/>
          <w:sz w:val="14"/>
          <w:szCs w:val="14"/>
          <w:i w:val="1"/>
          <w:iCs w:val="1"/>
          <w:color w:val="auto"/>
        </w:rPr>
        <w:t>Exclusive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Model 10-2015 [Final] [Selecta Biosciences] [3 April 2017]</w:t>
      </w:r>
    </w:p>
    <w:p>
      <w:pPr>
        <w:sectPr>
          <w:pgSz w:w="11900" w:h="16838" w:orient="portrait"/>
          <w:cols w:equalWidth="0" w:num="1">
            <w:col w:w="10219"/>
          </w:cols>
          <w:pgMar w:left="240" w:top="360" w:right="1440" w:bottom="1440" w:gutter="0" w:footer="0" w:header="0"/>
        </w:sectPr>
      </w:pPr>
    </w:p>
    <w:bookmarkStart w:id="113" w:name="page114"/>
    <w:bookmarkEnd w:id="113"/>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APPENDIX C - Royalties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Royalties:</w:t>
      </w:r>
    </w:p>
    <w:p>
      <w:pPr>
        <w:spacing w:after="0" w:line="200" w:lineRule="exact"/>
        <w:rPr>
          <w:sz w:val="20"/>
          <w:szCs w:val="20"/>
          <w:color w:val="auto"/>
        </w:rPr>
      </w:pPr>
    </w:p>
    <w:p>
      <w:pPr>
        <w:spacing w:after="0" w:line="241" w:lineRule="exact"/>
        <w:rPr>
          <w:sz w:val="20"/>
          <w:szCs w:val="20"/>
          <w:color w:val="auto"/>
        </w:rPr>
      </w:pPr>
    </w:p>
    <w:p>
      <w:pPr>
        <w:ind w:left="660" w:hanging="652"/>
        <w:spacing w:after="0" w:line="286" w:lineRule="auto"/>
        <w:tabs>
          <w:tab w:leader="none" w:pos="66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agrees to pay to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a noncreditable, nonrefundable license issue royalty in the amount of fifty thousand dollars ($50,000.00) within </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the effective date of this</w:t>
      </w:r>
      <w:r>
        <w:rPr>
          <w:rFonts w:ascii="Times New Roman" w:cs="Times New Roman" w:eastAsia="Times New Roman" w:hAnsi="Times New Roman"/>
          <w:sz w:val="18"/>
          <w:szCs w:val="18"/>
          <w:b w:val="1"/>
          <w:bCs w:val="1"/>
          <w:color w:val="auto"/>
        </w:rPr>
        <w:t xml:space="preserve"> Agreement.</w:t>
      </w:r>
    </w:p>
    <w:p>
      <w:pPr>
        <w:spacing w:after="0" w:line="155" w:lineRule="exact"/>
        <w:rPr>
          <w:sz w:val="20"/>
          <w:szCs w:val="20"/>
          <w:color w:val="auto"/>
        </w:rPr>
      </w:pPr>
    </w:p>
    <w:p>
      <w:pPr>
        <w:ind w:left="660" w:hanging="652"/>
        <w:spacing w:after="0"/>
        <w:tabs>
          <w:tab w:leader="none" w:pos="6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agrees to pay to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a nonrefundable minimum annual royalty in the amount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as follows: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first minimum annual royalty is due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the effective date of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and may be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left="980" w:right="420" w:hanging="324"/>
        <w:spacing w:after="0" w:line="286" w:lineRule="auto"/>
        <w:tabs>
          <w:tab w:leader="none" w:pos="980"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Subsequent minimum annual royalty payments are due and payable 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each calendar year and may be credited against any earned royalties due for sales made in that year.</w:t>
      </w:r>
    </w:p>
    <w:p>
      <w:pPr>
        <w:spacing w:after="0" w:line="155" w:lineRule="exact"/>
        <w:rPr>
          <w:sz w:val="20"/>
          <w:szCs w:val="20"/>
          <w:color w:val="auto"/>
        </w:rPr>
      </w:pPr>
    </w:p>
    <w:p>
      <w:pPr>
        <w:ind w:left="660" w:hanging="652"/>
        <w:spacing w:after="0"/>
        <w:tabs>
          <w:tab w:leader="none" w:pos="66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agrees to pay 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earned royalties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on </w:t>
      </w:r>
      <w:r>
        <w:rPr>
          <w:rFonts w:ascii="Times New Roman" w:cs="Times New Roman" w:eastAsia="Times New Roman" w:hAnsi="Times New Roman"/>
          <w:sz w:val="18"/>
          <w:szCs w:val="18"/>
          <w:b w:val="1"/>
          <w:bCs w:val="1"/>
          <w:color w:val="auto"/>
        </w:rPr>
        <w:t>Net Sales</w:t>
      </w:r>
      <w:r>
        <w:rPr>
          <w:rFonts w:ascii="Times New Roman" w:cs="Times New Roman" w:eastAsia="Times New Roman" w:hAnsi="Times New Roman"/>
          <w:sz w:val="18"/>
          <w:szCs w:val="18"/>
          <w:color w:val="auto"/>
        </w:rPr>
        <w:t xml:space="preserve"> by or on behalf of 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and its sublicensees.</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IV.</w:t>
      </w:r>
      <w:r>
        <w:rPr>
          <w:rFonts w:ascii="Times New Roman" w:cs="Times New Roman" w:eastAsia="Times New Roman" w:hAnsi="Times New Roman"/>
          <w:sz w:val="17"/>
          <w:szCs w:val="17"/>
          <w:b w:val="1"/>
          <w:bCs w:val="1"/>
          <w:color w:val="auto"/>
        </w:rPr>
        <w:t xml:space="preserve">Licensee </w:t>
      </w:r>
      <w:r>
        <w:rPr>
          <w:rFonts w:ascii="Times New Roman" w:cs="Times New Roman" w:eastAsia="Times New Roman" w:hAnsi="Times New Roman"/>
          <w:sz w:val="17"/>
          <w:szCs w:val="17"/>
          <w:color w:val="auto"/>
        </w:rPr>
        <w:t>agrees to pay</w:t>
      </w:r>
      <w:r>
        <w:rPr>
          <w:rFonts w:ascii="Times New Roman" w:cs="Times New Roman" w:eastAsia="Times New Roman" w:hAnsi="Times New Roman"/>
          <w:sz w:val="17"/>
          <w:szCs w:val="17"/>
          <w:b w:val="1"/>
          <w:bCs w:val="1"/>
          <w:color w:val="auto"/>
        </w:rPr>
        <w:t xml:space="preserve"> NIH Benchmark </w:t>
      </w:r>
      <w:r>
        <w:rPr>
          <w:rFonts w:ascii="Times New Roman" w:cs="Times New Roman" w:eastAsia="Times New Roman" w:hAnsi="Times New Roman"/>
          <w:sz w:val="17"/>
          <w:szCs w:val="17"/>
          <w:color w:val="auto"/>
        </w:rPr>
        <w:t>royalties within</w:t>
      </w:r>
      <w:r>
        <w:rPr>
          <w:rFonts w:ascii="Times New Roman" w:cs="Times New Roman" w:eastAsia="Times New Roman" w:hAnsi="Times New Roman"/>
          <w:sz w:val="17"/>
          <w:szCs w:val="17"/>
          <w:b w:val="1"/>
          <w:bCs w:val="1"/>
          <w:color w:val="auto"/>
        </w:rPr>
        <w:t xml:space="preserve"> [***] </w:t>
      </w:r>
      <w:r>
        <w:rPr>
          <w:rFonts w:ascii="Times New Roman" w:cs="Times New Roman" w:eastAsia="Times New Roman" w:hAnsi="Times New Roman"/>
          <w:sz w:val="17"/>
          <w:szCs w:val="17"/>
          <w:color w:val="auto"/>
        </w:rPr>
        <w:t>of achieving each</w:t>
      </w:r>
      <w:r>
        <w:rPr>
          <w:rFonts w:ascii="Times New Roman" w:cs="Times New Roman" w:eastAsia="Times New Roman" w:hAnsi="Times New Roman"/>
          <w:sz w:val="17"/>
          <w:szCs w:val="17"/>
          <w:b w:val="1"/>
          <w:bCs w:val="1"/>
          <w:color w:val="auto"/>
        </w:rPr>
        <w:t xml:space="preserve"> Benchmark </w:t>
      </w:r>
      <w:r>
        <w:rPr>
          <w:rFonts w:ascii="Times New Roman" w:cs="Times New Roman" w:eastAsia="Times New Roman" w:hAnsi="Times New Roman"/>
          <w:sz w:val="17"/>
          <w:szCs w:val="17"/>
          <w:color w:val="auto"/>
        </w:rPr>
        <w:t>set forth below.</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Benchmark </w:t>
      </w:r>
      <w:r>
        <w:rPr>
          <w:rFonts w:ascii="Times New Roman" w:cs="Times New Roman" w:eastAsia="Times New Roman" w:hAnsi="Times New Roman"/>
          <w:sz w:val="18"/>
          <w:szCs w:val="18"/>
          <w:color w:val="auto"/>
        </w:rPr>
        <w:t>#1- The first to occur of:</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or</w:t>
      </w:r>
    </w:p>
    <w:p>
      <w:pPr>
        <w:spacing w:after="0" w:line="3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Benchmark </w:t>
      </w:r>
      <w:r>
        <w:rPr>
          <w:rFonts w:ascii="Times New Roman" w:cs="Times New Roman" w:eastAsia="Times New Roman" w:hAnsi="Times New Roman"/>
          <w:sz w:val="18"/>
          <w:szCs w:val="18"/>
          <w:color w:val="auto"/>
        </w:rPr>
        <w:t>#2- The first to occur of:</w:t>
      </w:r>
    </w:p>
    <w:p>
      <w:pPr>
        <w:spacing w:after="0" w:line="225"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or</w:t>
      </w:r>
    </w:p>
    <w:p>
      <w:pPr>
        <w:spacing w:after="0" w:line="31" w:lineRule="exact"/>
        <w:rPr>
          <w:rFonts w:ascii="Times New Roman" w:cs="Times New Roman" w:eastAsia="Times New Roman" w:hAnsi="Times New Roman"/>
          <w:sz w:val="18"/>
          <w:szCs w:val="18"/>
          <w:color w:val="auto"/>
        </w:rPr>
      </w:pPr>
    </w:p>
    <w:p>
      <w:pPr>
        <w:ind w:left="1960" w:hanging="655"/>
        <w:spacing w:after="0"/>
        <w:tabs>
          <w:tab w:leader="none" w:pos="1960"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p>
      <w:pPr>
        <w:spacing w:after="0" w:line="20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Benchmark </w:t>
      </w:r>
      <w:r>
        <w:rPr>
          <w:rFonts w:ascii="Times New Roman" w:cs="Times New Roman" w:eastAsia="Times New Roman" w:hAnsi="Times New Roman"/>
          <w:sz w:val="18"/>
          <w:szCs w:val="18"/>
          <w:color w:val="auto"/>
        </w:rPr>
        <w:t>#3-</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Benchmark </w:t>
      </w:r>
      <w:r>
        <w:rPr>
          <w:rFonts w:ascii="Times New Roman" w:cs="Times New Roman" w:eastAsia="Times New Roman" w:hAnsi="Times New Roman"/>
          <w:sz w:val="18"/>
          <w:szCs w:val="18"/>
          <w:color w:val="auto"/>
        </w:rPr>
        <w:t>#4-</w:t>
      </w:r>
      <w:r>
        <w:rPr>
          <w:rFonts w:ascii="Times New Roman" w:cs="Times New Roman" w:eastAsia="Times New Roman" w:hAnsi="Times New Roman"/>
          <w:sz w:val="18"/>
          <w:szCs w:val="18"/>
          <w:b w:val="1"/>
          <w:bCs w:val="1"/>
          <w:color w:val="auto"/>
        </w:rPr>
        <w:t xml:space="preserve"> [***] </w:t>
      </w:r>
      <w:r>
        <w:rPr>
          <w:rFonts w:ascii="Times New Roman" w:cs="Times New Roman" w:eastAsia="Times New Roman" w:hAnsi="Times New Roman"/>
          <w:sz w:val="18"/>
          <w:szCs w:val="18"/>
          <w:color w:val="auto"/>
        </w:rPr>
        <w:t>upon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hanging="652"/>
        <w:spacing w:after="0"/>
        <w:tabs>
          <w:tab w:leader="none" w:pos="66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Licensee </w:t>
      </w:r>
      <w:r>
        <w:rPr>
          <w:rFonts w:ascii="Times New Roman" w:cs="Times New Roman" w:eastAsia="Times New Roman" w:hAnsi="Times New Roman"/>
          <w:sz w:val="18"/>
          <w:szCs w:val="18"/>
          <w:color w:val="auto"/>
        </w:rPr>
        <w:t>agrees to pay</w:t>
      </w:r>
      <w:r>
        <w:rPr>
          <w:rFonts w:ascii="Times New Roman" w:cs="Times New Roman" w:eastAsia="Times New Roman" w:hAnsi="Times New Roman"/>
          <w:sz w:val="18"/>
          <w:szCs w:val="18"/>
          <w:b w:val="1"/>
          <w:bCs w:val="1"/>
          <w:color w:val="auto"/>
        </w:rPr>
        <w:t xml:space="preserve"> NIH </w:t>
      </w:r>
      <w:r>
        <w:rPr>
          <w:rFonts w:ascii="Times New Roman" w:cs="Times New Roman" w:eastAsia="Times New Roman" w:hAnsi="Times New Roman"/>
          <w:sz w:val="18"/>
          <w:szCs w:val="18"/>
          <w:color w:val="auto"/>
        </w:rPr>
        <w:t>additional sublicensing royalties in the following manner:</w:t>
      </w:r>
    </w:p>
    <w:p>
      <w:pPr>
        <w:spacing w:after="0" w:line="225" w:lineRule="exact"/>
        <w:rPr>
          <w:rFonts w:ascii="Times New Roman" w:cs="Times New Roman" w:eastAsia="Times New Roman" w:hAnsi="Times New Roman"/>
          <w:sz w:val="18"/>
          <w:szCs w:val="18"/>
          <w:color w:val="auto"/>
        </w:rPr>
      </w:pPr>
    </w:p>
    <w:p>
      <w:pPr>
        <w:ind w:left="980" w:right="380" w:hanging="324"/>
        <w:spacing w:after="0" w:line="286" w:lineRule="auto"/>
        <w:tabs>
          <w:tab w:leader="none" w:pos="98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sublicenses granted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 sublicensing royalty in the amount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on the fair market value of any consideration received for each sublicense is due no later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receives the consideration for each sublicense;</w:t>
      </w:r>
    </w:p>
    <w:p>
      <w:pPr>
        <w:spacing w:after="0" w:line="154" w:lineRule="exact"/>
        <w:rPr>
          <w:rFonts w:ascii="Times New Roman" w:cs="Times New Roman" w:eastAsia="Times New Roman" w:hAnsi="Times New Roman"/>
          <w:sz w:val="18"/>
          <w:szCs w:val="18"/>
          <w:color w:val="auto"/>
        </w:rPr>
      </w:pPr>
    </w:p>
    <w:p>
      <w:pPr>
        <w:ind w:left="980" w:right="380" w:hanging="324"/>
        <w:spacing w:after="0" w:line="286" w:lineRule="auto"/>
        <w:tabs>
          <w:tab w:leader="none" w:pos="98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sublicenses granted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 sublicensing royalty in the amount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on the fair market value of any consideration received for each sublicense is due no later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receives the consideration for each sublicense; and</w:t>
      </w:r>
    </w:p>
    <w:p>
      <w:pPr>
        <w:spacing w:after="0" w:line="154" w:lineRule="exact"/>
        <w:rPr>
          <w:rFonts w:ascii="Times New Roman" w:cs="Times New Roman" w:eastAsia="Times New Roman" w:hAnsi="Times New Roman"/>
          <w:sz w:val="18"/>
          <w:szCs w:val="18"/>
          <w:color w:val="auto"/>
        </w:rPr>
      </w:pPr>
    </w:p>
    <w:p>
      <w:pPr>
        <w:ind w:left="980" w:right="380" w:hanging="324"/>
        <w:spacing w:after="0" w:line="286" w:lineRule="auto"/>
        <w:tabs>
          <w:tab w:leader="none" w:pos="980" w:val="left"/>
        </w:tabs>
        <w:numPr>
          <w:ilvl w:val="1"/>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sublicenses granted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 sublicensing royalty in the amount of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on the fair market value of any consideration received for each sublicense is due no later than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after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receives the consideration for each sublicense.</w:t>
      </w:r>
    </w:p>
    <w:p>
      <w:pPr>
        <w:spacing w:after="0" w:line="398" w:lineRule="exact"/>
        <w:rPr>
          <w:sz w:val="20"/>
          <w:szCs w:val="20"/>
          <w:color w:val="auto"/>
        </w:rPr>
      </w:pPr>
    </w:p>
    <w:p>
      <w:pPr>
        <w:ind w:right="3980" w:firstLine="8"/>
        <w:spacing w:after="0" w:line="282" w:lineRule="auto"/>
        <w:tabs>
          <w:tab w:leader="none" w:pos="348" w:val="left"/>
        </w:tabs>
        <w:numPr>
          <w:ilvl w:val="0"/>
          <w:numId w:val="9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A-035-2017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NIH </w:t>
      </w:r>
      <w:r>
        <w:rPr>
          <w:rFonts w:ascii="Times New Roman" w:cs="Times New Roman" w:eastAsia="Times New Roman" w:hAnsi="Times New Roman"/>
          <w:sz w:val="14"/>
          <w:szCs w:val="14"/>
          <w:color w:val="auto"/>
        </w:rPr>
        <w:t>Patent License Agreement--</w:t>
      </w:r>
      <w:r>
        <w:rPr>
          <w:rFonts w:ascii="Times New Roman" w:cs="Times New Roman" w:eastAsia="Times New Roman" w:hAnsi="Times New Roman"/>
          <w:sz w:val="14"/>
          <w:szCs w:val="14"/>
          <w:i w:val="1"/>
          <w:iCs w:val="1"/>
          <w:color w:val="auto"/>
        </w:rPr>
        <w:t>Exclusive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Model 10-2015 [Final] [Selecta Biosciences] [3 April 2017]</w:t>
      </w:r>
    </w:p>
    <w:p>
      <w:pPr>
        <w:sectPr>
          <w:pgSz w:w="11900" w:h="16838" w:orient="portrait"/>
          <w:cols w:equalWidth="0" w:num="1">
            <w:col w:w="11400"/>
          </w:cols>
          <w:pgMar w:left="240" w:top="360" w:right="259" w:bottom="1440" w:gutter="0" w:footer="0" w:header="0"/>
        </w:sectPr>
      </w:pPr>
    </w:p>
    <w:bookmarkStart w:id="114" w:name="page115"/>
    <w:bookmarkEnd w:id="114"/>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t>APPENDIX D - Benchmarks and Performance</w:t>
      </w:r>
    </w:p>
    <w:p>
      <w:pPr>
        <w:spacing w:after="0" w:line="200" w:lineRule="exact"/>
        <w:rPr>
          <w:sz w:val="20"/>
          <w:szCs w:val="20"/>
          <w:color w:val="auto"/>
        </w:rPr>
      </w:pPr>
    </w:p>
    <w:p>
      <w:pPr>
        <w:spacing w:after="0" w:line="24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Licensee</w:t>
      </w:r>
      <w:r>
        <w:rPr>
          <w:rFonts w:ascii="Times New Roman" w:cs="Times New Roman" w:eastAsia="Times New Roman" w:hAnsi="Times New Roman"/>
          <w:sz w:val="18"/>
          <w:szCs w:val="18"/>
          <w:color w:val="auto"/>
        </w:rPr>
        <w:t xml:space="preserve"> agrees to the following </w:t>
      </w:r>
      <w:r>
        <w:rPr>
          <w:rFonts w:ascii="Times New Roman" w:cs="Times New Roman" w:eastAsia="Times New Roman" w:hAnsi="Times New Roman"/>
          <w:sz w:val="18"/>
          <w:szCs w:val="18"/>
          <w:b w:val="1"/>
          <w:bCs w:val="1"/>
          <w:color w:val="auto"/>
        </w:rPr>
        <w:t>Benchmarks</w:t>
      </w:r>
      <w:r>
        <w:rPr>
          <w:rFonts w:ascii="Times New Roman" w:cs="Times New Roman" w:eastAsia="Times New Roman" w:hAnsi="Times New Roman"/>
          <w:sz w:val="18"/>
          <w:szCs w:val="18"/>
          <w:color w:val="auto"/>
        </w:rPr>
        <w:t xml:space="preserve"> for its performance under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and, within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of achieving a </w:t>
      </w: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xml:space="preserve">, shall notify the </w:t>
      </w:r>
      <w:r>
        <w:rPr>
          <w:rFonts w:ascii="Times New Roman" w:cs="Times New Roman" w:eastAsia="Times New Roman" w:hAnsi="Times New Roman"/>
          <w:sz w:val="18"/>
          <w:szCs w:val="18"/>
          <w:b w:val="1"/>
          <w:bCs w:val="1"/>
          <w:color w:val="auto"/>
        </w:rPr>
        <w:t xml:space="preserve">IC </w:t>
      </w:r>
      <w:r>
        <w:rPr>
          <w:rFonts w:ascii="Times New Roman" w:cs="Times New Roman" w:eastAsia="Times New Roman" w:hAnsi="Times New Roman"/>
          <w:sz w:val="18"/>
          <w:szCs w:val="18"/>
          <w:color w:val="auto"/>
        </w:rPr>
        <w:t>that the</w:t>
      </w:r>
      <w:r>
        <w:rPr>
          <w:rFonts w:ascii="Times New Roman" w:cs="Times New Roman" w:eastAsia="Times New Roman" w:hAnsi="Times New Roman"/>
          <w:sz w:val="18"/>
          <w:szCs w:val="18"/>
          <w:b w:val="1"/>
          <w:bCs w:val="1"/>
          <w:color w:val="auto"/>
        </w:rPr>
        <w:t xml:space="preserve"> Benchmark </w:t>
      </w:r>
      <w:r>
        <w:rPr>
          <w:rFonts w:ascii="Times New Roman" w:cs="Times New Roman" w:eastAsia="Times New Roman" w:hAnsi="Times New Roman"/>
          <w:sz w:val="18"/>
          <w:szCs w:val="18"/>
          <w:color w:val="auto"/>
        </w:rPr>
        <w:t>has been achieved.</w:t>
      </w:r>
    </w:p>
    <w:p>
      <w:pPr>
        <w:spacing w:after="0" w:line="200" w:lineRule="exact"/>
        <w:rPr>
          <w:sz w:val="20"/>
          <w:szCs w:val="20"/>
          <w:color w:val="auto"/>
        </w:rPr>
      </w:pP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II.</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III.</w:t>
            </w:r>
          </w:p>
        </w:tc>
        <w:tc>
          <w:tcPr>
            <w:tcW w:w="7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36" w:lineRule="exact"/>
        <w:rPr>
          <w:sz w:val="20"/>
          <w:szCs w:val="20"/>
          <w:color w:val="auto"/>
        </w:rPr>
      </w:pPr>
    </w:p>
    <w:p>
      <w:pPr>
        <w:ind w:right="3840" w:firstLine="8"/>
        <w:spacing w:after="0" w:line="282" w:lineRule="auto"/>
        <w:tabs>
          <w:tab w:leader="none" w:pos="348" w:val="left"/>
        </w:tabs>
        <w:numPr>
          <w:ilvl w:val="0"/>
          <w:numId w:val="9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A-035-2017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NIH </w:t>
      </w:r>
      <w:r>
        <w:rPr>
          <w:rFonts w:ascii="Times New Roman" w:cs="Times New Roman" w:eastAsia="Times New Roman" w:hAnsi="Times New Roman"/>
          <w:sz w:val="14"/>
          <w:szCs w:val="14"/>
          <w:color w:val="auto"/>
        </w:rPr>
        <w:t>Patent License Agreement--</w:t>
      </w:r>
      <w:r>
        <w:rPr>
          <w:rFonts w:ascii="Times New Roman" w:cs="Times New Roman" w:eastAsia="Times New Roman" w:hAnsi="Times New Roman"/>
          <w:sz w:val="14"/>
          <w:szCs w:val="14"/>
          <w:i w:val="1"/>
          <w:iCs w:val="1"/>
          <w:color w:val="auto"/>
        </w:rPr>
        <w:t>Exclusive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Model 10-2015 [Final] [Selecta Biosciences] [3 April 2017]</w:t>
      </w:r>
    </w:p>
    <w:p>
      <w:pPr>
        <w:sectPr>
          <w:pgSz w:w="11900" w:h="16838" w:orient="portrait"/>
          <w:cols w:equalWidth="0" w:num="1">
            <w:col w:w="11260"/>
          </w:cols>
          <w:pgMar w:left="240" w:top="360" w:right="399" w:bottom="1440" w:gutter="0" w:footer="0" w:header="0"/>
        </w:sectPr>
      </w:pPr>
    </w:p>
    <w:bookmarkStart w:id="115" w:name="page116"/>
    <w:bookmarkEnd w:id="115"/>
    <w:p>
      <w:pPr>
        <w:ind w:left="3900"/>
        <w:spacing w:after="0"/>
        <w:rPr>
          <w:sz w:val="20"/>
          <w:szCs w:val="20"/>
          <w:color w:val="auto"/>
        </w:rPr>
      </w:pPr>
      <w:r>
        <w:rPr>
          <w:rFonts w:ascii="Times New Roman" w:cs="Times New Roman" w:eastAsia="Times New Roman" w:hAnsi="Times New Roman"/>
          <w:sz w:val="18"/>
          <w:szCs w:val="18"/>
          <w:b w:val="1"/>
          <w:bCs w:val="1"/>
          <w:u w:val="single" w:color="auto"/>
          <w:color w:val="auto"/>
        </w:rPr>
        <w:t>APPENDIX E - Commercial Development Plan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content of commercial development plan set forth in the document below is incorporated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right="2799" w:firstLine="8"/>
        <w:spacing w:after="0" w:line="282" w:lineRule="auto"/>
        <w:tabs>
          <w:tab w:leader="none" w:pos="348" w:val="left"/>
        </w:tabs>
        <w:numPr>
          <w:ilvl w:val="0"/>
          <w:numId w:val="9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A-035-2017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NIH </w:t>
      </w:r>
      <w:r>
        <w:rPr>
          <w:rFonts w:ascii="Times New Roman" w:cs="Times New Roman" w:eastAsia="Times New Roman" w:hAnsi="Times New Roman"/>
          <w:sz w:val="14"/>
          <w:szCs w:val="14"/>
          <w:color w:val="auto"/>
        </w:rPr>
        <w:t>Patent License Agreement--</w:t>
      </w:r>
      <w:r>
        <w:rPr>
          <w:rFonts w:ascii="Times New Roman" w:cs="Times New Roman" w:eastAsia="Times New Roman" w:hAnsi="Times New Roman"/>
          <w:sz w:val="14"/>
          <w:szCs w:val="14"/>
          <w:i w:val="1"/>
          <w:iCs w:val="1"/>
          <w:color w:val="auto"/>
        </w:rPr>
        <w:t>Exclusive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Model 10-2015 [Final] [Selecta Biosciences] [3 April 2017]</w:t>
      </w:r>
    </w:p>
    <w:p>
      <w:pPr>
        <w:sectPr>
          <w:pgSz w:w="11900" w:h="16838" w:orient="portrait"/>
          <w:cols w:equalWidth="0" w:num="1">
            <w:col w:w="10219"/>
          </w:cols>
          <w:pgMar w:left="240" w:top="360" w:right="1440" w:bottom="1440" w:gutter="0" w:footer="0" w:header="0"/>
        </w:sectPr>
      </w:pPr>
    </w:p>
    <w:bookmarkStart w:id="116" w:name="page117"/>
    <w:bookmarkEnd w:id="11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Appendix F - Example Royalty Report</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royalty report information includes:</w:t>
      </w:r>
    </w:p>
    <w:p>
      <w:pPr>
        <w:spacing w:after="0" w:line="227" w:lineRule="exact"/>
        <w:rPr>
          <w:sz w:val="20"/>
          <w:szCs w:val="20"/>
          <w:color w:val="auto"/>
        </w:rPr>
      </w:pPr>
    </w:p>
    <w:p>
      <w:pPr>
        <w:ind w:left="340" w:hanging="332"/>
        <w:spacing w:after="0"/>
        <w:tabs>
          <w:tab w:leader="none" w:pos="34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License reference number (L-XXX-200X/0)</w:t>
      </w:r>
    </w:p>
    <w:p>
      <w:pPr>
        <w:spacing w:after="0" w:line="30"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Reporting period</w:t>
      </w:r>
    </w:p>
    <w:p>
      <w:pPr>
        <w:spacing w:after="0" w:line="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Catalog number and units sold of each Licensed Product (domestic and foreign)</w:t>
      </w:r>
    </w:p>
    <w:p>
      <w:pPr>
        <w:spacing w:after="0" w:line="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Gross Sales per catalog number per country</w:t>
      </w:r>
    </w:p>
    <w:p>
      <w:pPr>
        <w:spacing w:after="0" w:line="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Total Gross Sales</w:t>
      </w:r>
    </w:p>
    <w:p>
      <w:pPr>
        <w:spacing w:after="0" w:line="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Itemized deductions from Gross Sales</w:t>
      </w:r>
    </w:p>
    <w:p>
      <w:pPr>
        <w:spacing w:after="0" w:line="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Total Net Sales</w:t>
      </w:r>
    </w:p>
    <w:p>
      <w:pPr>
        <w:spacing w:after="0" w:line="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Earned Royalty Rate and associated calculations</w:t>
      </w:r>
    </w:p>
    <w:p>
      <w:pPr>
        <w:spacing w:after="0" w:line="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Gross Earned Royalty</w:t>
      </w:r>
    </w:p>
    <w:p>
      <w:pPr>
        <w:spacing w:after="0" w:line="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Adjustments for Minimum Annual Royalty (MAR) and other creditable payments made</w:t>
      </w:r>
    </w:p>
    <w:p>
      <w:pPr>
        <w:spacing w:after="0" w:line="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6"/>
        </w:numPr>
        <w:rPr>
          <w:rFonts w:ascii="Times New Roman" w:cs="Times New Roman" w:eastAsia="Times New Roman" w:hAnsi="Times New Roman"/>
          <w:sz w:val="18"/>
          <w:szCs w:val="18"/>
          <w:color w:val="auto"/>
        </w:rPr>
      </w:pPr>
      <w:r>
        <w:rPr>
          <w:rFonts w:ascii="Arial" w:cs="Arial" w:eastAsia="Arial" w:hAnsi="Arial"/>
          <w:sz w:val="18"/>
          <w:szCs w:val="18"/>
          <w:color w:val="auto"/>
        </w:rPr>
        <w:t>Net Earned Royalty due</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1820" w:type="dxa"/>
            <w:vAlign w:val="bottom"/>
          </w:tcPr>
          <w:p>
            <w:pPr>
              <w:spacing w:after="0"/>
              <w:rPr>
                <w:sz w:val="20"/>
                <w:szCs w:val="20"/>
                <w:color w:val="auto"/>
              </w:rPr>
            </w:pPr>
            <w:r>
              <w:rPr>
                <w:rFonts w:ascii="Arial" w:cs="Arial" w:eastAsia="Arial" w:hAnsi="Arial"/>
                <w:sz w:val="18"/>
                <w:szCs w:val="18"/>
                <w:b w:val="1"/>
                <w:bCs w:val="1"/>
                <w:color w:val="auto"/>
              </w:rPr>
              <w:t>Example</w:t>
            </w:r>
          </w:p>
        </w:tc>
        <w:tc>
          <w:tcPr>
            <w:tcW w:w="16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130"/>
        </w:trPr>
        <w:tc>
          <w:tcPr>
            <w:tcW w:w="182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1640" w:type="dxa"/>
            <w:vAlign w:val="bottom"/>
            <w:tcBorders>
              <w:bottom w:val="single" w:sz="8" w:color="auto"/>
            </w:tcBorders>
          </w:tcPr>
          <w:p>
            <w:pPr>
              <w:spacing w:after="0"/>
              <w:rPr>
                <w:sz w:val="11"/>
                <w:szCs w:val="11"/>
                <w:color w:val="auto"/>
              </w:rPr>
            </w:pPr>
          </w:p>
        </w:tc>
      </w:tr>
      <w:tr>
        <w:trPr>
          <w:trHeight w:val="243"/>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Catalog Number</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Product Name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66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Units Sold</w:t>
            </w:r>
          </w:p>
        </w:tc>
        <w:tc>
          <w:tcPr>
            <w:tcW w:w="164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Gross Sales (US$)</w:t>
            </w: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37"/>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US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250</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62,500</w:t>
            </w: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37"/>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UK</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32</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16,500</w:t>
            </w: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37"/>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France</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25</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15,625</w:t>
            </w: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37"/>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US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37"/>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US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57</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57,125</w:t>
            </w:r>
          </w:p>
        </w:tc>
      </w:tr>
      <w:tr>
        <w:trPr>
          <w:trHeight w:val="27"/>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r>
        <w:trPr>
          <w:trHeight w:val="237"/>
        </w:trPr>
        <w:tc>
          <w:tcPr>
            <w:tcW w:w="1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US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1,500</w:t>
            </w:r>
          </w:p>
        </w:tc>
      </w:tr>
      <w:tr>
        <w:trPr>
          <w:trHeight w:val="34"/>
        </w:trPr>
        <w:tc>
          <w:tcPr>
            <w:tcW w:w="1820" w:type="dxa"/>
            <w:vAlign w:val="bottom"/>
            <w:tcBorders>
              <w:left w:val="single" w:sz="8" w:color="auto"/>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640" w:type="dxa"/>
            <w:vAlign w:val="bottom"/>
            <w:tcBorders>
              <w:bottom w:val="single" w:sz="8" w:color="auto"/>
              <w:right w:val="single" w:sz="8" w:color="auto"/>
            </w:tcBorders>
          </w:tcPr>
          <w:p>
            <w:pPr>
              <w:spacing w:after="0"/>
              <w:rPr>
                <w:sz w:val="2"/>
                <w:szCs w:val="2"/>
                <w:color w:val="auto"/>
              </w:rPr>
            </w:pPr>
          </w:p>
        </w:tc>
      </w:tr>
    </w:tbl>
    <w:p>
      <w:pPr>
        <w:spacing w:after="0" w:line="360" w:lineRule="exact"/>
        <w:rPr>
          <w:sz w:val="20"/>
          <w:szCs w:val="20"/>
          <w:color w:val="auto"/>
        </w:rPr>
      </w:pPr>
    </w:p>
    <w:tbl>
      <w:tblPr>
        <w:tblLayout w:type="fixed"/>
        <w:tblInd w:w="7500" w:type="dxa"/>
        <w:tblCellMar>
          <w:top w:w="0" w:type="dxa"/>
          <w:left w:w="0" w:type="dxa"/>
          <w:bottom w:w="0" w:type="dxa"/>
          <w:right w:w="0" w:type="dxa"/>
        </w:tblCellMar>
      </w:tblPr>
      <w:tr>
        <w:trPr>
          <w:trHeight w:val="234"/>
        </w:trPr>
        <w:tc>
          <w:tcPr>
            <w:tcW w:w="26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Total Gross Sales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153,250</w:t>
            </w:r>
          </w:p>
        </w:tc>
      </w:tr>
      <w:tr>
        <w:trPr>
          <w:trHeight w:val="270"/>
        </w:trPr>
        <w:tc>
          <w:tcPr>
            <w:tcW w:w="2600" w:type="dxa"/>
            <w:vAlign w:val="bottom"/>
          </w:tcPr>
          <w:p>
            <w:pPr>
              <w:jc w:val="right"/>
              <w:ind w:right="1270"/>
              <w:spacing w:after="0"/>
              <w:rPr>
                <w:sz w:val="20"/>
                <w:szCs w:val="20"/>
                <w:color w:val="auto"/>
              </w:rPr>
            </w:pPr>
            <w:r>
              <w:rPr>
                <w:rFonts w:ascii="Times New Roman" w:cs="Times New Roman" w:eastAsia="Times New Roman" w:hAnsi="Times New Roman"/>
                <w:sz w:val="18"/>
                <w:szCs w:val="18"/>
                <w:color w:val="auto"/>
                <w:w w:val="97"/>
              </w:rPr>
              <w:t>Less Deductions:</w:t>
            </w:r>
          </w:p>
        </w:tc>
        <w:tc>
          <w:tcPr>
            <w:tcW w:w="1300" w:type="dxa"/>
            <w:vAlign w:val="bottom"/>
          </w:tcPr>
          <w:p>
            <w:pPr>
              <w:spacing w:after="0"/>
              <w:rPr>
                <w:sz w:val="23"/>
                <w:szCs w:val="23"/>
                <w:color w:val="auto"/>
              </w:rPr>
            </w:pPr>
          </w:p>
        </w:tc>
      </w:tr>
      <w:tr>
        <w:trPr>
          <w:trHeight w:val="270"/>
        </w:trPr>
        <w:tc>
          <w:tcPr>
            <w:tcW w:w="26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Freight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r>
      <w:tr>
        <w:trPr>
          <w:trHeight w:val="270"/>
        </w:trPr>
        <w:tc>
          <w:tcPr>
            <w:tcW w:w="26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Returns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r>
      <w:tr>
        <w:trPr>
          <w:trHeight w:val="270"/>
        </w:trPr>
        <w:tc>
          <w:tcPr>
            <w:tcW w:w="26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Total Net Sales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143,250</w:t>
            </w:r>
          </w:p>
        </w:tc>
      </w:tr>
      <w:tr>
        <w:trPr>
          <w:trHeight w:val="594"/>
        </w:trPr>
        <w:tc>
          <w:tcPr>
            <w:tcW w:w="26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Royalty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70"/>
        </w:trPr>
        <w:tc>
          <w:tcPr>
            <w:tcW w:w="26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Royalty Due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11,460</w:t>
            </w:r>
          </w:p>
        </w:tc>
      </w:tr>
      <w:tr>
        <w:trPr>
          <w:trHeight w:val="270"/>
        </w:trPr>
        <w:tc>
          <w:tcPr>
            <w:tcW w:w="26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Less Creditable Payments</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70"/>
        </w:trPr>
        <w:tc>
          <w:tcPr>
            <w:tcW w:w="260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Net Royalty Due</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A-035-2017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NIH </w:t>
      </w:r>
      <w:r>
        <w:rPr>
          <w:rFonts w:ascii="Times New Roman" w:cs="Times New Roman" w:eastAsia="Times New Roman" w:hAnsi="Times New Roman"/>
          <w:sz w:val="14"/>
          <w:szCs w:val="14"/>
          <w:color w:val="auto"/>
        </w:rPr>
        <w:t>Patent License Agreement--</w:t>
      </w:r>
      <w:r>
        <w:rPr>
          <w:rFonts w:ascii="Times New Roman" w:cs="Times New Roman" w:eastAsia="Times New Roman" w:hAnsi="Times New Roman"/>
          <w:sz w:val="14"/>
          <w:szCs w:val="14"/>
          <w:i w:val="1"/>
          <w:iCs w:val="1"/>
          <w:color w:val="auto"/>
        </w:rPr>
        <w:t>Exclusive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Model 10-2015 [Final] [Selecta Biosciences] [3 April 2017]</w:t>
      </w:r>
    </w:p>
    <w:p>
      <w:pPr>
        <w:sectPr>
          <w:pgSz w:w="11900" w:h="16838" w:orient="portrait"/>
          <w:cols w:equalWidth="0" w:num="1">
            <w:col w:w="11400"/>
          </w:cols>
          <w:pgMar w:left="240" w:top="360" w:right="259" w:bottom="1440" w:gutter="0" w:footer="0" w:header="0"/>
        </w:sectPr>
      </w:pPr>
    </w:p>
    <w:bookmarkStart w:id="117" w:name="page118"/>
    <w:bookmarkEnd w:id="117"/>
    <w:p>
      <w:pPr>
        <w:jc w:val="center"/>
        <w:ind w:right="-159"/>
        <w:spacing w:after="0"/>
        <w:rPr>
          <w:sz w:val="20"/>
          <w:szCs w:val="20"/>
          <w:color w:val="auto"/>
        </w:rPr>
      </w:pPr>
      <w:r>
        <w:rPr>
          <w:rFonts w:ascii="Times New Roman" w:cs="Times New Roman" w:eastAsia="Times New Roman" w:hAnsi="Times New Roman"/>
          <w:sz w:val="18"/>
          <w:szCs w:val="18"/>
          <w:b w:val="1"/>
          <w:bCs w:val="1"/>
          <w:u w:val="single" w:color="auto"/>
          <w:color w:val="auto"/>
        </w:rPr>
        <w:t>Appendix G - Royalty Payment Options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The License Number MUST appear on payments, reports and correspondence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and Debit Card Payments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and debit card payments can be submitted for amounts up to $29,999. Submit your payment through the U.S. Treasury web site located at: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0000FF"/>
        </w:rPr>
        <w:t>https://www.pay.gov/public/form/start/28680443</w:t>
      </w:r>
      <w:r>
        <w:rPr>
          <w:rFonts w:ascii="Times New Roman" w:cs="Times New Roman" w:eastAsia="Times New Roman" w:hAnsi="Times New Roman"/>
          <w:sz w:val="18"/>
          <w:szCs w:val="18"/>
          <w:b w:val="1"/>
          <w:bCs w:val="1"/>
          <w:color w:val="000000"/>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Automated Clearing House (ACH) for payments through U.S. banks only</w:t>
      </w:r>
    </w:p>
    <w:p>
      <w:pPr>
        <w:spacing w:after="0" w:line="225"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b w:val="1"/>
          <w:bCs w:val="1"/>
          <w:color w:val="auto"/>
        </w:rPr>
        <w:t>IC</w:t>
      </w:r>
      <w:r>
        <w:rPr>
          <w:rFonts w:ascii="Times New Roman" w:cs="Times New Roman" w:eastAsia="Times New Roman" w:hAnsi="Times New Roman"/>
          <w:sz w:val="18"/>
          <w:szCs w:val="18"/>
          <w:color w:val="auto"/>
        </w:rPr>
        <w:t xml:space="preserve"> encourages its licensees to submit electronic funds transfer payments through the Automated Clearing House (ACH). Submit your ACH payment through the U.S. Treasury web site located at: </w:t>
      </w:r>
      <w:r>
        <w:rPr>
          <w:rFonts w:ascii="Times New Roman" w:cs="Times New Roman" w:eastAsia="Times New Roman" w:hAnsi="Times New Roman"/>
          <w:sz w:val="18"/>
          <w:szCs w:val="18"/>
          <w:u w:val="single" w:color="auto"/>
          <w:color w:val="0000FF"/>
        </w:rPr>
        <w:t>https://www.pay.gov/public/form/start/28680443</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Please note that the IC “only” accepts ACH payments through this U.S. Treasury web site.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Electronic Funds Wire Transfers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account information is provided for wire payments. In order to process payment via Electronic Funds Wire Transfer sender MUST supply the following information within the transmission:</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3" w:lineRule="exact"/>
        <w:rPr>
          <w:sz w:val="20"/>
          <w:szCs w:val="20"/>
          <w:color w:val="auto"/>
        </w:rPr>
      </w:pPr>
    </w:p>
    <w:p>
      <w:pPr>
        <w:ind w:left="660" w:right="260" w:firstLine="648"/>
        <w:spacing w:after="0" w:line="303" w:lineRule="auto"/>
        <w:rPr>
          <w:sz w:val="20"/>
          <w:szCs w:val="20"/>
          <w:color w:val="auto"/>
        </w:rPr>
      </w:pPr>
      <w:r>
        <w:rPr>
          <w:rFonts w:ascii="Arial" w:cs="Arial" w:eastAsia="Arial" w:hAnsi="Arial"/>
          <w:sz w:val="18"/>
          <w:szCs w:val="18"/>
          <w:color w:val="auto"/>
        </w:rPr>
        <w:t xml:space="preserve">Drawn on a </w:t>
      </w:r>
      <w:r>
        <w:rPr>
          <w:rFonts w:ascii="Arial" w:cs="Arial" w:eastAsia="Arial" w:hAnsi="Arial"/>
          <w:sz w:val="18"/>
          <w:szCs w:val="18"/>
          <w:b w:val="1"/>
          <w:bCs w:val="1"/>
          <w:color w:val="auto"/>
        </w:rPr>
        <w:t>foreign bank account</w:t>
      </w:r>
      <w:r>
        <w:rPr>
          <w:rFonts w:ascii="Arial" w:cs="Arial" w:eastAsia="Arial" w:hAnsi="Arial"/>
          <w:sz w:val="18"/>
          <w:szCs w:val="18"/>
          <w:color w:val="auto"/>
        </w:rPr>
        <w:t xml:space="preserve"> should be sent directly to the following account. Payment must be sent in </w:t>
      </w:r>
      <w:r>
        <w:rPr>
          <w:rFonts w:ascii="Arial" w:cs="Arial" w:eastAsia="Arial" w:hAnsi="Arial"/>
          <w:sz w:val="18"/>
          <w:szCs w:val="18"/>
          <w:b w:val="1"/>
          <w:bCs w:val="1"/>
          <w:color w:val="auto"/>
        </w:rPr>
        <w:t>U.S. Dollars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(USD) </w:t>
      </w:r>
      <w:r>
        <w:rPr>
          <w:rFonts w:ascii="Arial" w:cs="Arial" w:eastAsia="Arial" w:hAnsi="Arial"/>
          <w:sz w:val="18"/>
          <w:szCs w:val="18"/>
          <w:color w:val="auto"/>
        </w:rPr>
        <w:t>using the following instructions:</w:t>
      </w:r>
    </w:p>
    <w:p>
      <w:pPr>
        <w:spacing w:after="0" w:line="12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Checks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All checks should be made payable to “NIH Patent Licensing”</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Checks drawn on a </w:t>
      </w:r>
      <w:r>
        <w:rPr>
          <w:rFonts w:ascii="Arial" w:cs="Arial" w:eastAsia="Arial" w:hAnsi="Arial"/>
          <w:sz w:val="18"/>
          <w:szCs w:val="18"/>
          <w:b w:val="1"/>
          <w:bCs w:val="1"/>
          <w:u w:val="single" w:color="auto"/>
          <w:color w:val="auto"/>
        </w:rPr>
        <w:t>U.S. bank account</w:t>
      </w:r>
      <w:r>
        <w:rPr>
          <w:rFonts w:ascii="Arial" w:cs="Arial" w:eastAsia="Arial" w:hAnsi="Arial"/>
          <w:sz w:val="18"/>
          <w:szCs w:val="18"/>
          <w:color w:val="auto"/>
        </w:rPr>
        <w:t xml:space="preserve"> and sent by US Postal Service should be sent directly to the following address: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National Institutes of Health</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 Box 979071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St. Louis, MO 63197-9000</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Checks drawn on a U.S. bank account and sent by </w:t>
      </w:r>
      <w:r>
        <w:rPr>
          <w:rFonts w:ascii="Arial" w:cs="Arial" w:eastAsia="Arial" w:hAnsi="Arial"/>
          <w:sz w:val="18"/>
          <w:szCs w:val="18"/>
          <w:b w:val="1"/>
          <w:bCs w:val="1"/>
          <w:u w:val="single" w:color="auto"/>
          <w:color w:val="auto"/>
        </w:rPr>
        <w:t>overnight or courier</w:t>
      </w:r>
      <w:r>
        <w:rPr>
          <w:rFonts w:ascii="Arial" w:cs="Arial" w:eastAsia="Arial" w:hAnsi="Arial"/>
          <w:sz w:val="18"/>
          <w:szCs w:val="18"/>
          <w:color w:val="auto"/>
        </w:rPr>
        <w:t xml:space="preserve"> should be sent to the following address: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2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Checks drawn on a </w:t>
      </w:r>
      <w:r>
        <w:rPr>
          <w:rFonts w:ascii="Arial" w:cs="Arial" w:eastAsia="Arial" w:hAnsi="Arial"/>
          <w:sz w:val="18"/>
          <w:szCs w:val="18"/>
          <w:b w:val="1"/>
          <w:bCs w:val="1"/>
          <w:u w:val="single" w:color="auto"/>
          <w:color w:val="auto"/>
        </w:rPr>
        <w:t>foreign bank account</w:t>
      </w:r>
      <w:r>
        <w:rPr>
          <w:rFonts w:ascii="Arial" w:cs="Arial" w:eastAsia="Arial" w:hAnsi="Arial"/>
          <w:sz w:val="18"/>
          <w:szCs w:val="18"/>
          <w:color w:val="auto"/>
        </w:rPr>
        <w:t xml:space="preserve"> should be sent directly to the following address:</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National Institutes of Health</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Office of Technology Transfer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License Compliance and Administration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Royalty Administration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6011 Executive Boulevard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Suite 325, MSC 7660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Rockville, Maryland 20852</w:t>
      </w:r>
    </w:p>
    <w:p>
      <w:pPr>
        <w:spacing w:after="0" w:line="200" w:lineRule="exact"/>
        <w:rPr>
          <w:sz w:val="20"/>
          <w:szCs w:val="20"/>
          <w:color w:val="auto"/>
        </w:rPr>
      </w:pPr>
    </w:p>
    <w:p>
      <w:pPr>
        <w:spacing w:after="0" w:line="246" w:lineRule="exact"/>
        <w:rPr>
          <w:sz w:val="20"/>
          <w:szCs w:val="20"/>
          <w:color w:val="auto"/>
        </w:rPr>
      </w:pPr>
    </w:p>
    <w:p>
      <w:pPr>
        <w:ind w:right="3840" w:firstLine="8"/>
        <w:spacing w:after="0" w:line="282" w:lineRule="auto"/>
        <w:tabs>
          <w:tab w:leader="none" w:pos="348" w:val="left"/>
        </w:tabs>
        <w:numPr>
          <w:ilvl w:val="0"/>
          <w:numId w:val="9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information in this document has been omitted and filed separately with the Securities and Exchange Commission. Confidential treatment has been requested with respect to the omitted portions.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A-035-2017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CONFIDENTIAL</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 xml:space="preserve">NIH </w:t>
      </w:r>
      <w:r>
        <w:rPr>
          <w:rFonts w:ascii="Times New Roman" w:cs="Times New Roman" w:eastAsia="Times New Roman" w:hAnsi="Times New Roman"/>
          <w:sz w:val="14"/>
          <w:szCs w:val="14"/>
          <w:color w:val="auto"/>
        </w:rPr>
        <w:t>Patent License Agreement--</w:t>
      </w:r>
      <w:r>
        <w:rPr>
          <w:rFonts w:ascii="Times New Roman" w:cs="Times New Roman" w:eastAsia="Times New Roman" w:hAnsi="Times New Roman"/>
          <w:sz w:val="14"/>
          <w:szCs w:val="14"/>
          <w:i w:val="1"/>
          <w:iCs w:val="1"/>
          <w:color w:val="auto"/>
        </w:rPr>
        <w:t>Exclusive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Model 10-2015 [Final] [Selecta Biosciences] [3 April 2017]</w:t>
      </w:r>
    </w:p>
    <w:p>
      <w:pPr>
        <w:sectPr>
          <w:pgSz w:w="11900" w:h="16838" w:orient="portrait"/>
          <w:cols w:equalWidth="0" w:num="1">
            <w:col w:w="11260"/>
          </w:cols>
          <w:pgMar w:left="240" w:top="360" w:right="39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Werner Cautreels, certify that:</w:t>
      </w:r>
    </w:p>
    <w:p>
      <w:pPr>
        <w:spacing w:after="0" w:line="391" w:lineRule="exact"/>
        <w:rPr>
          <w:sz w:val="20"/>
          <w:szCs w:val="20"/>
          <w:color w:val="auto"/>
        </w:rPr>
      </w:pPr>
    </w:p>
    <w:p>
      <w:pPr>
        <w:ind w:left="660" w:hanging="328"/>
        <w:spacing w:after="0"/>
        <w:tabs>
          <w:tab w:leader="none" w:pos="66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Selecta Biosciences, Inc.;</w:t>
      </w:r>
    </w:p>
    <w:p>
      <w:pPr>
        <w:spacing w:after="0" w:line="175" w:lineRule="exact"/>
        <w:rPr>
          <w:rFonts w:ascii="Times New Roman" w:cs="Times New Roman" w:eastAsia="Times New Roman" w:hAnsi="Times New Roman"/>
          <w:sz w:val="20"/>
          <w:szCs w:val="20"/>
          <w:color w:val="auto"/>
        </w:rPr>
      </w:pPr>
    </w:p>
    <w:p>
      <w:pPr>
        <w:ind w:left="660" w:right="20" w:hanging="328"/>
        <w:spacing w:after="0" w:line="254" w:lineRule="auto"/>
        <w:tabs>
          <w:tab w:leader="none" w:pos="66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Times New Roman" w:cs="Times New Roman" w:eastAsia="Times New Roman" w:hAnsi="Times New Roman"/>
          <w:sz w:val="20"/>
          <w:szCs w:val="20"/>
          <w:color w:val="auto"/>
        </w:rPr>
      </w:pPr>
    </w:p>
    <w:p>
      <w:pPr>
        <w:ind w:left="660" w:right="80" w:hanging="328"/>
        <w:spacing w:after="0" w:line="296" w:lineRule="auto"/>
        <w:tabs>
          <w:tab w:leader="none" w:pos="660" w:val="left"/>
        </w:tabs>
        <w:numPr>
          <w:ilvl w:val="0"/>
          <w:numId w:val="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9"/>
          <w:szCs w:val="19"/>
          <w:color w:val="auto"/>
        </w:rPr>
      </w:pPr>
    </w:p>
    <w:p>
      <w:pPr>
        <w:ind w:left="660" w:right="300" w:hanging="328"/>
        <w:spacing w:after="0" w:line="269" w:lineRule="auto"/>
        <w:tabs>
          <w:tab w:leader="none" w:pos="66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19" w:lineRule="exact"/>
        <w:rPr>
          <w:sz w:val="20"/>
          <w:szCs w:val="20"/>
          <w:color w:val="auto"/>
        </w:rPr>
      </w:pPr>
    </w:p>
    <w:p>
      <w:pPr>
        <w:jc w:val="both"/>
        <w:ind w:left="1520" w:right="360" w:hanging="701"/>
        <w:spacing w:after="0" w:line="254" w:lineRule="auto"/>
        <w:rPr>
          <w:sz w:val="20"/>
          <w:szCs w:val="20"/>
          <w:color w:val="auto"/>
        </w:rPr>
      </w:pPr>
      <w:r>
        <w:rPr>
          <w:rFonts w:ascii="Times New Roman" w:cs="Times New Roman" w:eastAsia="Times New Roman" w:hAnsi="Times New Roman"/>
          <w:sz w:val="20"/>
          <w:szCs w:val="20"/>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b.)[omitted];</w:t>
      </w:r>
    </w:p>
    <w:p>
      <w:pPr>
        <w:spacing w:after="0" w:line="175" w:lineRule="exact"/>
        <w:rPr>
          <w:sz w:val="20"/>
          <w:szCs w:val="20"/>
          <w:color w:val="auto"/>
        </w:rPr>
      </w:pPr>
    </w:p>
    <w:p>
      <w:pPr>
        <w:ind w:left="1520" w:hanging="701"/>
        <w:spacing w:after="0" w:line="254" w:lineRule="auto"/>
        <w:rPr>
          <w:sz w:val="20"/>
          <w:szCs w:val="20"/>
          <w:color w:val="auto"/>
        </w:rPr>
      </w:pPr>
      <w:r>
        <w:rPr>
          <w:rFonts w:ascii="Times New Roman" w:cs="Times New Roman" w:eastAsia="Times New Roman" w:hAnsi="Times New Roman"/>
          <w:sz w:val="20"/>
          <w:szCs w:val="20"/>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sz w:val="20"/>
          <w:szCs w:val="20"/>
          <w:color w:val="auto"/>
        </w:rPr>
      </w:pPr>
    </w:p>
    <w:p>
      <w:pPr>
        <w:jc w:val="both"/>
        <w:ind w:left="1520" w:right="20" w:hanging="701"/>
        <w:spacing w:after="0" w:line="254" w:lineRule="auto"/>
        <w:rPr>
          <w:sz w:val="20"/>
          <w:szCs w:val="20"/>
          <w:color w:val="auto"/>
        </w:rPr>
      </w:pPr>
      <w:r>
        <w:rPr>
          <w:rFonts w:ascii="Times New Roman" w:cs="Times New Roman" w:eastAsia="Times New Roman" w:hAnsi="Times New Roman"/>
          <w:sz w:val="20"/>
          <w:szCs w:val="20"/>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sz w:val="20"/>
          <w:szCs w:val="20"/>
          <w:color w:val="auto"/>
        </w:rPr>
      </w:pPr>
    </w:p>
    <w:p>
      <w:pPr>
        <w:ind w:left="660" w:right="440" w:hanging="328"/>
        <w:spacing w:after="0" w:line="254" w:lineRule="auto"/>
        <w:tabs>
          <w:tab w:leader="none" w:pos="66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20"/>
          <w:szCs w:val="20"/>
          <w:color w:val="auto"/>
        </w:rPr>
        <w:t>a.)All significant deficiencies and material weaknesses in the design or operation of internal control over financial reporting which</w:t>
      </w:r>
    </w:p>
    <w:p>
      <w:pPr>
        <w:spacing w:after="0" w:line="22" w:lineRule="exact"/>
        <w:rPr>
          <w:sz w:val="20"/>
          <w:szCs w:val="20"/>
          <w:color w:val="auto"/>
        </w:rPr>
      </w:pPr>
    </w:p>
    <w:p>
      <w:pPr>
        <w:ind w:left="1520" w:right="940"/>
        <w:spacing w:after="0" w:line="246" w:lineRule="auto"/>
        <w:rPr>
          <w:sz w:val="20"/>
          <w:szCs w:val="20"/>
          <w:color w:val="auto"/>
        </w:rPr>
      </w:pPr>
      <w:r>
        <w:rPr>
          <w:rFonts w:ascii="Times New Roman" w:cs="Times New Roman" w:eastAsia="Times New Roman" w:hAnsi="Times New Roman"/>
          <w:sz w:val="20"/>
          <w:szCs w:val="20"/>
          <w:color w:val="auto"/>
        </w:rPr>
        <w:t>are reasonably likely to adversely affect the registrant’s ability to record, process, summarize and report financial information; and</w:t>
      </w:r>
    </w:p>
    <w:p>
      <w:pPr>
        <w:spacing w:after="0" w:line="141" w:lineRule="exact"/>
        <w:rPr>
          <w:sz w:val="20"/>
          <w:szCs w:val="20"/>
          <w:color w:val="auto"/>
        </w:rPr>
      </w:pPr>
    </w:p>
    <w:p>
      <w:pPr>
        <w:ind w:left="1520" w:right="260" w:hanging="701"/>
        <w:spacing w:after="0" w:line="269" w:lineRule="auto"/>
        <w:rPr>
          <w:sz w:val="20"/>
          <w:szCs w:val="20"/>
          <w:color w:val="auto"/>
        </w:rPr>
      </w:pPr>
      <w:r>
        <w:rPr>
          <w:rFonts w:ascii="Times New Roman" w:cs="Times New Roman" w:eastAsia="Times New Roman" w:hAnsi="Times New Roman"/>
          <w:sz w:val="20"/>
          <w:szCs w:val="20"/>
          <w:color w:val="auto"/>
        </w:rPr>
        <w:t>b.)Any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0"/>
          <w:szCs w:val="20"/>
          <w:color w:val="auto"/>
        </w:rPr>
        <w:t>May 11, 2017</w:t>
      </w:r>
      <w:r>
        <w:rPr>
          <w:sz w:val="20"/>
          <w:szCs w:val="20"/>
          <w:color w:val="auto"/>
        </w:rPr>
        <w:tab/>
      </w:r>
      <w:r>
        <w:rPr>
          <w:rFonts w:ascii="Times New Roman" w:cs="Times New Roman" w:eastAsia="Times New Roman" w:hAnsi="Times New Roman"/>
          <w:sz w:val="19"/>
          <w:szCs w:val="19"/>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31115</wp:posOffset>
            </wp:positionV>
            <wp:extent cx="31813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Werner Cautreels, Ph.D.</w:t>
      </w:r>
    </w:p>
    <w:p>
      <w:pPr>
        <w:spacing w:after="0" w:line="5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ectPr>
          <w:pgSz w:w="11900" w:h="16838" w:orient="portrait"/>
          <w:cols w:equalWidth="0" w:num="1">
            <w:col w:w="11420"/>
          </w:cols>
          <w:pgMar w:left="240" w:top="572" w:right="2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16"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20"/>
          <w:szCs w:val="20"/>
          <w:b w:val="1"/>
          <w:bCs w:val="1"/>
          <w:color w:val="auto"/>
        </w:rPr>
        <w:t>CERTIFICATIONS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David Siewers, certify that:</w:t>
      </w:r>
    </w:p>
    <w:p>
      <w:pPr>
        <w:spacing w:after="0" w:line="391" w:lineRule="exact"/>
        <w:rPr>
          <w:sz w:val="20"/>
          <w:szCs w:val="20"/>
          <w:color w:val="auto"/>
        </w:rPr>
      </w:pPr>
    </w:p>
    <w:p>
      <w:pPr>
        <w:ind w:left="660" w:hanging="328"/>
        <w:spacing w:after="0"/>
        <w:tabs>
          <w:tab w:leader="none" w:pos="66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Selecta Biosciences, Inc.;</w:t>
      </w:r>
    </w:p>
    <w:p>
      <w:pPr>
        <w:spacing w:after="0" w:line="175" w:lineRule="exact"/>
        <w:rPr>
          <w:rFonts w:ascii="Times New Roman" w:cs="Times New Roman" w:eastAsia="Times New Roman" w:hAnsi="Times New Roman"/>
          <w:sz w:val="20"/>
          <w:szCs w:val="20"/>
          <w:color w:val="auto"/>
        </w:rPr>
      </w:pPr>
    </w:p>
    <w:p>
      <w:pPr>
        <w:ind w:left="660" w:right="20" w:hanging="328"/>
        <w:spacing w:after="0" w:line="254" w:lineRule="auto"/>
        <w:tabs>
          <w:tab w:leader="none" w:pos="66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4" w:lineRule="exact"/>
        <w:rPr>
          <w:rFonts w:ascii="Times New Roman" w:cs="Times New Roman" w:eastAsia="Times New Roman" w:hAnsi="Times New Roman"/>
          <w:sz w:val="20"/>
          <w:szCs w:val="20"/>
          <w:color w:val="auto"/>
        </w:rPr>
      </w:pPr>
    </w:p>
    <w:p>
      <w:pPr>
        <w:ind w:left="660" w:right="80" w:hanging="328"/>
        <w:spacing w:after="0" w:line="296" w:lineRule="auto"/>
        <w:tabs>
          <w:tab w:leader="none" w:pos="660" w:val="left"/>
        </w:tabs>
        <w:numPr>
          <w:ilvl w:val="0"/>
          <w:numId w:val="10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9"/>
          <w:szCs w:val="19"/>
          <w:color w:val="auto"/>
        </w:rPr>
      </w:pPr>
    </w:p>
    <w:p>
      <w:pPr>
        <w:ind w:left="660" w:right="300" w:hanging="328"/>
        <w:spacing w:after="0" w:line="269" w:lineRule="auto"/>
        <w:tabs>
          <w:tab w:leader="none" w:pos="66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are responsible for establishing and maintaining disclosure controls and procedures (as defined in Exchange Act Rules 13a-15(e) and 15d-15(e)) for the registrant and have:</w:t>
      </w:r>
    </w:p>
    <w:p>
      <w:pPr>
        <w:spacing w:after="0" w:line="119" w:lineRule="exact"/>
        <w:rPr>
          <w:sz w:val="20"/>
          <w:szCs w:val="20"/>
          <w:color w:val="auto"/>
        </w:rPr>
      </w:pPr>
    </w:p>
    <w:p>
      <w:pPr>
        <w:jc w:val="both"/>
        <w:ind w:left="1520" w:right="360" w:hanging="701"/>
        <w:spacing w:after="0" w:line="254" w:lineRule="auto"/>
        <w:rPr>
          <w:sz w:val="20"/>
          <w:szCs w:val="20"/>
          <w:color w:val="auto"/>
        </w:rPr>
      </w:pPr>
      <w:r>
        <w:rPr>
          <w:rFonts w:ascii="Times New Roman" w:cs="Times New Roman" w:eastAsia="Times New Roman" w:hAnsi="Times New Roman"/>
          <w:sz w:val="20"/>
          <w:szCs w:val="20"/>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0"/>
          <w:szCs w:val="20"/>
          <w:color w:val="auto"/>
        </w:rPr>
        <w:t>b.)[omitted];</w:t>
      </w:r>
    </w:p>
    <w:p>
      <w:pPr>
        <w:spacing w:after="0" w:line="175" w:lineRule="exact"/>
        <w:rPr>
          <w:sz w:val="20"/>
          <w:szCs w:val="20"/>
          <w:color w:val="auto"/>
        </w:rPr>
      </w:pPr>
    </w:p>
    <w:p>
      <w:pPr>
        <w:ind w:left="1520" w:hanging="701"/>
        <w:spacing w:after="0" w:line="254" w:lineRule="auto"/>
        <w:rPr>
          <w:sz w:val="20"/>
          <w:szCs w:val="20"/>
          <w:color w:val="auto"/>
        </w:rPr>
      </w:pPr>
      <w:r>
        <w:rPr>
          <w:rFonts w:ascii="Times New Roman" w:cs="Times New Roman" w:eastAsia="Times New Roman" w:hAnsi="Times New Roman"/>
          <w:sz w:val="20"/>
          <w:szCs w:val="20"/>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4" w:lineRule="exact"/>
        <w:rPr>
          <w:sz w:val="20"/>
          <w:szCs w:val="20"/>
          <w:color w:val="auto"/>
        </w:rPr>
      </w:pPr>
    </w:p>
    <w:p>
      <w:pPr>
        <w:jc w:val="both"/>
        <w:ind w:left="1520" w:right="20" w:hanging="701"/>
        <w:spacing w:after="0" w:line="254" w:lineRule="auto"/>
        <w:rPr>
          <w:sz w:val="20"/>
          <w:szCs w:val="20"/>
          <w:color w:val="auto"/>
        </w:rPr>
      </w:pPr>
      <w:r>
        <w:rPr>
          <w:rFonts w:ascii="Times New Roman" w:cs="Times New Roman" w:eastAsia="Times New Roman" w:hAnsi="Times New Roman"/>
          <w:sz w:val="20"/>
          <w:szCs w:val="20"/>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4" w:lineRule="exact"/>
        <w:rPr>
          <w:sz w:val="20"/>
          <w:szCs w:val="20"/>
          <w:color w:val="auto"/>
        </w:rPr>
      </w:pPr>
    </w:p>
    <w:p>
      <w:pPr>
        <w:ind w:left="660" w:right="440" w:hanging="328"/>
        <w:spacing w:after="0" w:line="254" w:lineRule="auto"/>
        <w:tabs>
          <w:tab w:leader="none" w:pos="66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sz w:val="20"/>
          <w:szCs w:val="20"/>
          <w:color w:val="auto"/>
        </w:rPr>
      </w:pPr>
    </w:p>
    <w:p>
      <w:pPr>
        <w:jc w:val="center"/>
        <w:ind w:left="580"/>
        <w:spacing w:after="0"/>
        <w:rPr>
          <w:sz w:val="20"/>
          <w:szCs w:val="20"/>
          <w:color w:val="auto"/>
        </w:rPr>
      </w:pPr>
      <w:r>
        <w:rPr>
          <w:rFonts w:ascii="Times New Roman" w:cs="Times New Roman" w:eastAsia="Times New Roman" w:hAnsi="Times New Roman"/>
          <w:sz w:val="20"/>
          <w:szCs w:val="20"/>
          <w:color w:val="auto"/>
        </w:rPr>
        <w:t>a.)All significant deficiencies and material weaknesses in the design or operation of internal control over financial reporting which</w:t>
      </w:r>
    </w:p>
    <w:p>
      <w:pPr>
        <w:spacing w:after="0" w:line="22" w:lineRule="exact"/>
        <w:rPr>
          <w:sz w:val="20"/>
          <w:szCs w:val="20"/>
          <w:color w:val="auto"/>
        </w:rPr>
      </w:pPr>
    </w:p>
    <w:p>
      <w:pPr>
        <w:ind w:left="1520" w:right="940"/>
        <w:spacing w:after="0" w:line="246" w:lineRule="auto"/>
        <w:rPr>
          <w:sz w:val="20"/>
          <w:szCs w:val="20"/>
          <w:color w:val="auto"/>
        </w:rPr>
      </w:pPr>
      <w:r>
        <w:rPr>
          <w:rFonts w:ascii="Times New Roman" w:cs="Times New Roman" w:eastAsia="Times New Roman" w:hAnsi="Times New Roman"/>
          <w:sz w:val="20"/>
          <w:szCs w:val="20"/>
          <w:color w:val="auto"/>
        </w:rPr>
        <w:t>are reasonably likely to adversely affect the registrant’s ability to record, process, summarize and report financial information; and</w:t>
      </w:r>
    </w:p>
    <w:p>
      <w:pPr>
        <w:spacing w:after="0" w:line="141" w:lineRule="exact"/>
        <w:rPr>
          <w:sz w:val="20"/>
          <w:szCs w:val="20"/>
          <w:color w:val="auto"/>
        </w:rPr>
      </w:pPr>
    </w:p>
    <w:p>
      <w:pPr>
        <w:ind w:left="1520" w:right="260" w:hanging="701"/>
        <w:spacing w:after="0" w:line="269" w:lineRule="auto"/>
        <w:rPr>
          <w:sz w:val="20"/>
          <w:szCs w:val="20"/>
          <w:color w:val="auto"/>
        </w:rPr>
      </w:pPr>
      <w:r>
        <w:rPr>
          <w:rFonts w:ascii="Times New Roman" w:cs="Times New Roman" w:eastAsia="Times New Roman" w:hAnsi="Times New Roman"/>
          <w:sz w:val="20"/>
          <w:szCs w:val="20"/>
          <w:color w:val="auto"/>
        </w:rPr>
        <w:t>b.)Any fraud, whether or not material, that involves management or other employees who have a significant role in the registrant’s internal control over financial reporting.</w:t>
      </w:r>
    </w:p>
    <w:p>
      <w:pPr>
        <w:spacing w:after="0" w:line="389" w:lineRule="exact"/>
        <w:rPr>
          <w:sz w:val="20"/>
          <w:szCs w:val="20"/>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0"/>
          <w:szCs w:val="20"/>
          <w:color w:val="auto"/>
        </w:rPr>
        <w:t>May 11, 2017</w:t>
      </w:r>
      <w:r>
        <w:rPr>
          <w:sz w:val="20"/>
          <w:szCs w:val="20"/>
          <w:color w:val="auto"/>
        </w:rPr>
        <w:tab/>
      </w:r>
      <w:r>
        <w:rPr>
          <w:rFonts w:ascii="Times New Roman" w:cs="Times New Roman" w:eastAsia="Times New Roman" w:hAnsi="Times New Roman"/>
          <w:sz w:val="19"/>
          <w:szCs w:val="19"/>
          <w:color w:val="auto"/>
        </w:rPr>
        <w:t>/s/ David Siewers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31115</wp:posOffset>
            </wp:positionV>
            <wp:extent cx="31813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David Siewers</w:t>
      </w:r>
    </w:p>
    <w:p>
      <w:pPr>
        <w:spacing w:after="0" w:line="5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Chief Financial Officer and Treasurer</w:t>
      </w:r>
    </w:p>
    <w:p>
      <w:pPr>
        <w:sectPr>
          <w:pgSz w:w="11900" w:h="16838" w:orient="portrait"/>
          <w:cols w:equalWidth="0" w:num="1">
            <w:col w:w="11420"/>
          </w:cols>
          <w:pgMar w:left="240" w:top="572" w:right="2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16"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b w:val="1"/>
          <w:bCs w:val="1"/>
          <w:color w:val="auto"/>
        </w:rPr>
        <w:t>CERTIFICATION PURSUANT TO</w:t>
      </w:r>
    </w:p>
    <w:p>
      <w:pPr>
        <w:spacing w:after="0" w:line="25"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0"/>
          <w:szCs w:val="20"/>
          <w:b w:val="1"/>
          <w:bCs w:val="1"/>
          <w:color w:val="auto"/>
        </w:rPr>
        <w:t>18 U.S.C. SECTION 1350,</w:t>
      </w:r>
    </w:p>
    <w:p>
      <w:pPr>
        <w:ind w:left="4320"/>
        <w:spacing w:after="0"/>
        <w:rPr>
          <w:sz w:val="20"/>
          <w:szCs w:val="20"/>
          <w:color w:val="auto"/>
        </w:rPr>
      </w:pPr>
      <w:r>
        <w:rPr>
          <w:rFonts w:ascii="Times New Roman" w:cs="Times New Roman" w:eastAsia="Times New Roman" w:hAnsi="Times New Roman"/>
          <w:sz w:val="20"/>
          <w:szCs w:val="20"/>
          <w:b w:val="1"/>
          <w:bCs w:val="1"/>
          <w:color w:val="auto"/>
        </w:rPr>
        <w:t>AS ADOPTED PURSUANT TO</w:t>
      </w:r>
    </w:p>
    <w:p>
      <w:pPr>
        <w:ind w:left="3140"/>
        <w:spacing w:after="0"/>
        <w:rPr>
          <w:sz w:val="20"/>
          <w:szCs w:val="20"/>
          <w:color w:val="auto"/>
        </w:rPr>
      </w:pPr>
      <w:r>
        <w:rPr>
          <w:rFonts w:ascii="Times New Roman" w:cs="Times New Roman" w:eastAsia="Times New Roman" w:hAnsi="Times New Roman"/>
          <w:sz w:val="20"/>
          <w:szCs w:val="20"/>
          <w:b w:val="1"/>
          <w:bCs w:val="1"/>
          <w:color w:val="auto"/>
        </w:rPr>
        <w:t>SECTION 906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I, Werner Cautreels, President and Chief Executive Officer of Selecta Biosciences, Inc. (the “Company”), hereby certify, pursuant to 18 U.S.C.</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§1350, as adopted pursuant to §906 of the Sarbanes-Oxley Act of 2002, that, to the best of my knowledge:</w:t>
      </w:r>
    </w:p>
    <w:p>
      <w:pPr>
        <w:spacing w:after="0" w:line="369" w:lineRule="exact"/>
        <w:rPr>
          <w:sz w:val="20"/>
          <w:szCs w:val="20"/>
          <w:color w:val="auto"/>
        </w:rPr>
      </w:pPr>
    </w:p>
    <w:p>
      <w:pPr>
        <w:ind w:left="660" w:right="520" w:hanging="328"/>
        <w:spacing w:after="0" w:line="269" w:lineRule="auto"/>
        <w:tabs>
          <w:tab w:leader="none" w:pos="66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Quarterly Report on Form 10-Q of the Company for the period ended March 31, 2017 (the “Report”) fully complies with the requirements of Section 13(a) or 15(d) of the Securities Exchange Act of 1934, as amended; and</w:t>
      </w:r>
    </w:p>
    <w:p>
      <w:pPr>
        <w:spacing w:after="0" w:line="119" w:lineRule="exact"/>
        <w:rPr>
          <w:rFonts w:ascii="Times New Roman" w:cs="Times New Roman" w:eastAsia="Times New Roman" w:hAnsi="Times New Roman"/>
          <w:sz w:val="20"/>
          <w:szCs w:val="20"/>
          <w:color w:val="auto"/>
        </w:rPr>
      </w:pPr>
    </w:p>
    <w:p>
      <w:pPr>
        <w:ind w:left="660" w:right="140" w:hanging="328"/>
        <w:spacing w:after="0" w:line="269" w:lineRule="auto"/>
        <w:tabs>
          <w:tab w:leader="none" w:pos="66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389" w:lineRule="exact"/>
        <w:rPr>
          <w:sz w:val="20"/>
          <w:szCs w:val="20"/>
          <w:color w:val="auto"/>
        </w:rPr>
      </w:pPr>
    </w:p>
    <w:p>
      <w:pPr>
        <w:ind w:left="40"/>
        <w:spacing w:after="0"/>
        <w:tabs>
          <w:tab w:leader="none" w:pos="6420" w:val="left"/>
        </w:tabs>
        <w:rPr>
          <w:sz w:val="20"/>
          <w:szCs w:val="20"/>
          <w:color w:val="auto"/>
        </w:rPr>
      </w:pPr>
      <w:r>
        <w:rPr>
          <w:rFonts w:ascii="Times New Roman" w:cs="Times New Roman" w:eastAsia="Times New Roman" w:hAnsi="Times New Roman"/>
          <w:sz w:val="20"/>
          <w:szCs w:val="20"/>
          <w:color w:val="auto"/>
        </w:rPr>
        <w:t>May 11, 2017</w:t>
      </w:r>
      <w:r>
        <w:rPr>
          <w:sz w:val="20"/>
          <w:szCs w:val="20"/>
          <w:color w:val="auto"/>
        </w:rPr>
        <w:tab/>
      </w:r>
      <w:r>
        <w:rPr>
          <w:rFonts w:ascii="Times New Roman" w:cs="Times New Roman" w:eastAsia="Times New Roman" w:hAnsi="Times New Roman"/>
          <w:sz w:val="19"/>
          <w:szCs w:val="19"/>
          <w:color w:val="auto"/>
        </w:rPr>
        <w:t>/s/ Werner Cautreels,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31115</wp:posOffset>
            </wp:positionV>
            <wp:extent cx="31813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4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Werner Cautreels, Ph.D.</w:t>
      </w:r>
    </w:p>
    <w:p>
      <w:pPr>
        <w:spacing w:after="0" w:line="54"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ectPr>
          <w:pgSz w:w="11900" w:h="16838" w:orient="portrait"/>
          <w:cols w:equalWidth="0" w:num="1">
            <w:col w:w="11420"/>
          </w:cols>
          <w:pgMar w:left="240" w:top="572" w:right="2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 David Siewers, Chief Financial Officer of Selecta Biosciences, Inc. (the “Company”), hereby certify, pursuant to 18 U.S.C. §1350, as adopted pursuant to §906 of the Sarbanes-Oxley Act of 2002, that, to the best of my knowledge:</w:t>
      </w:r>
    </w:p>
    <w:p>
      <w:pPr>
        <w:spacing w:after="0" w:line="121" w:lineRule="exact"/>
        <w:rPr>
          <w:sz w:val="20"/>
          <w:szCs w:val="20"/>
          <w:color w:val="auto"/>
        </w:rPr>
      </w:pPr>
    </w:p>
    <w:p>
      <w:pPr>
        <w:ind w:left="660" w:right="280" w:hanging="328"/>
        <w:spacing w:after="0" w:line="282" w:lineRule="auto"/>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period ended March 31, 2017 (the “Report”) fully complies with the requirements of Section 13(a) or 15(d) of the Securities Exchange Act of 1934, as amended; and</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8" w:lineRule="exact"/>
        <w:rPr>
          <w:sz w:val="20"/>
          <w:szCs w:val="20"/>
          <w:color w:val="auto"/>
        </w:rPr>
      </w:pPr>
    </w:p>
    <w:p>
      <w:pPr>
        <w:ind w:left="40"/>
        <w:spacing w:after="0"/>
        <w:tabs>
          <w:tab w:leader="none" w:pos="5720" w:val="left"/>
        </w:tabs>
        <w:rPr>
          <w:sz w:val="20"/>
          <w:szCs w:val="20"/>
          <w:color w:val="auto"/>
        </w:rPr>
      </w:pPr>
      <w:r>
        <w:rPr>
          <w:rFonts w:ascii="Times New Roman" w:cs="Times New Roman" w:eastAsia="Times New Roman" w:hAnsi="Times New Roman"/>
          <w:sz w:val="18"/>
          <w:szCs w:val="18"/>
          <w:color w:val="auto"/>
        </w:rPr>
        <w:t>May 11, 2017</w:t>
      </w:r>
      <w:r>
        <w:rPr>
          <w:sz w:val="20"/>
          <w:szCs w:val="20"/>
          <w:color w:val="auto"/>
        </w:rPr>
        <w:tab/>
      </w:r>
      <w:r>
        <w:rPr>
          <w:rFonts w:ascii="Times New Roman" w:cs="Times New Roman" w:eastAsia="Times New Roman" w:hAnsi="Times New Roman"/>
          <w:sz w:val="18"/>
          <w:szCs w:val="18"/>
          <w:color w:val="auto"/>
        </w:rPr>
        <w:t>/s/ David Siewers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36188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David Siewers</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Chief Financial Officer and Treasurer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C6C33A"/>
    <w:multiLevelType w:val="hybridMultilevel"/>
    <w:lvl w:ilvl="0">
      <w:lvlJc w:val="left"/>
      <w:lvlText w:val="☒"/>
      <w:numFmt w:val="bullet"/>
      <w:start w:val="1"/>
    </w:lvl>
  </w:abstractNum>
  <w:abstractNum w:abstractNumId="1">
    <w:nsid w:val="12E685FB"/>
    <w:multiLevelType w:val="hybridMultilevel"/>
    <w:lvl w:ilvl="0">
      <w:lvlJc w:val="left"/>
      <w:lvlText w:val="☐"/>
      <w:numFmt w:val="bullet"/>
      <w:start w:val="1"/>
    </w:lvl>
  </w:abstractNum>
  <w:abstractNum w:abstractNumId="2">
    <w:nsid w:val="70C6A529"/>
    <w:multiLevelType w:val="hybridMultilevel"/>
    <w:lvl w:ilvl="0">
      <w:lvlJc w:val="left"/>
      <w:lvlText w:val="-"/>
      <w:numFmt w:val="bullet"/>
      <w:start w:val="1"/>
    </w:lvl>
  </w:abstractNum>
  <w:abstractNum w:abstractNumId="3">
    <w:nsid w:val="520EEDD1"/>
    <w:multiLevelType w:val="hybridMultilevel"/>
    <w:lvl w:ilvl="0">
      <w:lvlJc w:val="left"/>
      <w:lvlText w:val="\emdash "/>
      <w:numFmt w:val="bullet"/>
      <w:start w:val="1"/>
    </w:lvl>
  </w:abstractNum>
  <w:abstractNum w:abstractNumId="4">
    <w:nsid w:val="374A3FE6"/>
    <w:multiLevelType w:val="hybridMultilevel"/>
    <w:lvl w:ilvl="0">
      <w:lvlJc w:val="left"/>
      <w:lvlText w:val="%1."/>
      <w:numFmt w:val="decimal"/>
      <w:start w:val="2"/>
    </w:lvl>
  </w:abstractNum>
  <w:abstractNum w:abstractNumId="5">
    <w:nsid w:val="4F4EF005"/>
    <w:multiLevelType w:val="hybridMultilevel"/>
    <w:lvl w:ilvl="0">
      <w:lvlJc w:val="left"/>
      <w:lvlText w:val="-"/>
      <w:numFmt w:val="bullet"/>
      <w:start w:val="1"/>
    </w:lvl>
  </w:abstractNum>
  <w:abstractNum w:abstractNumId="6">
    <w:nsid w:val="23F9C13C"/>
    <w:multiLevelType w:val="hybridMultilevel"/>
    <w:lvl w:ilvl="0">
      <w:lvlJc w:val="left"/>
      <w:lvlText w:val="(%1)"/>
      <w:numFmt w:val="lowerRoman"/>
      <w:start w:val="2"/>
    </w:lvl>
  </w:abstractNum>
  <w:abstractNum w:abstractNumId="7">
    <w:nsid w:val="649BB77C"/>
    <w:multiLevelType w:val="hybridMultilevel"/>
    <w:lvl w:ilvl="0">
      <w:lvlJc w:val="left"/>
      <w:lvlText w:val="%1."/>
      <w:numFmt w:val="decimal"/>
      <w:start w:val="9"/>
    </w:lvl>
  </w:abstractNum>
  <w:abstractNum w:abstractNumId="8">
    <w:nsid w:val="275AC794"/>
    <w:multiLevelType w:val="hybridMultilevel"/>
    <w:lvl w:ilvl="0">
      <w:lvlJc w:val="left"/>
      <w:lvlText w:val="%1."/>
      <w:numFmt w:val="decimal"/>
      <w:start w:val="12"/>
    </w:lvl>
  </w:abstractNum>
  <w:abstractNum w:abstractNumId="9">
    <w:nsid w:val="39386575"/>
    <w:multiLevelType w:val="hybridMultilevel"/>
    <w:lvl w:ilvl="0">
      <w:lvlJc w:val="left"/>
      <w:lvlText w:val="%1."/>
      <w:numFmt w:val="decimal"/>
      <w:start w:val="13"/>
    </w:lvl>
  </w:abstractNum>
  <w:abstractNum w:abstractNumId="10">
    <w:nsid w:val="1CF10FD8"/>
    <w:multiLevelType w:val="hybridMultilevel"/>
    <w:lvl w:ilvl="0">
      <w:lvlJc w:val="left"/>
      <w:lvlText w:val="•"/>
      <w:numFmt w:val="bullet"/>
      <w:start w:val="1"/>
    </w:lvl>
  </w:abstractNum>
  <w:abstractNum w:abstractNumId="11">
    <w:nsid w:val="180115BE"/>
    <w:multiLevelType w:val="hybridMultilevel"/>
    <w:lvl w:ilvl="0">
      <w:lvlJc w:val="left"/>
      <w:lvlText w:val="%1."/>
      <w:numFmt w:val="decimal"/>
      <w:start w:val="15"/>
    </w:lvl>
  </w:abstractNum>
  <w:abstractNum w:abstractNumId="12">
    <w:nsid w:val="235BA861"/>
    <w:multiLevelType w:val="hybridMultilevel"/>
    <w:lvl w:ilvl="0">
      <w:lvlJc w:val="left"/>
      <w:lvlText w:val="-"/>
      <w:numFmt w:val="bullet"/>
      <w:start w:val="1"/>
    </w:lvl>
  </w:abstractNum>
  <w:abstractNum w:abstractNumId="13">
    <w:nsid w:val="47398C89"/>
    <w:multiLevelType w:val="hybridMultilevel"/>
    <w:lvl w:ilvl="0">
      <w:lvlJc w:val="left"/>
      <w:lvlText w:val="-"/>
      <w:numFmt w:val="bullet"/>
      <w:start w:val="1"/>
    </w:lvl>
  </w:abstractNum>
  <w:abstractNum w:abstractNumId="14">
    <w:nsid w:val="354FE9F9"/>
    <w:multiLevelType w:val="hybridMultilevel"/>
    <w:lvl w:ilvl="0">
      <w:lvlJc w:val="left"/>
      <w:lvlText w:val="(%1)"/>
      <w:numFmt w:val="lowerRoman"/>
      <w:start w:val="2"/>
    </w:lvl>
  </w:abstractNum>
  <w:abstractNum w:abstractNumId="15">
    <w:nsid w:val="15B5AF5C"/>
    <w:multiLevelType w:val="hybridMultilevel"/>
    <w:lvl w:ilvl="0">
      <w:lvlJc w:val="left"/>
      <w:lvlText w:val="-"/>
      <w:numFmt w:val="bullet"/>
      <w:start w:val="1"/>
    </w:lvl>
    <w:lvl w:ilvl="1">
      <w:lvlJc w:val="left"/>
      <w:lvlText w:val="-"/>
      <w:numFmt w:val="bullet"/>
      <w:start w:val="1"/>
    </w:lvl>
  </w:abstractNum>
  <w:abstractNum w:abstractNumId="16">
    <w:nsid w:val="741226BB"/>
    <w:multiLevelType w:val="hybridMultilevel"/>
    <w:lvl w:ilvl="0">
      <w:lvlJc w:val="left"/>
      <w:lvlText w:val="-"/>
      <w:numFmt w:val="bullet"/>
      <w:start w:val="1"/>
    </w:lvl>
  </w:abstractNum>
  <w:abstractNum w:abstractNumId="17">
    <w:nsid w:val="D34B6A8"/>
    <w:multiLevelType w:val="hybridMultilevel"/>
    <w:lvl w:ilvl="0">
      <w:lvlJc w:val="left"/>
      <w:lvlText w:val="-"/>
      <w:numFmt w:val="bullet"/>
      <w:start w:val="1"/>
    </w:lvl>
  </w:abstractNum>
  <w:abstractNum w:abstractNumId="18">
    <w:nsid w:val="10233C99"/>
    <w:multiLevelType w:val="hybridMultilevel"/>
    <w:lvl w:ilvl="0">
      <w:lvlJc w:val="left"/>
      <w:lvlText w:val="-"/>
      <w:numFmt w:val="bullet"/>
      <w:start w:val="1"/>
    </w:lvl>
  </w:abstractNum>
  <w:abstractNum w:abstractNumId="19">
    <w:nsid w:val="3F6AB60F"/>
    <w:multiLevelType w:val="hybridMultilevel"/>
    <w:lvl w:ilvl="0">
      <w:lvlJc w:val="left"/>
      <w:lvlText w:val="-"/>
      <w:numFmt w:val="bullet"/>
      <w:start w:val="1"/>
    </w:lvl>
  </w:abstractNum>
  <w:abstractNum w:abstractNumId="20">
    <w:nsid w:val="61574095"/>
    <w:multiLevelType w:val="hybridMultilevel"/>
    <w:lvl w:ilvl="0">
      <w:lvlJc w:val="left"/>
      <w:lvlText w:val="-"/>
      <w:numFmt w:val="bullet"/>
      <w:start w:val="1"/>
    </w:lvl>
  </w:abstractNum>
  <w:abstractNum w:abstractNumId="21">
    <w:nsid w:val="7E0C57B1"/>
    <w:multiLevelType w:val="hybridMultilevel"/>
    <w:lvl w:ilvl="0">
      <w:lvlJc w:val="left"/>
      <w:lvlText w:val="-"/>
      <w:numFmt w:val="bullet"/>
      <w:start w:val="1"/>
    </w:lvl>
  </w:abstractNum>
  <w:abstractNum w:abstractNumId="22">
    <w:nsid w:val="77AE35EB"/>
    <w:multiLevelType w:val="hybridMultilevel"/>
    <w:lvl w:ilvl="0">
      <w:lvlJc w:val="left"/>
      <w:lvlText w:val="-"/>
      <w:numFmt w:val="bullet"/>
      <w:start w:val="1"/>
    </w:lvl>
  </w:abstractNum>
  <w:abstractNum w:abstractNumId="23">
    <w:nsid w:val="579BE4F1"/>
    <w:multiLevelType w:val="hybridMultilevel"/>
    <w:lvl w:ilvl="0">
      <w:lvlJc w:val="left"/>
      <w:lvlText w:val="-"/>
      <w:numFmt w:val="bullet"/>
      <w:start w:val="1"/>
    </w:lvl>
  </w:abstractNum>
  <w:abstractNum w:abstractNumId="24">
    <w:nsid w:val="310C50B3"/>
    <w:multiLevelType w:val="hybridMultilevel"/>
    <w:lvl w:ilvl="0">
      <w:lvlJc w:val="left"/>
      <w:lvlText w:val="-"/>
      <w:numFmt w:val="bullet"/>
      <w:start w:val="1"/>
    </w:lvl>
  </w:abstractNum>
  <w:abstractNum w:abstractNumId="25">
    <w:nsid w:val="5FF87E05"/>
    <w:multiLevelType w:val="hybridMultilevel"/>
    <w:lvl w:ilvl="0">
      <w:lvlJc w:val="left"/>
      <w:lvlText w:val="-"/>
      <w:numFmt w:val="bullet"/>
      <w:start w:val="1"/>
    </w:lvl>
  </w:abstractNum>
  <w:abstractNum w:abstractNumId="26">
    <w:nsid w:val="2F305DEF"/>
    <w:multiLevelType w:val="hybridMultilevel"/>
    <w:lvl w:ilvl="0">
      <w:lvlJc w:val="left"/>
      <w:lvlText w:val="-"/>
      <w:numFmt w:val="bullet"/>
      <w:start w:val="1"/>
    </w:lvl>
  </w:abstractNum>
  <w:abstractNum w:abstractNumId="27">
    <w:nsid w:val="25A70BF7"/>
    <w:multiLevelType w:val="hybridMultilevel"/>
    <w:lvl w:ilvl="0">
      <w:lvlJc w:val="left"/>
      <w:lvlText w:val="-"/>
      <w:numFmt w:val="bullet"/>
      <w:start w:val="1"/>
    </w:lvl>
  </w:abstractNum>
  <w:abstractNum w:abstractNumId="28">
    <w:nsid w:val="1DBABF00"/>
    <w:multiLevelType w:val="hybridMultilevel"/>
    <w:lvl w:ilvl="0">
      <w:lvlJc w:val="left"/>
      <w:lvlText w:val="-"/>
      <w:numFmt w:val="bullet"/>
      <w:start w:val="1"/>
    </w:lvl>
  </w:abstractNum>
  <w:abstractNum w:abstractNumId="29">
    <w:nsid w:val="4AD084E9"/>
    <w:multiLevelType w:val="hybridMultilevel"/>
    <w:lvl w:ilvl="0">
      <w:lvlJc w:val="left"/>
      <w:lvlText w:val="-"/>
      <w:numFmt w:val="bullet"/>
      <w:start w:val="1"/>
    </w:lvl>
  </w:abstractNum>
  <w:abstractNum w:abstractNumId="30">
    <w:nsid w:val="1F48EAA1"/>
    <w:multiLevelType w:val="hybridMultilevel"/>
    <w:lvl w:ilvl="0">
      <w:lvlJc w:val="left"/>
      <w:lvlText w:val="-"/>
      <w:numFmt w:val="bullet"/>
      <w:start w:val="1"/>
    </w:lvl>
  </w:abstractNum>
  <w:abstractNum w:abstractNumId="31">
    <w:nsid w:val="1381823A"/>
    <w:multiLevelType w:val="hybridMultilevel"/>
    <w:lvl w:ilvl="0">
      <w:lvlJc w:val="left"/>
      <w:lvlText w:val="-"/>
      <w:numFmt w:val="bullet"/>
      <w:start w:val="1"/>
    </w:lvl>
  </w:abstractNum>
  <w:abstractNum w:abstractNumId="32">
    <w:nsid w:val="5DB70AE5"/>
    <w:multiLevelType w:val="hybridMultilevel"/>
    <w:lvl w:ilvl="0">
      <w:lvlJc w:val="left"/>
      <w:lvlText w:val="-"/>
      <w:numFmt w:val="bullet"/>
      <w:start w:val="1"/>
    </w:lvl>
  </w:abstractNum>
  <w:abstractNum w:abstractNumId="33">
    <w:nsid w:val="100F8FCA"/>
    <w:multiLevelType w:val="hybridMultilevel"/>
    <w:lvl w:ilvl="0">
      <w:lvlJc w:val="left"/>
      <w:lvlText w:val="-"/>
      <w:numFmt w:val="bullet"/>
      <w:start w:val="1"/>
    </w:lvl>
  </w:abstractNum>
  <w:abstractNum w:abstractNumId="34">
    <w:nsid w:val="6590700B"/>
    <w:multiLevelType w:val="hybridMultilevel"/>
    <w:lvl w:ilvl="0">
      <w:lvlJc w:val="left"/>
      <w:lvlText w:val="-"/>
      <w:numFmt w:val="bullet"/>
      <w:start w:val="1"/>
    </w:lvl>
  </w:abstractNum>
  <w:abstractNum w:abstractNumId="35">
    <w:nsid w:val="15014ACB"/>
    <w:multiLevelType w:val="hybridMultilevel"/>
    <w:lvl w:ilvl="0">
      <w:lvlJc w:val="left"/>
      <w:lvlText w:val="-"/>
      <w:numFmt w:val="bullet"/>
      <w:start w:val="1"/>
    </w:lvl>
  </w:abstractNum>
  <w:abstractNum w:abstractNumId="36">
    <w:nsid w:val="5F5E7FD0"/>
    <w:multiLevelType w:val="hybridMultilevel"/>
    <w:lvl w:ilvl="0">
      <w:lvlJc w:val="left"/>
      <w:lvlText w:val="-"/>
      <w:numFmt w:val="bullet"/>
      <w:start w:val="1"/>
    </w:lvl>
  </w:abstractNum>
  <w:abstractNum w:abstractNumId="37">
    <w:nsid w:val="98A3148"/>
    <w:multiLevelType w:val="hybridMultilevel"/>
    <w:lvl w:ilvl="0">
      <w:lvlJc w:val="left"/>
      <w:lvlText w:val="-"/>
      <w:numFmt w:val="bullet"/>
      <w:start w:val="1"/>
    </w:lvl>
  </w:abstractNum>
  <w:abstractNum w:abstractNumId="38">
    <w:nsid w:val="799D0247"/>
    <w:multiLevelType w:val="hybridMultilevel"/>
    <w:lvl w:ilvl="0">
      <w:lvlJc w:val="left"/>
      <w:lvlText w:val="-"/>
      <w:numFmt w:val="bullet"/>
      <w:start w:val="1"/>
    </w:lvl>
  </w:abstractNum>
  <w:abstractNum w:abstractNumId="39">
    <w:nsid w:val="6B94764"/>
    <w:multiLevelType w:val="hybridMultilevel"/>
    <w:lvl w:ilvl="0">
      <w:lvlJc w:val="left"/>
      <w:lvlText w:val="-"/>
      <w:numFmt w:val="bullet"/>
      <w:start w:val="1"/>
    </w:lvl>
  </w:abstractNum>
  <w:abstractNum w:abstractNumId="40">
    <w:nsid w:val="42C296BD"/>
    <w:multiLevelType w:val="hybridMultilevel"/>
    <w:lvl w:ilvl="0">
      <w:lvlJc w:val="left"/>
      <w:lvlText w:val="-"/>
      <w:numFmt w:val="bullet"/>
      <w:start w:val="1"/>
    </w:lvl>
  </w:abstractNum>
  <w:abstractNum w:abstractNumId="41">
    <w:nsid w:val="168E121F"/>
    <w:multiLevelType w:val="hybridMultilevel"/>
    <w:lvl w:ilvl="0">
      <w:lvlJc w:val="left"/>
      <w:lvlText w:val="-"/>
      <w:numFmt w:val="bullet"/>
      <w:start w:val="1"/>
    </w:lvl>
  </w:abstractNum>
  <w:abstractNum w:abstractNumId="42">
    <w:nsid w:val="1EBA5D23"/>
    <w:multiLevelType w:val="hybridMultilevel"/>
    <w:lvl w:ilvl="0">
      <w:lvlJc w:val="left"/>
      <w:lvlText w:val="-"/>
      <w:numFmt w:val="bullet"/>
      <w:start w:val="1"/>
    </w:lvl>
  </w:abstractNum>
  <w:abstractNum w:abstractNumId="43">
    <w:nsid w:val="661E3F1E"/>
    <w:multiLevelType w:val="hybridMultilevel"/>
    <w:lvl w:ilvl="0">
      <w:lvlJc w:val="left"/>
      <w:lvlText w:val="-"/>
      <w:numFmt w:val="bullet"/>
      <w:start w:val="1"/>
    </w:lvl>
  </w:abstractNum>
  <w:abstractNum w:abstractNumId="44">
    <w:nsid w:val="5DC79EA8"/>
    <w:multiLevelType w:val="hybridMultilevel"/>
    <w:lvl w:ilvl="0">
      <w:lvlJc w:val="left"/>
      <w:lvlText w:val="-"/>
      <w:numFmt w:val="bullet"/>
      <w:start w:val="1"/>
    </w:lvl>
  </w:abstractNum>
  <w:abstractNum w:abstractNumId="45">
    <w:nsid w:val="540A471C"/>
    <w:multiLevelType w:val="hybridMultilevel"/>
    <w:lvl w:ilvl="0">
      <w:lvlJc w:val="left"/>
      <w:lvlText w:val="-"/>
      <w:numFmt w:val="bullet"/>
      <w:start w:val="1"/>
    </w:lvl>
  </w:abstractNum>
  <w:abstractNum w:abstractNumId="46">
    <w:nsid w:val="7BD3EE7B"/>
    <w:multiLevelType w:val="hybridMultilevel"/>
    <w:lvl w:ilvl="0">
      <w:lvlJc w:val="left"/>
      <w:lvlText w:val="•"/>
      <w:numFmt w:val="bullet"/>
      <w:start w:val="1"/>
    </w:lvl>
  </w:abstractNum>
  <w:abstractNum w:abstractNumId="47">
    <w:nsid w:val="51D9C564"/>
    <w:multiLevelType w:val="hybridMultilevel"/>
    <w:lvl w:ilvl="0">
      <w:lvlJc w:val="left"/>
      <w:lvlText w:val="†"/>
      <w:numFmt w:val="bullet"/>
      <w:start w:val="1"/>
    </w:lvl>
  </w:abstractNum>
  <w:abstractNum w:abstractNumId="48">
    <w:nsid w:val="613EFDC5"/>
    <w:multiLevelType w:val="hybridMultilevel"/>
    <w:lvl w:ilvl="0">
      <w:lvlJc w:val="left"/>
      <w:lvlText w:val="[***]"/>
      <w:numFmt w:val="bullet"/>
      <w:start w:val="1"/>
    </w:lvl>
  </w:abstractNum>
  <w:abstractNum w:abstractNumId="49">
    <w:nsid w:val="BF72B14"/>
    <w:multiLevelType w:val="hybridMultilevel"/>
    <w:lvl w:ilvl="0">
      <w:lvlJc w:val="left"/>
      <w:lvlText w:val="%1."/>
      <w:numFmt w:val="decimal"/>
      <w:start w:val="1"/>
    </w:lvl>
  </w:abstractNum>
  <w:abstractNum w:abstractNumId="50">
    <w:nsid w:val="11447B73"/>
    <w:multiLevelType w:val="hybridMultilevel"/>
    <w:lvl w:ilvl="0">
      <w:lvlJc w:val="left"/>
      <w:lvlText w:val="%1."/>
      <w:numFmt w:val="lowerLetter"/>
      <w:start w:val="1"/>
    </w:lvl>
    <w:lvl w:ilvl="1">
      <w:lvlJc w:val="left"/>
      <w:lvlText w:val="%2."/>
      <w:numFmt w:val="lowerRoman"/>
      <w:start w:val="1"/>
    </w:lvl>
  </w:abstractNum>
  <w:abstractNum w:abstractNumId="51">
    <w:nsid w:val="42963E5A"/>
    <w:multiLevelType w:val="hybridMultilevel"/>
    <w:lvl w:ilvl="0">
      <w:lvlJc w:val="left"/>
      <w:lvlText w:val="[***]"/>
      <w:numFmt w:val="bullet"/>
      <w:start w:val="1"/>
    </w:lvl>
  </w:abstractNum>
  <w:abstractNum w:abstractNumId="52">
    <w:nsid w:val="A0382C5"/>
    <w:multiLevelType w:val="hybridMultilevel"/>
    <w:lvl w:ilvl="0">
      <w:lvlJc w:val="left"/>
      <w:lvlText w:val="%1."/>
      <w:numFmt w:val="lowerLetter"/>
      <w:start w:val="1"/>
    </w:lvl>
  </w:abstractNum>
  <w:abstractNum w:abstractNumId="53">
    <w:nsid w:val="8F2B15E"/>
    <w:multiLevelType w:val="hybridMultilevel"/>
    <w:lvl w:ilvl="0">
      <w:lvlJc w:val="left"/>
      <w:lvlText w:val="[***]"/>
      <w:numFmt w:val="bullet"/>
      <w:start w:val="1"/>
    </w:lvl>
  </w:abstractNum>
  <w:abstractNum w:abstractNumId="54">
    <w:nsid w:val="1A32234B"/>
    <w:multiLevelType w:val="hybridMultilevel"/>
    <w:lvl w:ilvl="0">
      <w:lvlJc w:val="left"/>
      <w:lvlText w:val="%1."/>
      <w:numFmt w:val="lowerLetter"/>
      <w:start w:val="3"/>
    </w:lvl>
  </w:abstractNum>
  <w:abstractNum w:abstractNumId="55">
    <w:nsid w:val="3B0FD379"/>
    <w:multiLevelType w:val="hybridMultilevel"/>
    <w:lvl w:ilvl="0">
      <w:lvlJc w:val="left"/>
      <w:lvlText w:val="%1."/>
      <w:numFmt w:val="decimal"/>
      <w:start w:val="3"/>
    </w:lvl>
  </w:abstractNum>
  <w:abstractNum w:abstractNumId="56">
    <w:nsid w:val="68EB2F63"/>
    <w:multiLevelType w:val="hybridMultilevel"/>
    <w:lvl w:ilvl="0">
      <w:lvlJc w:val="left"/>
      <w:lvlText w:val="[***]"/>
      <w:numFmt w:val="bullet"/>
      <w:start w:val="1"/>
    </w:lvl>
  </w:abstractNum>
  <w:abstractNum w:abstractNumId="57">
    <w:nsid w:val="4962813B"/>
    <w:multiLevelType w:val="hybridMultilevel"/>
    <w:lvl w:ilvl="0">
      <w:lvlJc w:val="left"/>
      <w:lvlText w:val="%1."/>
      <w:numFmt w:val="decimal"/>
      <w:start w:val="5"/>
    </w:lvl>
  </w:abstractNum>
  <w:abstractNum w:abstractNumId="58">
    <w:nsid w:val="60B6DF70"/>
    <w:multiLevelType w:val="hybridMultilevel"/>
    <w:lvl w:ilvl="0">
      <w:lvlJc w:val="left"/>
      <w:lvlText w:val="[***]"/>
      <w:numFmt w:val="bullet"/>
      <w:start w:val="1"/>
    </w:lvl>
    <w:lvl w:ilvl="1">
      <w:lvlJc w:val="left"/>
      <w:lvlText w:val="%2."/>
      <w:numFmt w:val="lowerLetter"/>
      <w:start w:val="1"/>
    </w:lvl>
  </w:abstractNum>
  <w:abstractNum w:abstractNumId="59">
    <w:nsid w:val="6A5EE6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0">
    <w:nsid w:val="1433062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1">
    <w:nsid w:val="7FFFCA11"/>
    <w:multiLevelType w:val="hybridMultilevel"/>
    <w:lvl w:ilvl="0">
      <w:lvlJc w:val="left"/>
      <w:lvlText w:val="%1."/>
      <w:numFmt w:val="lowerLetter"/>
      <w:start w:val="2"/>
    </w:lvl>
  </w:abstractNum>
  <w:abstractNum w:abstractNumId="62">
    <w:nsid w:val="1A27709E"/>
    <w:multiLevelType w:val="hybridMultilevel"/>
    <w:lvl w:ilvl="0">
      <w:lvlJc w:val="left"/>
      <w:lvlText w:val="%1."/>
      <w:numFmt w:val="lowerLetter"/>
      <w:start w:val="1"/>
    </w:lvl>
  </w:abstractNum>
  <w:abstractNum w:abstractNumId="63">
    <w:nsid w:val="71EA1109"/>
    <w:multiLevelType w:val="hybridMultilevel"/>
    <w:lvl w:ilvl="0">
      <w:lvlJc w:val="left"/>
      <w:lvlText w:val="[***]"/>
      <w:numFmt w:val="bullet"/>
      <w:start w:val="1"/>
    </w:lvl>
    <w:lvl w:ilvl="1">
      <w:lvlJc w:val="left"/>
      <w:lvlText w:val="[***]"/>
      <w:numFmt w:val="bullet"/>
      <w:start w:val="1"/>
    </w:lvl>
  </w:abstractNum>
  <w:abstractNum w:abstractNumId="64">
    <w:nsid w:val="100F59DC"/>
    <w:multiLevelType w:val="hybridMultilevel"/>
    <w:lvl w:ilvl="0">
      <w:lvlJc w:val="left"/>
      <w:lvlText w:val="%1."/>
      <w:numFmt w:val="decimal"/>
      <w:start w:val="7"/>
    </w:lvl>
  </w:abstractNum>
  <w:abstractNum w:abstractNumId="65">
    <w:nsid w:val="7FB7E0AA"/>
    <w:multiLevelType w:val="hybridMultilevel"/>
    <w:lvl w:ilvl="0">
      <w:lvlJc w:val="left"/>
      <w:lvlText w:val="[***]"/>
      <w:numFmt w:val="bullet"/>
      <w:start w:val="1"/>
    </w:lvl>
  </w:abstractNum>
  <w:abstractNum w:abstractNumId="66">
    <w:nsid w:val="6EB5BD4"/>
    <w:multiLevelType w:val="hybridMultilevel"/>
    <w:lvl w:ilvl="0">
      <w:lvlJc w:val="left"/>
      <w:lvlText w:val="%1."/>
      <w:numFmt w:val="decimal"/>
      <w:start w:val="9"/>
    </w:lvl>
  </w:abstractNum>
  <w:abstractNum w:abstractNumId="67">
    <w:nsid w:val="6F6DD9AC"/>
    <w:multiLevelType w:val="hybridMultilevel"/>
    <w:lvl w:ilvl="0">
      <w:lvlJc w:val="left"/>
      <w:lvlText w:val="[***]"/>
      <w:numFmt w:val="bullet"/>
      <w:start w:val="1"/>
    </w:lvl>
  </w:abstractNum>
  <w:abstractNum w:abstractNumId="68">
    <w:nsid w:val="94211F2"/>
    <w:multiLevelType w:val="hybridMultilevel"/>
    <w:lvl w:ilvl="0">
      <w:lvlJc w:val="left"/>
      <w:lvlText w:val="[***]"/>
      <w:numFmt w:val="bullet"/>
      <w:start w:val="1"/>
    </w:lvl>
  </w:abstractNum>
  <w:abstractNum w:abstractNumId="69">
    <w:nsid w:val="885E1B"/>
    <w:multiLevelType w:val="hybridMultilevel"/>
    <w:lvl w:ilvl="0">
      <w:lvlJc w:val="left"/>
      <w:lvlText w:val="%1."/>
      <w:numFmt w:val="decimal"/>
      <w:start w:val="10"/>
    </w:lvl>
    <w:lvl w:ilvl="1">
      <w:lvlJc w:val="left"/>
      <w:lvlText w:val="%2."/>
      <w:numFmt w:val="lowerLetter"/>
      <w:start w:val="1"/>
    </w:lvl>
  </w:abstractNum>
  <w:abstractNum w:abstractNumId="70">
    <w:nsid w:val="76272110"/>
    <w:multiLevelType w:val="hybridMultilevel"/>
    <w:lvl w:ilvl="0">
      <w:lvlJc w:val="left"/>
      <w:lvlText w:val="[***]"/>
      <w:numFmt w:val="bullet"/>
      <w:start w:val="1"/>
    </w:lvl>
  </w:abstractNum>
  <w:abstractNum w:abstractNumId="71">
    <w:nsid w:val="4C04A8AF"/>
    <w:multiLevelType w:val="hybridMultilevel"/>
    <w:lvl w:ilvl="0">
      <w:lvlJc w:val="left"/>
      <w:lvlText w:val="%1."/>
      <w:numFmt w:val="lowerLetter"/>
      <w:start w:val="2"/>
    </w:lvl>
  </w:abstractNum>
  <w:abstractNum w:abstractNumId="72">
    <w:nsid w:val="1716703B"/>
    <w:multiLevelType w:val="hybridMultilevel"/>
    <w:lvl w:ilvl="0">
      <w:lvlJc w:val="left"/>
      <w:lvlText w:val="%1."/>
      <w:numFmt w:val="lowerLetter"/>
      <w:start w:val="1"/>
    </w:lvl>
  </w:abstractNum>
  <w:abstractNum w:abstractNumId="73">
    <w:nsid w:val="14E17E33"/>
    <w:multiLevelType w:val="hybridMultilevel"/>
    <w:lvl w:ilvl="0">
      <w:lvlJc w:val="left"/>
      <w:lvlText w:val="[***]"/>
      <w:numFmt w:val="bullet"/>
      <w:start w:val="1"/>
    </w:lvl>
  </w:abstractNum>
  <w:abstractNum w:abstractNumId="74">
    <w:nsid w:val="3222E7CD"/>
    <w:multiLevelType w:val="hybridMultilevel"/>
    <w:lvl w:ilvl="0">
      <w:lvlJc w:val="left"/>
      <w:lvlText w:val="%1."/>
      <w:numFmt w:val="decimal"/>
      <w:start w:val="12"/>
    </w:lvl>
    <w:lvl w:ilvl="1">
      <w:lvlJc w:val="left"/>
      <w:lvlText w:val="%2."/>
      <w:numFmt w:val="lowerLetter"/>
      <w:start w:val="1"/>
    </w:lvl>
  </w:abstractNum>
  <w:abstractNum w:abstractNumId="75">
    <w:nsid w:val="74DE0EE3"/>
    <w:multiLevelType w:val="hybridMultilevel"/>
    <w:lvl w:ilvl="0">
      <w:lvlJc w:val="left"/>
      <w:lvlText w:val="%1."/>
      <w:numFmt w:val="decimal"/>
      <w:start w:val="13"/>
    </w:lvl>
  </w:abstractNum>
  <w:abstractNum w:abstractNumId="76">
    <w:nsid w:val="68EBC550"/>
    <w:multiLevelType w:val="hybridMultilevel"/>
    <w:lvl w:ilvl="0">
      <w:lvlJc w:val="left"/>
      <w:lvlText w:val="%1."/>
      <w:numFmt w:val="lowerLetter"/>
      <w:start w:val="1"/>
    </w:lvl>
  </w:abstractNum>
  <w:abstractNum w:abstractNumId="77">
    <w:nsid w:val="2DF6D648"/>
    <w:multiLevelType w:val="hybridMultilevel"/>
    <w:lvl w:ilvl="0">
      <w:lvlJc w:val="left"/>
      <w:lvlText w:val="[***]"/>
      <w:numFmt w:val="bullet"/>
      <w:start w:val="1"/>
    </w:lvl>
  </w:abstractNum>
  <w:abstractNum w:abstractNumId="78">
    <w:nsid w:val="46B7D447"/>
    <w:multiLevelType w:val="hybridMultilevel"/>
    <w:lvl w:ilvl="0">
      <w:lvlJc w:val="left"/>
      <w:lvlText w:val="%1."/>
      <w:numFmt w:val="decimal"/>
      <w:start w:val="14"/>
    </w:lvl>
  </w:abstractNum>
  <w:abstractNum w:abstractNumId="79">
    <w:nsid w:val="4A2AC315"/>
    <w:multiLevelType w:val="hybridMultilevel"/>
    <w:lvl w:ilvl="0">
      <w:lvlJc w:val="left"/>
      <w:lvlText w:val="[***]"/>
      <w:numFmt w:val="bullet"/>
      <w:start w:val="1"/>
    </w:lvl>
  </w:abstractNum>
  <w:abstractNum w:abstractNumId="80">
    <w:nsid w:val="39EE015C"/>
    <w:multiLevelType w:val="hybridMultilevel"/>
    <w:lvl w:ilvl="0">
      <w:lvlJc w:val="left"/>
      <w:lvlText w:val="[***]"/>
      <w:numFmt w:val="bullet"/>
      <w:start w:val="1"/>
    </w:lvl>
  </w:abstractNum>
  <w:abstractNum w:abstractNumId="81">
    <w:nsid w:val="57FC4FBB"/>
    <w:multiLevelType w:val="hybridMultilevel"/>
    <w:lvl w:ilvl="0">
      <w:lvlJc w:val="left"/>
      <w:lvlText w:val="[***]"/>
      <w:numFmt w:val="bullet"/>
      <w:start w:val="1"/>
    </w:lvl>
  </w:abstractNum>
  <w:abstractNum w:abstractNumId="82">
    <w:nsid w:val="CC1016F"/>
    <w:multiLevelType w:val="hybridMultilevel"/>
    <w:lvl w:ilvl="0">
      <w:lvlJc w:val="left"/>
      <w:lvlText w:val="[***]"/>
      <w:numFmt w:val="bullet"/>
      <w:start w:val="1"/>
    </w:lvl>
    <w:lvl w:ilvl="1">
      <w:lvlJc w:val="left"/>
      <w:lvlText w:val="%2."/>
      <w:numFmt w:val="upperLetter"/>
      <w:start w:val="9"/>
    </w:lvl>
  </w:abstractNum>
  <w:abstractNum w:abstractNumId="83">
    <w:nsid w:val="43F18422"/>
    <w:multiLevelType w:val="hybridMultilevel"/>
    <w:lvl w:ilvl="0">
      <w:lvlJc w:val="left"/>
      <w:lvlText w:val="[***]"/>
      <w:numFmt w:val="bullet"/>
      <w:start w:val="1"/>
    </w:lvl>
    <w:lvl w:ilvl="1">
      <w:lvlJc w:val="left"/>
      <w:lvlText w:val="%2."/>
      <w:numFmt w:val="upperLetter"/>
      <w:start w:val="35"/>
    </w:lvl>
  </w:abstractNum>
  <w:abstractNum w:abstractNumId="84">
    <w:nsid w:val="60EF0119"/>
    <w:multiLevelType w:val="hybridMultilevel"/>
    <w:lvl w:ilvl="0">
      <w:lvlJc w:val="left"/>
      <w:lvlText w:val="[***]"/>
      <w:numFmt w:val="bullet"/>
      <w:start w:val="1"/>
    </w:lvl>
  </w:abstractNum>
  <w:abstractNum w:abstractNumId="85">
    <w:nsid w:val="26F324BA"/>
    <w:multiLevelType w:val="hybridMultilevel"/>
    <w:lvl w:ilvl="0">
      <w:lvlJc w:val="left"/>
      <w:lvlText w:val="%1."/>
      <w:numFmt w:val="upperLetter"/>
      <w:start w:val="9"/>
    </w:lvl>
  </w:abstractNum>
  <w:abstractNum w:abstractNumId="86">
    <w:nsid w:val="7F01579B"/>
    <w:multiLevelType w:val="hybridMultilevel"/>
    <w:lvl w:ilvl="0">
      <w:lvlJc w:val="left"/>
      <w:lvlText w:val="%1."/>
      <w:numFmt w:val="upperLetter"/>
      <w:start w:val="35"/>
    </w:lvl>
  </w:abstractNum>
  <w:abstractNum w:abstractNumId="87">
    <w:nsid w:val="49DA307D"/>
    <w:multiLevelType w:val="hybridMultilevel"/>
    <w:lvl w:ilvl="0">
      <w:lvlJc w:val="left"/>
      <w:lvlText w:val="[***]"/>
      <w:numFmt w:val="bullet"/>
      <w:start w:val="1"/>
    </w:lvl>
  </w:abstractNum>
  <w:abstractNum w:abstractNumId="88">
    <w:nsid w:val="7055A5F5"/>
    <w:multiLevelType w:val="hybridMultilevel"/>
    <w:lvl w:ilvl="0">
      <w:lvlJc w:val="left"/>
      <w:lvlText w:val="%1."/>
      <w:numFmt w:val="upperLetter"/>
      <w:start w:val="9"/>
    </w:lvl>
  </w:abstractNum>
  <w:abstractNum w:abstractNumId="89">
    <w:nsid w:val="5FB8370B"/>
    <w:multiLevelType w:val="hybridMultilevel"/>
    <w:lvl w:ilvl="0">
      <w:lvlJc w:val="left"/>
      <w:lvlText w:val="%1."/>
      <w:numFmt w:val="upperLetter"/>
      <w:start w:val="35"/>
    </w:lvl>
    <w:lvl w:ilvl="1">
      <w:lvlJc w:val="left"/>
      <w:lvlText w:val="(%2)"/>
      <w:numFmt w:val="lowerLetter"/>
      <w:start w:val="1"/>
    </w:lvl>
  </w:abstractNum>
  <w:abstractNum w:abstractNumId="90">
    <w:nsid w:val="50801EE1"/>
    <w:multiLevelType w:val="hybridMultilevel"/>
    <w:lvl w:ilvl="0">
      <w:lvlJc w:val="left"/>
      <w:lvlText w:val="%1."/>
      <w:numFmt w:val="upperLetter"/>
      <w:start w:val="61"/>
    </w:lvl>
    <w:lvl w:ilvl="1">
      <w:lvlJc w:val="left"/>
      <w:lvlText w:val="(%2)"/>
      <w:numFmt w:val="lowerLetter"/>
      <w:start w:val="1"/>
    </w:lvl>
    <w:lvl w:ilvl="2">
      <w:lvlJc w:val="left"/>
      <w:lvlText w:val="(%3)"/>
      <w:numFmt w:val="decimal"/>
      <w:start w:val="1"/>
    </w:lvl>
  </w:abstractNum>
  <w:abstractNum w:abstractNumId="91">
    <w:nsid w:val="488AC1A"/>
    <w:multiLevelType w:val="hybridMultilevel"/>
    <w:lvl w:ilvl="0">
      <w:lvlJc w:val="left"/>
      <w:lvlText w:val="%1."/>
      <w:numFmt w:val="upperLetter"/>
      <w:start w:val="22"/>
    </w:lvl>
    <w:lvl w:ilvl="1">
      <w:lvlJc w:val="left"/>
      <w:lvlText w:val="(%2)"/>
      <w:numFmt w:val="lowerLetter"/>
      <w:start w:val="1"/>
    </w:lvl>
  </w:abstractNum>
  <w:abstractNum w:abstractNumId="92">
    <w:nsid w:val="5FB8011C"/>
    <w:multiLevelType w:val="hybridMultilevel"/>
    <w:lvl w:ilvl="0">
      <w:lvlJc w:val="left"/>
      <w:lvlText w:val="[***]"/>
      <w:numFmt w:val="bullet"/>
      <w:start w:val="1"/>
    </w:lvl>
  </w:abstractNum>
  <w:abstractNum w:abstractNumId="93">
    <w:nsid w:val="6AA78F7F"/>
    <w:multiLevelType w:val="hybridMultilevel"/>
    <w:lvl w:ilvl="0">
      <w:lvlJc w:val="left"/>
      <w:lvlText w:val="[***]"/>
      <w:numFmt w:val="bullet"/>
      <w:start w:val="1"/>
    </w:lvl>
  </w:abstractNum>
  <w:abstractNum w:abstractNumId="94">
    <w:nsid w:val="7672BD23"/>
    <w:multiLevelType w:val="hybridMultilevel"/>
    <w:lvl w:ilvl="0">
      <w:lvlJc w:val="left"/>
      <w:lvlText w:val="[***]"/>
      <w:numFmt w:val="bullet"/>
      <w:start w:val="1"/>
    </w:lvl>
  </w:abstractNum>
  <w:abstractNum w:abstractNumId="95">
    <w:nsid w:val="6FC75AF8"/>
    <w:multiLevelType w:val="hybridMultilevel"/>
    <w:lvl w:ilvl="0">
      <w:lvlJc w:val="left"/>
      <w:lvlText w:val="•"/>
      <w:numFmt w:val="bullet"/>
      <w:start w:val="1"/>
    </w:lvl>
  </w:abstractNum>
  <w:abstractNum w:abstractNumId="96">
    <w:nsid w:val="6A5F7029"/>
    <w:multiLevelType w:val="hybridMultilevel"/>
    <w:lvl w:ilvl="0">
      <w:lvlJc w:val="left"/>
      <w:lvlText w:val="[***]"/>
      <w:numFmt w:val="bullet"/>
      <w:start w:val="1"/>
    </w:lvl>
  </w:abstractNum>
  <w:abstractNum w:abstractNumId="97">
    <w:nsid w:val="7D5E18F8"/>
    <w:multiLevelType w:val="hybridMultilevel"/>
    <w:lvl w:ilvl="0">
      <w:lvlJc w:val="left"/>
      <w:lvlText w:val="%1."/>
      <w:numFmt w:val="decimal"/>
      <w:start w:val="1"/>
    </w:lvl>
  </w:abstractNum>
  <w:abstractNum w:abstractNumId="98">
    <w:nsid w:val="5F3534A4"/>
    <w:multiLevelType w:val="hybridMultilevel"/>
    <w:lvl w:ilvl="0">
      <w:lvlJc w:val="left"/>
      <w:lvlText w:val="%1."/>
      <w:numFmt w:val="decimal"/>
      <w:start w:val="5"/>
    </w:lvl>
  </w:abstractNum>
  <w:abstractNum w:abstractNumId="99">
    <w:nsid w:val="73A1821B"/>
    <w:multiLevelType w:val="hybridMultilevel"/>
    <w:lvl w:ilvl="0">
      <w:lvlJc w:val="left"/>
      <w:lvlText w:val="%1."/>
      <w:numFmt w:val="decimal"/>
      <w:start w:val="1"/>
    </w:lvl>
  </w:abstractNum>
  <w:abstractNum w:abstractNumId="100">
    <w:nsid w:val="7DE67713"/>
    <w:multiLevelType w:val="hybridMultilevel"/>
    <w:lvl w:ilvl="0">
      <w:lvlJc w:val="left"/>
      <w:lvlText w:val="%1."/>
      <w:numFmt w:val="decimal"/>
      <w:start w:val="5"/>
    </w:lvl>
  </w:abstractNum>
  <w:abstractNum w:abstractNumId="101">
    <w:nsid w:val="555C55B5"/>
    <w:multiLevelType w:val="hybridMultilevel"/>
    <w:lvl w:ilvl="0">
      <w:lvlJc w:val="left"/>
      <w:lvlText w:val="%1."/>
      <w:numFmt w:val="decimal"/>
      <w:start w:val="1"/>
    </w:lvl>
  </w:abstractNum>
  <w:abstractNum w:abstractNumId="102">
    <w:nsid w:val="3FA62AC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2019-12-29T06:56:06Z</dcterms:created>
  <dcterms:modified xsi:type="dcterms:W3CDTF">2019-12-29T06:56:06Z</dcterms:modified>
</cp:coreProperties>
</file>