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4"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-224155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18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-600710</wp:posOffset>
            </wp:positionV>
            <wp:extent cx="56515" cy="614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045"/>
                    </a:xfrm>
                    <a:prstGeom prst="rect">
                      <a:avLst/>
                    </a:prstGeom>
                    <a:noFill/>
                  </pic:spPr>
                </pic:pic>
              </a:graphicData>
            </a:graphic>
          </wp:anchor>
        </w:drawing>
        <w:drawing>
          <wp:anchor simplePos="0" relativeHeight="251657728" behindDoc="1" locked="0" layoutInCell="0" allowOverlap="1">
            <wp:simplePos x="0" y="0"/>
            <wp:positionH relativeFrom="column">
              <wp:posOffset>3909060</wp:posOffset>
            </wp:positionH>
            <wp:positionV relativeFrom="paragraph">
              <wp:posOffset>-600710</wp:posOffset>
            </wp:positionV>
            <wp:extent cx="5651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04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22860</wp:posOffset>
            </wp:positionV>
            <wp:extent cx="7049135" cy="5469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546925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Kurtoglu Metin</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20" w:type="dxa"/>
            <w:vAlign w:val="bottom"/>
          </w:tcPr>
          <w:p>
            <w:pPr>
              <w:ind w:left="20"/>
              <w:spacing w:after="0"/>
              <w:rPr>
                <w:sz w:val="20"/>
                <w:szCs w:val="20"/>
                <w:color w:val="auto"/>
              </w:rPr>
            </w:pPr>
            <w:r>
              <w:rPr>
                <w:rFonts w:ascii="Arial" w:cs="Arial" w:eastAsia="Arial" w:hAnsi="Arial"/>
                <w:sz w:val="12"/>
                <w:szCs w:val="12"/>
                <w:color w:val="auto"/>
              </w:rPr>
              <w:t>(Last)</w:t>
            </w:r>
          </w:p>
        </w:tc>
        <w:tc>
          <w:tcPr>
            <w:tcW w:w="900" w:type="dxa"/>
            <w:vAlign w:val="bottom"/>
          </w:tcPr>
          <w:p>
            <w:pPr>
              <w:ind w:left="120"/>
              <w:spacing w:after="0"/>
              <w:rPr>
                <w:sz w:val="20"/>
                <w:szCs w:val="20"/>
                <w:color w:val="auto"/>
              </w:rPr>
            </w:pPr>
            <w:r>
              <w:rPr>
                <w:rFonts w:ascii="Arial" w:cs="Arial" w:eastAsia="Arial" w:hAnsi="Arial"/>
                <w:sz w:val="12"/>
                <w:szCs w:val="12"/>
                <w:color w:val="auto"/>
              </w:rPr>
              <w:t>(First)</w:t>
            </w:r>
          </w:p>
        </w:tc>
        <w:tc>
          <w:tcPr>
            <w:tcW w:w="1640" w:type="dxa"/>
            <w:vAlign w:val="bottom"/>
          </w:tcPr>
          <w:p>
            <w:pPr>
              <w:ind w:left="440"/>
              <w:spacing w:after="0"/>
              <w:rPr>
                <w:sz w:val="20"/>
                <w:szCs w:val="20"/>
                <w:color w:val="auto"/>
              </w:rPr>
            </w:pPr>
            <w:r>
              <w:rPr>
                <w:rFonts w:ascii="Arial" w:cs="Arial" w:eastAsia="Arial" w:hAnsi="Arial"/>
                <w:sz w:val="12"/>
                <w:szCs w:val="12"/>
                <w:color w:val="auto"/>
              </w:rPr>
              <w:t>(Middle)</w:t>
            </w:r>
          </w:p>
        </w:tc>
      </w:tr>
      <w:tr>
        <w:trPr>
          <w:trHeight w:val="259"/>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Arial" w:cs="Arial" w:eastAsia="Arial" w:hAnsi="Arial"/>
                <w:sz w:val="16"/>
                <w:szCs w:val="16"/>
                <w:color w:val="0000FF"/>
              </w:rPr>
              <w:t>C/O CARTESIAN THERAPEUTICS, INC.</w:t>
            </w:r>
          </w:p>
        </w:tc>
      </w:tr>
      <w:tr>
        <w:trPr>
          <w:trHeight w:val="247"/>
        </w:trPr>
        <w:tc>
          <w:tcPr>
            <w:tcW w:w="20" w:type="dxa"/>
            <w:vAlign w:val="bottom"/>
          </w:tcPr>
          <w:p>
            <w:pPr>
              <w:spacing w:after="0"/>
              <w:rPr>
                <w:sz w:val="21"/>
                <w:szCs w:val="21"/>
                <w:color w:val="auto"/>
              </w:rPr>
            </w:pPr>
          </w:p>
        </w:tc>
        <w:tc>
          <w:tcPr>
            <w:tcW w:w="2020" w:type="dxa"/>
            <w:vAlign w:val="bottom"/>
            <w:gridSpan w:val="2"/>
          </w:tcPr>
          <w:p>
            <w:pPr>
              <w:ind w:left="20"/>
              <w:spacing w:after="0"/>
              <w:rPr>
                <w:sz w:val="20"/>
                <w:szCs w:val="20"/>
                <w:color w:val="auto"/>
              </w:rPr>
            </w:pPr>
            <w:r>
              <w:rPr>
                <w:rFonts w:ascii="Arial" w:cs="Arial" w:eastAsia="Arial" w:hAnsi="Arial"/>
                <w:sz w:val="16"/>
                <w:szCs w:val="16"/>
                <w:color w:val="0000FF"/>
              </w:rPr>
              <w:t>65 GROVE STREET</w:t>
            </w:r>
          </w:p>
        </w:tc>
        <w:tc>
          <w:tcPr>
            <w:tcW w:w="164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r>
      <w:tr>
        <w:trPr>
          <w:trHeight w:val="246"/>
        </w:trPr>
        <w:tc>
          <w:tcPr>
            <w:tcW w:w="11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6"/>
                <w:szCs w:val="16"/>
                <w:color w:val="0000FF"/>
              </w:rPr>
              <w:t>WATERTOWN</w:t>
            </w:r>
          </w:p>
        </w:tc>
        <w:tc>
          <w:tcPr>
            <w:tcW w:w="900" w:type="dxa"/>
            <w:vAlign w:val="bottom"/>
          </w:tcPr>
          <w:p>
            <w:pPr>
              <w:ind w:left="120"/>
              <w:spacing w:after="0"/>
              <w:rPr>
                <w:sz w:val="20"/>
                <w:szCs w:val="20"/>
                <w:color w:val="auto"/>
              </w:rPr>
            </w:pPr>
            <w:r>
              <w:rPr>
                <w:rFonts w:ascii="Arial" w:cs="Arial" w:eastAsia="Arial" w:hAnsi="Arial"/>
                <w:sz w:val="16"/>
                <w:szCs w:val="16"/>
                <w:color w:val="0000FF"/>
              </w:rPr>
              <w:t>MA</w:t>
            </w:r>
          </w:p>
        </w:tc>
        <w:tc>
          <w:tcPr>
            <w:tcW w:w="1640" w:type="dxa"/>
            <w:vAlign w:val="bottom"/>
          </w:tcPr>
          <w:p>
            <w:pPr>
              <w:ind w:left="440"/>
              <w:spacing w:after="0"/>
              <w:rPr>
                <w:sz w:val="20"/>
                <w:szCs w:val="20"/>
                <w:color w:val="auto"/>
              </w:rPr>
            </w:pPr>
            <w:r>
              <w:rPr>
                <w:rFonts w:ascii="Arial" w:cs="Arial" w:eastAsia="Arial" w:hAnsi="Arial"/>
                <w:sz w:val="16"/>
                <w:szCs w:val="16"/>
                <w:color w:val="0000FF"/>
              </w:rPr>
              <w:t>02472</w:t>
            </w:r>
          </w:p>
        </w:tc>
      </w:tr>
      <w:tr>
        <w:trPr>
          <w:trHeight w:val="142"/>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2"/>
                <w:szCs w:val="12"/>
                <w:color w:val="auto"/>
              </w:rPr>
              <w:t>(City)</w:t>
            </w:r>
          </w:p>
        </w:tc>
        <w:tc>
          <w:tcPr>
            <w:tcW w:w="900" w:type="dxa"/>
            <w:vAlign w:val="bottom"/>
          </w:tcPr>
          <w:p>
            <w:pPr>
              <w:ind w:left="120"/>
              <w:spacing w:after="0"/>
              <w:rPr>
                <w:sz w:val="20"/>
                <w:szCs w:val="20"/>
                <w:color w:val="auto"/>
              </w:rPr>
            </w:pPr>
            <w:r>
              <w:rPr>
                <w:rFonts w:ascii="Arial" w:cs="Arial" w:eastAsia="Arial" w:hAnsi="Arial"/>
                <w:sz w:val="12"/>
                <w:szCs w:val="12"/>
                <w:color w:val="auto"/>
              </w:rPr>
              <w:t>(State)</w:t>
            </w:r>
          </w:p>
        </w:tc>
        <w:tc>
          <w:tcPr>
            <w:tcW w:w="1640" w:type="dxa"/>
            <w:vAlign w:val="bottom"/>
          </w:tcPr>
          <w:p>
            <w:pPr>
              <w:ind w:left="4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3780" w:type="dxa"/>
            <w:vAlign w:val="bottom"/>
            <w:gridSpan w:val="3"/>
          </w:tcPr>
          <w:p>
            <w:pPr>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Cartesian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RNAC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80" w:type="dxa"/>
            <w:vAlign w:val="bottom"/>
            <w:gridSpan w:val="2"/>
            <w:vMerge w:val="continue"/>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340" w:type="dxa"/>
            <w:vAlign w:val="bottom"/>
          </w:tcPr>
          <w:p>
            <w:pPr>
              <w:ind w:left="100"/>
              <w:spacing w:after="0" w:line="113"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13"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05"/>
        </w:trPr>
        <w:tc>
          <w:tcPr>
            <w:tcW w:w="2280" w:type="dxa"/>
            <w:vAlign w:val="bottom"/>
            <w:gridSpan w:val="3"/>
          </w:tcPr>
          <w:p>
            <w:pPr>
              <w:ind w:left="60"/>
              <w:spacing w:after="0"/>
              <w:rPr>
                <w:sz w:val="20"/>
                <w:szCs w:val="20"/>
                <w:color w:val="auto"/>
              </w:rPr>
            </w:pPr>
            <w:r>
              <w:rPr>
                <w:rFonts w:ascii="Arial" w:cs="Arial" w:eastAsia="Arial" w:hAnsi="Arial"/>
                <w:sz w:val="16"/>
                <w:szCs w:val="16"/>
                <w:color w:val="0000FF"/>
              </w:rPr>
              <w:t>11/13/2023</w:t>
            </w:r>
          </w:p>
        </w:tc>
        <w:tc>
          <w:tcPr>
            <w:tcW w:w="1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6"/>
                <w:szCs w:val="16"/>
                <w:color w:val="0000FF"/>
              </w:rPr>
              <w:t>Chief Operations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0" w:lineRule="exact"/>
        <w:rPr>
          <w:sz w:val="24"/>
          <w:szCs w:val="24"/>
          <w:color w:val="auto"/>
        </w:rPr>
      </w:pPr>
    </w:p>
    <w:p>
      <w:pPr>
        <w:ind w:left="300" w:right="400"/>
        <w:spacing w:after="0" w:line="26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tcPr>
          <w:p>
            <w:pPr>
              <w:ind w:left="8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520" w:type="dxa"/>
            <w:vAlign w:val="bottom"/>
          </w:tcPr>
          <w:p>
            <w:pPr>
              <w:spacing w:after="0"/>
              <w:rPr>
                <w:sz w:val="10"/>
                <w:szCs w:val="10"/>
                <w:color w:val="auto"/>
              </w:rPr>
            </w:pPr>
          </w:p>
        </w:tc>
        <w:tc>
          <w:tcPr>
            <w:tcW w:w="1860" w:type="dxa"/>
            <w:vAlign w:val="bottom"/>
          </w:tcPr>
          <w:p>
            <w:pPr>
              <w:ind w:left="880"/>
              <w:spacing w:after="0" w:line="120"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60" w:type="dxa"/>
            <w:vAlign w:val="bottom"/>
          </w:tcPr>
          <w:p>
            <w:pPr>
              <w:ind w:left="8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0"/>
                <w:szCs w:val="10"/>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 (Instr.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3 and 4)</w:t>
            </w:r>
          </w:p>
        </w:tc>
        <w:tc>
          <w:tcPr>
            <w:tcW w:w="76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7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0000FF"/>
                <w:w w:val="92"/>
              </w:rPr>
              <w:t>Series A</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6"/>
              </w:rPr>
              <w:t>Non-Voting</w:t>
            </w: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Option</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6,414.682</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46.77</w:t>
            </w: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11/13/2023</w:t>
            </w:r>
          </w:p>
        </w:tc>
        <w:tc>
          <w:tcPr>
            <w:tcW w:w="1040" w:type="dxa"/>
            <w:vAlign w:val="bottom"/>
          </w:tcPr>
          <w:p>
            <w:pPr>
              <w:spacing w:after="0"/>
              <w:rPr>
                <w:sz w:val="6"/>
                <w:szCs w:val="6"/>
                <w:color w:val="auto"/>
              </w:rPr>
            </w:pPr>
          </w:p>
        </w:tc>
        <w:tc>
          <w:tcPr>
            <w:tcW w:w="760" w:type="dxa"/>
            <w:vAlign w:val="bottom"/>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6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89"/>
              </w:rPr>
              <w:t>6,414.682</w:t>
            </w:r>
          </w:p>
        </w:tc>
        <w:tc>
          <w:tcPr>
            <w:tcW w:w="280" w:type="dxa"/>
            <w:vAlign w:val="bottom"/>
          </w:tcPr>
          <w:p>
            <w:pPr>
              <w:spacing w:after="0"/>
              <w:rPr>
                <w:sz w:val="6"/>
                <w:szCs w:val="6"/>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ind w:left="80"/>
              <w:spacing w:after="0" w:line="136" w:lineRule="exact"/>
              <w:rPr>
                <w:sz w:val="20"/>
                <w:szCs w:val="20"/>
                <w:color w:val="auto"/>
              </w:rPr>
            </w:pPr>
            <w:r>
              <w:rPr>
                <w:rFonts w:ascii="Arial" w:cs="Arial" w:eastAsia="Arial" w:hAnsi="Arial"/>
                <w:sz w:val="12"/>
                <w:szCs w:val="12"/>
                <w:color w:val="0000FF"/>
                <w:w w:val="99"/>
              </w:rPr>
              <w:t>11/06/2026</w:t>
            </w:r>
          </w:p>
        </w:tc>
        <w:tc>
          <w:tcPr>
            <w:tcW w:w="72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8"/>
              </w:rPr>
              <w:t>Convertible</w:t>
            </w:r>
          </w:p>
        </w:tc>
        <w:tc>
          <w:tcPr>
            <w:tcW w:w="76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9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6,414.682</w:t>
            </w:r>
          </w:p>
        </w:tc>
        <w:tc>
          <w:tcPr>
            <w:tcW w:w="700" w:type="dxa"/>
            <w:vAlign w:val="bottom"/>
            <w:vMerge w:val="restart"/>
          </w:tcPr>
          <w:p>
            <w:pPr>
              <w:ind w:left="300"/>
              <w:spacing w:after="0" w:line="136"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jc w:val="center"/>
              <w:spacing w:after="0" w:line="132" w:lineRule="exact"/>
              <w:rPr>
                <w:sz w:val="20"/>
                <w:szCs w:val="20"/>
                <w:color w:val="auto"/>
              </w:rPr>
            </w:pPr>
            <w:r>
              <w:rPr>
                <w:rFonts w:ascii="Arial" w:cs="Arial" w:eastAsia="Arial" w:hAnsi="Arial"/>
                <w:sz w:val="12"/>
                <w:szCs w:val="12"/>
                <w:color w:val="0000FF"/>
                <w:w w:val="91"/>
              </w:rPr>
              <w:t>Preferred</w:t>
            </w: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vMerge w:val="restart"/>
          </w:tcPr>
          <w:p>
            <w:pPr>
              <w:jc w:val="center"/>
              <w:spacing w:after="0" w:line="223" w:lineRule="exact"/>
              <w:rPr>
                <w:sz w:val="20"/>
                <w:szCs w:val="20"/>
                <w:color w:val="auto"/>
              </w:rPr>
            </w:pPr>
            <w:r>
              <w:rPr>
                <w:rFonts w:ascii="Arial" w:cs="Arial" w:eastAsia="Arial" w:hAnsi="Arial"/>
                <w:sz w:val="12"/>
                <w:szCs w:val="12"/>
                <w:color w:val="0000FF"/>
                <w:w w:val="86"/>
              </w:rPr>
              <w:t>Stock</w:t>
            </w:r>
            <w:r>
              <w:rPr>
                <w:rFonts w:ascii="Arial" w:cs="Arial" w:eastAsia="Arial" w:hAnsi="Arial"/>
                <w:sz w:val="20"/>
                <w:szCs w:val="20"/>
                <w:color w:val="008000"/>
                <w:w w:val="86"/>
                <w:vertAlign w:val="superscript"/>
              </w:rPr>
              <w:t>(2)</w:t>
            </w: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0000FF"/>
                <w:w w:val="92"/>
              </w:rPr>
              <w:t>Series A</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6"/>
              </w:rPr>
              <w:t>Non-Voting</w:t>
            </w: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Option</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427.645</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107.59</w:t>
            </w: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11/13/2023</w:t>
            </w:r>
          </w:p>
        </w:tc>
        <w:tc>
          <w:tcPr>
            <w:tcW w:w="1040" w:type="dxa"/>
            <w:vAlign w:val="bottom"/>
          </w:tcPr>
          <w:p>
            <w:pPr>
              <w:spacing w:after="0"/>
              <w:rPr>
                <w:sz w:val="6"/>
                <w:szCs w:val="6"/>
                <w:color w:val="auto"/>
              </w:rPr>
            </w:pPr>
          </w:p>
        </w:tc>
        <w:tc>
          <w:tcPr>
            <w:tcW w:w="760" w:type="dxa"/>
            <w:vAlign w:val="bottom"/>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6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2"/>
              </w:rPr>
              <w:t>427.645</w:t>
            </w:r>
          </w:p>
        </w:tc>
        <w:tc>
          <w:tcPr>
            <w:tcW w:w="280" w:type="dxa"/>
            <w:vAlign w:val="bottom"/>
          </w:tcPr>
          <w:p>
            <w:pPr>
              <w:spacing w:after="0"/>
              <w:rPr>
                <w:sz w:val="6"/>
                <w:szCs w:val="6"/>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ind w:left="80"/>
              <w:spacing w:after="0" w:line="136" w:lineRule="exact"/>
              <w:rPr>
                <w:sz w:val="20"/>
                <w:szCs w:val="20"/>
                <w:color w:val="auto"/>
              </w:rPr>
            </w:pPr>
            <w:r>
              <w:rPr>
                <w:rFonts w:ascii="Arial" w:cs="Arial" w:eastAsia="Arial" w:hAnsi="Arial"/>
                <w:sz w:val="12"/>
                <w:szCs w:val="12"/>
                <w:color w:val="0000FF"/>
                <w:w w:val="99"/>
              </w:rPr>
              <w:t>04/25/2031</w:t>
            </w:r>
          </w:p>
        </w:tc>
        <w:tc>
          <w:tcPr>
            <w:tcW w:w="72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8"/>
              </w:rPr>
              <w:t>Convertible</w:t>
            </w:r>
          </w:p>
        </w:tc>
        <w:tc>
          <w:tcPr>
            <w:tcW w:w="76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9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2"/>
              </w:rPr>
              <w:t>427.645</w:t>
            </w:r>
          </w:p>
        </w:tc>
        <w:tc>
          <w:tcPr>
            <w:tcW w:w="700" w:type="dxa"/>
            <w:vAlign w:val="bottom"/>
            <w:vMerge w:val="restart"/>
          </w:tcPr>
          <w:p>
            <w:pPr>
              <w:ind w:left="300"/>
              <w:spacing w:after="0" w:line="136"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jc w:val="center"/>
              <w:spacing w:after="0" w:line="132" w:lineRule="exact"/>
              <w:rPr>
                <w:sz w:val="20"/>
                <w:szCs w:val="20"/>
                <w:color w:val="auto"/>
              </w:rPr>
            </w:pPr>
            <w:r>
              <w:rPr>
                <w:rFonts w:ascii="Arial" w:cs="Arial" w:eastAsia="Arial" w:hAnsi="Arial"/>
                <w:sz w:val="12"/>
                <w:szCs w:val="12"/>
                <w:color w:val="0000FF"/>
                <w:w w:val="91"/>
              </w:rPr>
              <w:t>Preferred</w:t>
            </w: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vMerge w:val="restart"/>
          </w:tcPr>
          <w:p>
            <w:pPr>
              <w:jc w:val="center"/>
              <w:spacing w:after="0" w:line="223" w:lineRule="exact"/>
              <w:rPr>
                <w:sz w:val="20"/>
                <w:szCs w:val="20"/>
                <w:color w:val="auto"/>
              </w:rPr>
            </w:pPr>
            <w:r>
              <w:rPr>
                <w:rFonts w:ascii="Arial" w:cs="Arial" w:eastAsia="Arial" w:hAnsi="Arial"/>
                <w:sz w:val="12"/>
                <w:szCs w:val="12"/>
                <w:color w:val="0000FF"/>
                <w:w w:val="86"/>
              </w:rPr>
              <w:t>Stock</w:t>
            </w:r>
            <w:r>
              <w:rPr>
                <w:rFonts w:ascii="Arial" w:cs="Arial" w:eastAsia="Arial" w:hAnsi="Arial"/>
                <w:sz w:val="20"/>
                <w:szCs w:val="20"/>
                <w:color w:val="008000"/>
                <w:w w:val="86"/>
                <w:vertAlign w:val="superscript"/>
              </w:rPr>
              <w:t>(2)</w:t>
            </w: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0000FF"/>
                <w:w w:val="92"/>
              </w:rPr>
              <w:t>Series A</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6"/>
              </w:rPr>
              <w:t>Non-Voting</w:t>
            </w: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Option</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427.645</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107.59</w:t>
            </w: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11/13/2023</w:t>
            </w:r>
          </w:p>
        </w:tc>
        <w:tc>
          <w:tcPr>
            <w:tcW w:w="1040" w:type="dxa"/>
            <w:vAlign w:val="bottom"/>
          </w:tcPr>
          <w:p>
            <w:pPr>
              <w:spacing w:after="0"/>
              <w:rPr>
                <w:sz w:val="6"/>
                <w:szCs w:val="6"/>
                <w:color w:val="auto"/>
              </w:rPr>
            </w:pPr>
          </w:p>
        </w:tc>
        <w:tc>
          <w:tcPr>
            <w:tcW w:w="760" w:type="dxa"/>
            <w:vAlign w:val="bottom"/>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6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2"/>
              </w:rPr>
              <w:t>427.645</w:t>
            </w:r>
          </w:p>
        </w:tc>
        <w:tc>
          <w:tcPr>
            <w:tcW w:w="280" w:type="dxa"/>
            <w:vAlign w:val="bottom"/>
          </w:tcPr>
          <w:p>
            <w:pPr>
              <w:spacing w:after="0"/>
              <w:rPr>
                <w:sz w:val="6"/>
                <w:szCs w:val="6"/>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700" w:type="dxa"/>
            <w:vAlign w:val="bottom"/>
            <w:vMerge w:val="restart"/>
          </w:tcPr>
          <w:p>
            <w:pPr>
              <w:ind w:left="80"/>
              <w:spacing w:after="0" w:line="136" w:lineRule="exact"/>
              <w:rPr>
                <w:sz w:val="20"/>
                <w:szCs w:val="20"/>
                <w:color w:val="auto"/>
              </w:rPr>
            </w:pPr>
            <w:r>
              <w:rPr>
                <w:rFonts w:ascii="Arial" w:cs="Arial" w:eastAsia="Arial" w:hAnsi="Arial"/>
                <w:sz w:val="12"/>
                <w:szCs w:val="12"/>
                <w:color w:val="0000FF"/>
                <w:w w:val="99"/>
              </w:rPr>
              <w:t>02/29/2032</w:t>
            </w:r>
          </w:p>
        </w:tc>
        <w:tc>
          <w:tcPr>
            <w:tcW w:w="72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8"/>
              </w:rPr>
              <w:t>Convertible</w:t>
            </w:r>
          </w:p>
        </w:tc>
        <w:tc>
          <w:tcPr>
            <w:tcW w:w="76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9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2"/>
              </w:rPr>
              <w:t>427.645</w:t>
            </w:r>
          </w:p>
        </w:tc>
        <w:tc>
          <w:tcPr>
            <w:tcW w:w="700" w:type="dxa"/>
            <w:vAlign w:val="bottom"/>
            <w:vMerge w:val="restart"/>
          </w:tcPr>
          <w:p>
            <w:pPr>
              <w:ind w:left="300"/>
              <w:spacing w:after="0" w:line="136"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jc w:val="center"/>
              <w:spacing w:after="0" w:line="85" w:lineRule="exact"/>
              <w:rPr>
                <w:sz w:val="20"/>
                <w:szCs w:val="20"/>
                <w:color w:val="auto"/>
              </w:rPr>
            </w:pPr>
            <w:r>
              <w:rPr>
                <w:rFonts w:ascii="Arial" w:cs="Arial" w:eastAsia="Arial" w:hAnsi="Arial"/>
                <w:sz w:val="9"/>
                <w:szCs w:val="9"/>
                <w:color w:val="0000FF"/>
              </w:rPr>
              <w:t>Preferred</w:t>
            </w: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3460" w:type="dxa"/>
            <w:vAlign w:val="bottom"/>
          </w:tcPr>
          <w:p>
            <w:pPr>
              <w:spacing w:after="0"/>
              <w:rPr>
                <w:sz w:val="20"/>
                <w:szCs w:val="20"/>
                <w:color w:val="auto"/>
              </w:rPr>
            </w:pPr>
            <w:r>
              <w:rPr>
                <w:rFonts w:ascii="Arial" w:cs="Arial" w:eastAsia="Arial" w:hAnsi="Arial"/>
                <w:sz w:val="12"/>
                <w:szCs w:val="12"/>
                <w:color w:val="0000FF"/>
              </w:rPr>
              <w:t>Buy)</w:t>
            </w:r>
          </w:p>
        </w:tc>
        <w:tc>
          <w:tcPr>
            <w:tcW w:w="3640" w:type="dxa"/>
            <w:vAlign w:val="bottom"/>
            <w:vMerge w:val="restart"/>
          </w:tcPr>
          <w:p>
            <w:pPr>
              <w:ind w:left="3240"/>
              <w:spacing w:after="0"/>
              <w:rPr>
                <w:sz w:val="20"/>
                <w:szCs w:val="20"/>
                <w:color w:val="auto"/>
              </w:rPr>
            </w:pPr>
            <w:r>
              <w:rPr>
                <w:rFonts w:ascii="Arial" w:cs="Arial" w:eastAsia="Arial" w:hAnsi="Arial"/>
                <w:sz w:val="12"/>
                <w:szCs w:val="12"/>
                <w:color w:val="0000FF"/>
                <w:w w:val="81"/>
              </w:rPr>
              <w:t>Stock</w:t>
            </w:r>
            <w:r>
              <w:rPr>
                <w:rFonts w:ascii="Arial" w:cs="Arial" w:eastAsia="Arial" w:hAnsi="Arial"/>
                <w:sz w:val="20"/>
                <w:szCs w:val="20"/>
                <w:color w:val="008000"/>
                <w:w w:val="81"/>
                <w:vertAlign w:val="superscript"/>
              </w:rPr>
              <w:t>(2)</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3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is fully exercisable.</w:t>
      </w:r>
    </w:p>
    <w:p>
      <w:pPr>
        <w:spacing w:after="0" w:line="47" w:lineRule="exact"/>
        <w:rPr>
          <w:rFonts w:ascii="Arial" w:cs="Arial" w:eastAsia="Arial" w:hAnsi="Arial"/>
          <w:sz w:val="12"/>
          <w:szCs w:val="12"/>
          <w:color w:val="008000"/>
        </w:rPr>
      </w:pPr>
    </w:p>
    <w:p>
      <w:pPr>
        <w:ind w:left="40" w:right="260" w:hanging="4"/>
        <w:spacing w:after="0" w:line="246"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Following the approval by the stockholders of the issuer of the conversion of the Series A Preferred Stock into shares of common stock of the issuer ("Common Stock"), each share of Series A Preferred Stock will be convertible into 1,000 shares of Common Stock, subject to certain limitations, including that a holder of Series A Preferred Stock is prohibited from converting shares of Series Preferred Stock into shares of Common Stock if, as a result of such conversion, such holder, together with its affiliates, would beneficially own more than 19.9% of the total number of shares of Common Stock issued and outstanding immediately after giving effect to such conversion.</w:t>
      </w:r>
    </w:p>
    <w:p>
      <w:pPr>
        <w:spacing w:after="0" w:line="27" w:lineRule="exact"/>
        <w:rPr>
          <w:rFonts w:ascii="Arial" w:cs="Arial" w:eastAsia="Arial" w:hAnsi="Arial"/>
          <w:sz w:val="12"/>
          <w:szCs w:val="12"/>
          <w:color w:val="008000"/>
        </w:rPr>
      </w:pPr>
    </w:p>
    <w:p>
      <w:pPr>
        <w:ind w:left="40" w:right="480" w:hanging="4"/>
        <w:spacing w:after="0" w:line="267"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November 13, 2023, the issuer acquired Cartesian Therapeutics, Inc. ("Cartesian") in accordance with the terms of an Agreement and Plan of Merger, dated November 13, 2023. Options to purchase Cartesian common stock held by the reporting person were converted into options to purchase shares of Series A Preferred Stock in connection with the acquisition.</w:t>
      </w:r>
    </w:p>
    <w:p>
      <w:pPr>
        <w:spacing w:after="0" w:line="14" w:lineRule="exact"/>
        <w:rPr>
          <w:rFonts w:ascii="Arial" w:cs="Arial" w:eastAsia="Arial" w:hAnsi="Arial"/>
          <w:sz w:val="12"/>
          <w:szCs w:val="12"/>
          <w:color w:val="008000"/>
        </w:rPr>
      </w:pPr>
    </w:p>
    <w:p>
      <w:pPr>
        <w:ind w:left="40" w:right="140" w:hanging="4"/>
        <w:spacing w:after="0" w:line="267"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is currently exercisable for 106.911 shares of Series A Non-Voting Convertible Preferred Stock of the issuer ("Series A Preferred Stock") and becomes exercisable for the remaining shares in three equal tranches on March 1, 2024, 2025 and 2026.</w:t>
      </w:r>
    </w:p>
    <w:p>
      <w:pPr>
        <w:spacing w:after="0" w:line="2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4"/>
              </w:rPr>
              <w:t>/s/ Metin Kurtoglu</w:t>
            </w:r>
          </w:p>
        </w:tc>
        <w:tc>
          <w:tcPr>
            <w:tcW w:w="100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7"/>
              </w:rPr>
              <w:t>11/15/2023</w:t>
            </w:r>
          </w:p>
        </w:tc>
      </w:tr>
      <w:tr>
        <w:trPr>
          <w:trHeight w:val="214"/>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0"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0028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2023-11-15T16:00:13Z</dcterms:created>
  <dcterms:modified xsi:type="dcterms:W3CDTF">2023-11-15T16:00:13Z</dcterms:modified>
</cp:coreProperties>
</file>