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4"/>
              <w:spacing w:after="0"/>
              <w:rPr>
                <w:sz w:val="20"/>
                <w:szCs w:val="20"/>
                <w:color w:val="auto"/>
              </w:rPr>
            </w:pPr>
            <w:r>
              <w:rPr>
                <w:rFonts w:ascii="Arial" w:cs="Arial" w:eastAsia="Arial" w:hAnsi="Arial"/>
                <w:sz w:val="18"/>
                <w:szCs w:val="18"/>
                <w:b w:val="1"/>
                <w:bCs w:val="1"/>
                <w:color w:val="auto"/>
              </w:rPr>
              <w:t>26-1622110</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(State or other jurisdiction of</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Incorporation 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480 Arsenal Street, Building One</w:t>
            </w:r>
          </w:p>
        </w:tc>
        <w:tc>
          <w:tcPr>
            <w:tcW w:w="5600" w:type="dxa"/>
            <w:vAlign w:val="bottom"/>
          </w:tcPr>
          <w:p>
            <w:pPr>
              <w:spacing w:after="0"/>
              <w:rPr>
                <w:sz w:val="24"/>
                <w:szCs w:val="24"/>
                <w:color w:val="auto"/>
              </w:rPr>
            </w:pPr>
          </w:p>
        </w:tc>
      </w:tr>
      <w:tr>
        <w:trPr>
          <w:trHeight w:val="220"/>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Watertown, Massachusetts</w:t>
            </w:r>
          </w:p>
        </w:tc>
        <w:tc>
          <w:tcPr>
            <w:tcW w:w="5600" w:type="dxa"/>
            <w:vAlign w:val="bottom"/>
          </w:tcPr>
          <w:p>
            <w:pPr>
              <w:jc w:val="right"/>
              <w:ind w:right="2494"/>
              <w:spacing w:after="0"/>
              <w:rPr>
                <w:sz w:val="20"/>
                <w:szCs w:val="20"/>
                <w:color w:val="auto"/>
              </w:rPr>
            </w:pPr>
            <w:r>
              <w:rPr>
                <w:rFonts w:ascii="Arial" w:cs="Arial" w:eastAsia="Arial" w:hAnsi="Arial"/>
                <w:sz w:val="18"/>
                <w:szCs w:val="18"/>
                <w:b w:val="1"/>
                <w:bCs w:val="1"/>
                <w:color w:val="auto"/>
              </w:rPr>
              <w:t>02472</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11420" w:type="dxa"/>
            <w:vAlign w:val="bottom"/>
            <w:gridSpan w:val="3"/>
          </w:tcPr>
          <w:p>
            <w:pPr>
              <w:ind w:left="3440"/>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342"/>
        </w:trPr>
        <w:tc>
          <w:tcPr>
            <w:tcW w:w="5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71"/>
        </w:trPr>
        <w:tc>
          <w:tcPr>
            <w:tcW w:w="5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to be so registered</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228"/>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 per share</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or (e), check the following box. x</w:t>
      </w:r>
    </w:p>
    <w:p>
      <w:pPr>
        <w:spacing w:after="0" w:line="17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or (e), check the following box.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this form relates to the registration of a class of securities concurrently with a Regulation A offering, check the following box.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 333-211555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4"/>
          <w:szCs w:val="24"/>
          <w:color w:val="auto"/>
        </w:rPr>
      </w:pPr>
    </w:p>
    <w:p>
      <w:pPr>
        <w:ind w:right="60" w:firstLine="441"/>
        <w:spacing w:after="0" w:line="276" w:lineRule="auto"/>
        <w:rPr>
          <w:sz w:val="20"/>
          <w:szCs w:val="20"/>
          <w:color w:val="auto"/>
        </w:rPr>
      </w:pPr>
      <w:r>
        <w:rPr>
          <w:rFonts w:ascii="Arial" w:cs="Arial" w:eastAsia="Arial" w:hAnsi="Arial"/>
          <w:sz w:val="17"/>
          <w:szCs w:val="17"/>
          <w:color w:val="auto"/>
        </w:rPr>
        <w:t>The description of the Common Stock, par value $0.0001 per share, of Selecta Biosciences, Inc. (the “</w:t>
      </w:r>
      <w:r>
        <w:rPr>
          <w:rFonts w:ascii="Arial" w:cs="Arial" w:eastAsia="Arial" w:hAnsi="Arial"/>
          <w:sz w:val="17"/>
          <w:szCs w:val="17"/>
          <w:u w:val="single" w:color="auto"/>
          <w:color w:val="auto"/>
        </w:rPr>
        <w:t>Registrant</w:t>
      </w:r>
      <w:r>
        <w:rPr>
          <w:rFonts w:ascii="Arial" w:cs="Arial" w:eastAsia="Arial" w:hAnsi="Arial"/>
          <w:sz w:val="17"/>
          <w:szCs w:val="17"/>
          <w:color w:val="auto"/>
        </w:rPr>
        <w:t>”) under the heading “Description of capital stock” in the prospectus included in the Registrant’s Registration Statement on Form S-1 (File No. 333-211555), as initially filed with the Securities and Exchange Commission on May 24, 2016, including exhibits, and as may be subsequently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is hereby incorporated by reference. Any form of prospectus that constitutes part of the Registration Statement and is subsequently filed by the Registrant pursuant to Rule 424(b) under the Securities Act of 1933, as amended, shall be deemed to be incorporated by reference herein.</w:t>
      </w:r>
    </w:p>
    <w:p>
      <w:pPr>
        <w:spacing w:after="0" w:line="169" w:lineRule="exact"/>
        <w:rPr>
          <w:sz w:val="24"/>
          <w:szCs w:val="24"/>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4"/>
          <w:szCs w:val="24"/>
          <w:color w:val="auto"/>
        </w:rPr>
      </w:pPr>
    </w:p>
    <w:p>
      <w:pPr>
        <w:ind w:right="40" w:firstLine="441"/>
        <w:spacing w:after="0" w:line="264" w:lineRule="auto"/>
        <w:rPr>
          <w:sz w:val="20"/>
          <w:szCs w:val="20"/>
          <w:color w:val="auto"/>
        </w:rPr>
      </w:pPr>
      <w:r>
        <w:rPr>
          <w:rFonts w:ascii="Arial" w:cs="Arial" w:eastAsia="Arial" w:hAnsi="Arial"/>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500" w:firstLine="44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70" w:lineRule="exact"/>
        <w:rPr>
          <w:sz w:val="24"/>
          <w:szCs w:val="24"/>
          <w:color w:val="auto"/>
        </w:rPr>
      </w:pPr>
    </w:p>
    <w:p>
      <w:pPr>
        <w:ind w:left="440"/>
        <w:spacing w:after="0"/>
        <w:tabs>
          <w:tab w:leader="none" w:pos="5700" w:val="left"/>
        </w:tabs>
        <w:rPr>
          <w:sz w:val="20"/>
          <w:szCs w:val="20"/>
          <w:color w:val="auto"/>
        </w:rPr>
      </w:pPr>
      <w:r>
        <w:rPr>
          <w:rFonts w:ascii="Arial" w:cs="Arial" w:eastAsia="Arial" w:hAnsi="Arial"/>
          <w:sz w:val="18"/>
          <w:szCs w:val="18"/>
          <w:color w:val="auto"/>
        </w:rPr>
        <w:t>Date: June 8, 2016</w:t>
      </w:r>
      <w:r>
        <w:rPr>
          <w:sz w:val="20"/>
          <w:szCs w:val="20"/>
          <w:color w:val="auto"/>
        </w:rPr>
        <w:tab/>
      </w:r>
      <w:r>
        <w:rPr>
          <w:rFonts w:ascii="Arial" w:cs="Arial" w:eastAsia="Arial" w:hAnsi="Arial"/>
          <w:sz w:val="17"/>
          <w:szCs w:val="17"/>
          <w:color w:val="auto"/>
        </w:rPr>
        <w:t>SELECTA BIOSCIENCES, INC.</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3907155</wp:posOffset>
            </wp:positionH>
            <wp:positionV relativeFrom="paragraph">
              <wp:posOffset>14605</wp:posOffset>
            </wp:positionV>
            <wp:extent cx="33445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sectPr>
      </w:pPr>
    </w:p>
    <w:bookmarkStart w:id="1" w:name="page2"/>
    <w:bookmarkEnd w:id="1"/>
    <w:p>
      <w:pPr>
        <w:ind w:left="4960"/>
        <w:spacing w:after="0"/>
        <w:rPr>
          <w:sz w:val="20"/>
          <w:szCs w:val="20"/>
          <w:color w:val="auto"/>
        </w:rPr>
      </w:pPr>
      <w:r>
        <w:rPr>
          <w:rFonts w:ascii="Arial" w:cs="Arial" w:eastAsia="Arial" w:hAnsi="Arial"/>
          <w:sz w:val="18"/>
          <w:szCs w:val="18"/>
          <w:color w:val="auto"/>
        </w:rPr>
        <w:t>Werner Cautreels, Ph.D.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President and 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2019-12-08T18:56:37Z</dcterms:created>
  <dcterms:modified xsi:type="dcterms:W3CDTF">2019-12-08T18:56:37Z</dcterms:modified>
</cp:coreProperties>
</file>