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SCHEDULE 14A</w:t>
      </w:r>
    </w:p>
    <w:p>
      <w:pPr>
        <w:spacing w:after="0" w:line="130"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125"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217" w:lineRule="exact"/>
        <w:rPr>
          <w:sz w:val="24"/>
          <w:szCs w:val="24"/>
          <w:color w:val="auto"/>
        </w:rPr>
      </w:pPr>
    </w:p>
    <w:p>
      <w:pPr>
        <w:ind w:left="20"/>
        <w:spacing w:after="0" w:line="207" w:lineRule="exact"/>
        <w:tabs>
          <w:tab w:leader="none" w:pos="2000" w:val="left"/>
          <w:tab w:leader="none" w:pos="4460" w:val="left"/>
          <w:tab w:leader="none" w:pos="77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20" w:right="4580" w:firstLine="6"/>
        <w:spacing w:after="0" w:line="230" w:lineRule="exact"/>
        <w:tabs>
          <w:tab w:leader="none" w:pos="73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1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100965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58"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61"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(Name of Person(s) Filing Proxy Statement, if other than the Registrant</w:t>
      </w:r>
      <w:r>
        <w:rPr>
          <w:rFonts w:ascii="Arial" w:cs="Arial" w:eastAsia="Arial" w:hAnsi="Arial"/>
          <w:sz w:val="13"/>
          <w:szCs w:val="13"/>
          <w:b w:val="1"/>
          <w:bCs w:val="1"/>
          <w:color w:val="auto"/>
        </w:rPr>
        <w:t>)</w:t>
      </w:r>
    </w:p>
    <w:p>
      <w:pPr>
        <w:spacing w:after="0" w:line="138"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1140" w:hanging="1114"/>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9" w:lineRule="exact"/>
        <w:rPr>
          <w:rFonts w:ascii="MS PGothic" w:cs="MS PGothic" w:eastAsia="MS PGothic" w:hAnsi="MS PGothic"/>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 w:lineRule="exact"/>
        <w:rPr>
          <w:rFonts w:ascii="Arial" w:cs="Arial" w:eastAsia="Arial" w:hAnsi="Arial"/>
          <w:sz w:val="18"/>
          <w:szCs w:val="18"/>
          <w:color w:val="auto"/>
        </w:rPr>
      </w:pPr>
    </w:p>
    <w:p>
      <w:pPr>
        <w:ind w:left="1140" w:right="200" w:hanging="427"/>
        <w:spacing w:after="0" w:line="234"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 w:lineRule="exact"/>
        <w:rPr>
          <w:rFonts w:ascii="Arial" w:cs="Arial" w:eastAsia="Arial" w:hAnsi="Arial"/>
          <w:sz w:val="18"/>
          <w:szCs w:val="18"/>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1140" w:hanging="1114"/>
        <w:spacing w:after="0" w:line="262" w:lineRule="auto"/>
        <w:tabs>
          <w:tab w:leader="none" w:pos="11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500380</wp:posOffset>
            </wp:positionV>
            <wp:extent cx="2143125" cy="796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969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65 Grove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Watertown, Massachusetts 02472</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You are cordially invited to attend the 2023 Annual Meeting (the “Annual Meeting”) of Stockholders of Selecta Biosciences, Inc. (the “Company”) to be held on Friday, June 16, 2023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Arial" w:cs="Arial" w:eastAsia="Arial" w:hAnsi="Arial"/>
          <w:sz w:val="17"/>
          <w:szCs w:val="17"/>
          <w:i w:val="1"/>
          <w:iCs w:val="1"/>
          <w:color w:val="auto"/>
        </w:rPr>
        <w:t>www.virtualshareholdermeeting.com/SELB2023</w:t>
      </w:r>
      <w:r>
        <w:rPr>
          <w:rFonts w:ascii="Arial" w:cs="Arial" w:eastAsia="Arial" w:hAnsi="Arial"/>
          <w:sz w:val="17"/>
          <w:szCs w:val="17"/>
          <w:color w:val="auto"/>
        </w:rPr>
        <w:t>. You will also be able to vote your shares electronically at the Annual Meeting.</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be using the latest technology to increase access, to improve communication and to obtain cost savings for our stockholders and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 of a virtual meeting will enable increased stockholder attendance and participation as stockholders can participate from any location.</w:t>
      </w:r>
    </w:p>
    <w:p>
      <w:pPr>
        <w:spacing w:after="0" w:line="1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2023 Annual Meeting?” on page </w:t>
      </w:r>
      <w:r>
        <w:rPr>
          <w:rFonts w:ascii="Arial" w:cs="Arial" w:eastAsia="Arial" w:hAnsi="Arial"/>
          <w:sz w:val="18"/>
          <w:szCs w:val="18"/>
          <w:u w:val="single" w:color="auto"/>
          <w:color w:val="0000FF"/>
        </w:rPr>
        <w:t>4</w:t>
      </w:r>
      <w:r>
        <w:rPr>
          <w:rFonts w:ascii="Arial" w:cs="Arial" w:eastAsia="Arial" w:hAnsi="Arial"/>
          <w:sz w:val="18"/>
          <w:szCs w:val="18"/>
          <w:color w:val="auto"/>
        </w:rPr>
        <w:t xml:space="preserve"> of the Proxy Statement for more information.</w:t>
      </w:r>
    </w:p>
    <w:p>
      <w:pPr>
        <w:spacing w:after="0" w:line="7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the Board of Directors, thank you for your continued support and investment in Selecta Biosciences,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proxy statement is dated April 28, 2023 and is first being mailed to stockholders on or about April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President and Chief Executive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80" w:type="dxa"/>
            <w:vAlign w:val="bottom"/>
            <w:gridSpan w:val="5"/>
          </w:tcPr>
          <w:p>
            <w:pPr>
              <w:ind w:left="4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4"/>
          </w:tcPr>
          <w:p>
            <w:pP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Arial" w:cs="Arial" w:eastAsia="Arial" w:hAnsi="Arial"/>
                <w:sz w:val="18"/>
                <w:szCs w:val="18"/>
                <w:color w:val="0000FF"/>
              </w:rPr>
              <w:t>Notice of 2023 Annual Meeting of Stockholders</w:t>
            </w:r>
          </w:p>
        </w:tc>
        <w:tc>
          <w:tcPr>
            <w:tcW w:w="3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gridSpan w:val="13"/>
          </w:tcPr>
          <w:p>
            <w:pPr>
              <w:spacing w:after="0"/>
              <w:rPr>
                <w:sz w:val="20"/>
                <w:szCs w:val="20"/>
                <w:color w:val="auto"/>
              </w:rPr>
            </w:pPr>
            <w:r>
              <w:rPr>
                <w:rFonts w:ascii="Arial" w:cs="Arial" w:eastAsia="Arial" w:hAnsi="Arial"/>
                <w:sz w:val="18"/>
                <w:szCs w:val="18"/>
                <w:color w:val="0000FF"/>
              </w:rPr>
              <w:t>Proxy Statement</w:t>
            </w:r>
          </w:p>
        </w:tc>
        <w:tc>
          <w:tcPr>
            <w:tcW w:w="7380" w:type="dxa"/>
            <w:vAlign w:val="bottom"/>
            <w:gridSpan w:val="7"/>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Arial" w:cs="Arial" w:eastAsia="Arial" w:hAnsi="Arial"/>
                <w:sz w:val="18"/>
                <w:szCs w:val="18"/>
                <w:color w:val="0000FF"/>
              </w:rPr>
              <w:t>Questions and Answers About the 2023 Annual Meeting of Stockholders</w:t>
            </w:r>
          </w:p>
        </w:tc>
        <w:tc>
          <w:tcPr>
            <w:tcW w:w="34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9"/>
          </w:tcPr>
          <w:p>
            <w:pPr>
              <w:spacing w:after="0"/>
              <w:rPr>
                <w:sz w:val="20"/>
                <w:szCs w:val="20"/>
                <w:color w:val="auto"/>
              </w:rPr>
            </w:pPr>
            <w:r>
              <w:rPr>
                <w:rFonts w:ascii="Arial" w:cs="Arial" w:eastAsia="Arial" w:hAnsi="Arial"/>
                <w:sz w:val="18"/>
                <w:szCs w:val="18"/>
                <w:color w:val="0000FF"/>
                <w:w w:val="91"/>
              </w:rPr>
              <w:t>Proposal No. 1 Election of Directors</w:t>
            </w:r>
          </w:p>
        </w:tc>
        <w:tc>
          <w:tcPr>
            <w:tcW w:w="2620" w:type="dxa"/>
            <w:vAlign w:val="bottom"/>
            <w:gridSpan w:val="7"/>
          </w:tcPr>
          <w:p>
            <w:pPr>
              <w:spacing w:after="0"/>
              <w:rPr>
                <w:sz w:val="18"/>
                <w:szCs w:val="18"/>
                <w:color w:val="auto"/>
              </w:rPr>
            </w:pPr>
          </w:p>
        </w:tc>
        <w:tc>
          <w:tcPr>
            <w:tcW w:w="5600" w:type="dxa"/>
            <w:vAlign w:val="bottom"/>
            <w:gridSpan w:val="4"/>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2"/>
              </w:rPr>
              <w:t>Proposal No. 2 Non-Binding, Advisory Approval of Compensation of Named Executive Officers</w:t>
            </w:r>
          </w:p>
        </w:tc>
        <w:tc>
          <w:tcPr>
            <w:tcW w:w="3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Arial" w:cs="Arial" w:eastAsia="Arial" w:hAnsi="Arial"/>
                <w:sz w:val="18"/>
                <w:szCs w:val="18"/>
                <w:color w:val="0000FF"/>
                <w:w w:val="96"/>
              </w:rPr>
              <w:t>Proposal No. 3 Amendment to Restated Certificate of Incorporation, as Amended, to Remove the Supermajority Vote Threshold to Amend the</w:t>
            </w: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6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Bylaws</w:t>
            </w:r>
          </w:p>
        </w:tc>
        <w:tc>
          <w:tcPr>
            <w:tcW w:w="60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2"/>
              </w:rPr>
              <w:t>Proposal No. 4 Ratification of Appointment of Independent Registered Public Accounting Firm</w:t>
            </w:r>
          </w:p>
        </w:tc>
        <w:tc>
          <w:tcPr>
            <w:tcW w:w="39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Report of the Audit Committee of the Board</w:t>
            </w:r>
          </w:p>
        </w:tc>
        <w:tc>
          <w:tcPr>
            <w:tcW w:w="766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Arial" w:cs="Arial" w:eastAsia="Arial" w:hAnsi="Arial"/>
                <w:sz w:val="18"/>
                <w:szCs w:val="18"/>
                <w:color w:val="0000FF"/>
              </w:rPr>
              <w:t>Independent Registered Public Accounting Firm Fees and Other Matters</w:t>
            </w:r>
          </w:p>
        </w:tc>
        <w:tc>
          <w:tcPr>
            <w:tcW w:w="340" w:type="dxa"/>
            <w:vAlign w:val="bottom"/>
            <w:gridSpan w:val="3"/>
          </w:tcPr>
          <w:p>
            <w:pPr>
              <w:jc w:val="right"/>
              <w:spacing w:after="0"/>
              <w:rPr>
                <w:sz w:val="20"/>
                <w:szCs w:val="20"/>
                <w:color w:val="auto"/>
              </w:rPr>
            </w:pPr>
            <w:r>
              <w:rPr>
                <w:rFonts w:ascii="Arial" w:cs="Arial" w:eastAsia="Arial" w:hAnsi="Arial"/>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Executive Officers</w:t>
            </w:r>
          </w:p>
        </w:tc>
        <w:tc>
          <w:tcPr>
            <w:tcW w:w="3900" w:type="dxa"/>
            <w:vAlign w:val="bottom"/>
            <w:tcBorders>
              <w:top w:val="single" w:sz="8" w:color="0000FF"/>
            </w:tcBorders>
            <w:gridSpan w:val="12"/>
          </w:tcPr>
          <w:p>
            <w:pPr>
              <w:spacing w:after="0"/>
              <w:rPr>
                <w:sz w:val="18"/>
                <w:szCs w:val="18"/>
                <w:color w:val="auto"/>
              </w:rPr>
            </w:pPr>
          </w:p>
        </w:tc>
        <w:tc>
          <w:tcPr>
            <w:tcW w:w="560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Corporate Governance</w:t>
            </w:r>
          </w:p>
        </w:tc>
        <w:tc>
          <w:tcPr>
            <w:tcW w:w="9220" w:type="dxa"/>
            <w:vAlign w:val="bottom"/>
            <w:gridSpan w:val="1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Compensation Discussion and Analysis</w:t>
            </w:r>
          </w:p>
        </w:tc>
        <w:tc>
          <w:tcPr>
            <w:tcW w:w="8000" w:type="dxa"/>
            <w:vAlign w:val="bottom"/>
            <w:gridSpan w:val="9"/>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Executive and Director Compensation</w:t>
            </w:r>
          </w:p>
        </w:tc>
        <w:tc>
          <w:tcPr>
            <w:tcW w:w="810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340" w:type="dxa"/>
            <w:vAlign w:val="bottom"/>
            <w:gridSpan w:val="3"/>
          </w:tcPr>
          <w:p>
            <w:pPr>
              <w:jc w:val="right"/>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0"/>
              </w:rPr>
              <w:t>Certain Relationships</w:t>
            </w:r>
          </w:p>
        </w:tc>
        <w:tc>
          <w:tcPr>
            <w:tcW w:w="3320" w:type="dxa"/>
            <w:vAlign w:val="bottom"/>
            <w:tcBorders>
              <w:top w:val="single" w:sz="8" w:color="0000FF"/>
            </w:tcBorders>
            <w:gridSpan w:val="10"/>
          </w:tcPr>
          <w:p>
            <w:pPr>
              <w:spacing w:after="0"/>
              <w:rPr>
                <w:sz w:val="18"/>
                <w:szCs w:val="18"/>
                <w:color w:val="auto"/>
              </w:rPr>
            </w:pPr>
          </w:p>
        </w:tc>
        <w:tc>
          <w:tcPr>
            <w:tcW w:w="598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Arial" w:cs="Arial" w:eastAsia="Arial" w:hAnsi="Arial"/>
                <w:sz w:val="18"/>
                <w:szCs w:val="18"/>
                <w:color w:val="0000FF"/>
              </w:rPr>
              <w:t>Stockholders’ Proposals</w:t>
            </w:r>
          </w:p>
        </w:tc>
        <w:tc>
          <w:tcPr>
            <w:tcW w:w="340" w:type="dxa"/>
            <w:vAlign w:val="bottom"/>
            <w:gridSpan w:val="3"/>
          </w:tcPr>
          <w:p>
            <w:pPr>
              <w:jc w:val="right"/>
              <w:spacing w:after="0"/>
              <w:rPr>
                <w:sz w:val="20"/>
                <w:szCs w:val="20"/>
                <w:color w:val="auto"/>
              </w:rPr>
            </w:pPr>
            <w:r>
              <w:rPr>
                <w:rFonts w:ascii="Arial" w:cs="Arial" w:eastAsia="Arial" w:hAnsi="Arial"/>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Other Matters</w:t>
            </w:r>
          </w:p>
        </w:tc>
        <w:tc>
          <w:tcPr>
            <w:tcW w:w="720" w:type="dxa"/>
            <w:vAlign w:val="bottom"/>
            <w:tcBorders>
              <w:top w:val="single" w:sz="8" w:color="0000FF"/>
            </w:tcBorders>
            <w:gridSpan w:val="6"/>
          </w:tcPr>
          <w:p>
            <w:pPr>
              <w:spacing w:after="0"/>
              <w:rPr>
                <w:sz w:val="18"/>
                <w:szCs w:val="18"/>
                <w:color w:val="auto"/>
              </w:rPr>
            </w:pPr>
          </w:p>
        </w:tc>
        <w:tc>
          <w:tcPr>
            <w:tcW w:w="9120" w:type="dxa"/>
            <w:vAlign w:val="bottom"/>
            <w:gridSpan w:val="1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Solicitation of Proxies</w:t>
            </w:r>
          </w:p>
        </w:tc>
        <w:tc>
          <w:tcPr>
            <w:tcW w:w="9240" w:type="dxa"/>
            <w:vAlign w:val="bottom"/>
            <w:gridSpan w:val="1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Arial" w:cs="Arial" w:eastAsia="Arial" w:hAnsi="Arial"/>
                <w:sz w:val="18"/>
                <w:szCs w:val="18"/>
                <w:color w:val="0000FF"/>
              </w:rPr>
              <w:t>Selecta Biosciences, Inc.’s Annual Report on Form 10-K</w:t>
            </w:r>
          </w:p>
        </w:tc>
        <w:tc>
          <w:tcPr>
            <w:tcW w:w="340" w:type="dxa"/>
            <w:vAlign w:val="bottom"/>
            <w:gridSpan w:val="3"/>
          </w:tcPr>
          <w:p>
            <w:pPr>
              <w:jc w:val="right"/>
              <w:spacing w:after="0"/>
              <w:rPr>
                <w:sz w:val="20"/>
                <w:szCs w:val="20"/>
                <w:color w:val="auto"/>
              </w:rPr>
            </w:pPr>
            <w:r>
              <w:rPr>
                <w:rFonts w:ascii="Arial" w:cs="Arial" w:eastAsia="Arial" w:hAnsi="Arial"/>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349250</wp:posOffset>
            </wp:positionV>
            <wp:extent cx="2143125" cy="79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65 Grove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June 16, 2023</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Annual Meeting of Stockholders (the “Annual Meeting”) of Selecta Biosciences, Inc., a Delaware corporation (the “Company”), will be held at</w:t>
      </w:r>
    </w:p>
    <w:p>
      <w:pPr>
        <w:spacing w:after="0" w:line="46"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 xml:space="preserve">10:00 a.m., Eastern Time, on Friday, June 16, 2023, by virtual meeting online at </w:t>
      </w:r>
      <w:r>
        <w:rPr>
          <w:rFonts w:ascii="Arial" w:cs="Arial" w:eastAsia="Arial" w:hAnsi="Arial"/>
          <w:sz w:val="18"/>
          <w:szCs w:val="18"/>
          <w:i w:val="1"/>
          <w:iCs w:val="1"/>
          <w:color w:val="auto"/>
        </w:rPr>
        <w:t>www.virtualshareholdermeeting.com/SELB2023</w:t>
      </w:r>
      <w:r>
        <w:rPr>
          <w:rFonts w:ascii="Arial" w:cs="Arial" w:eastAsia="Arial" w:hAnsi="Arial"/>
          <w:sz w:val="18"/>
          <w:szCs w:val="18"/>
          <w:color w:val="auto"/>
        </w:rPr>
        <w:t>, for the following purposes:</w:t>
      </w:r>
    </w:p>
    <w:p>
      <w:pPr>
        <w:spacing w:after="0" w:line="77" w:lineRule="exact"/>
        <w:rPr>
          <w:sz w:val="20"/>
          <w:szCs w:val="20"/>
          <w:color w:val="auto"/>
        </w:rPr>
      </w:pPr>
    </w:p>
    <w:p>
      <w:pPr>
        <w:ind w:left="660" w:right="8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Scott D. Myers, Timothy A. Springer, Ph.D. and Patrick Zenner as Class I Directors to serve until the 2026 Annual Meeting of Stockholders, and until their respective successors shall have been duly elected and qualified;</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62"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our Restated Certificate of Incorporation, as amended, to change the vote required for stockholders to approve an amendment to our Amended and Restated Bylaws from two-thirds to a majority of the outstanding shares of capital stock of the Company entitled to vote thereon;</w:t>
      </w:r>
    </w:p>
    <w:p>
      <w:pPr>
        <w:spacing w:after="0" w:line="7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2023; and</w:t>
      </w:r>
    </w:p>
    <w:p>
      <w:pPr>
        <w:spacing w:after="0" w:line="62"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Holders of record of our common stock as of the close of business on April 17, 2023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StockholderRequests@selectabio.com, stating the purpose of the request and providing proof of ownership of our stock. The Annual Meeting may be continued or adjourned from time to time without notice other than by announcement at the Annual Meeting.</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We encourage stockholders to submit their proxies via telephone or over the Internet. Submitting your proxy now will not prevent you from voting your shares electronically at the Annual Meeting if you desire to do so, as your proxy is revocable at your option.</w:t>
      </w:r>
    </w:p>
    <w:p>
      <w:pPr>
        <w:spacing w:after="0" w:line="1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203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President and Chief Executive Officer, Director</w:t>
      </w:r>
    </w:p>
    <w:p>
      <w:pPr>
        <w:spacing w:after="0" w:line="18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Watertown, Massachusetts</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April 28, 2023</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349250</wp:posOffset>
            </wp:positionV>
            <wp:extent cx="2143125" cy="79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65 Grove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Watertown, Massachusetts 02472</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1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(the “Board”) of Selecta Biosciences, Inc. of proxies to be voted at our Annual Meeting of Stockholders to be held on Friday, June 16, 2023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8"/>
          <w:szCs w:val="18"/>
          <w:i w:val="1"/>
          <w:iCs w:val="1"/>
          <w:color w:val="auto"/>
        </w:rPr>
        <w:t xml:space="preserve">www.virtualshareholdermeeting.com/SELB2023 </w:t>
      </w:r>
      <w:r>
        <w:rPr>
          <w:rFonts w:ascii="Arial" w:cs="Arial" w:eastAsia="Arial" w:hAnsi="Arial"/>
          <w:sz w:val="18"/>
          <w:szCs w:val="18"/>
          <w:color w:val="auto"/>
        </w:rPr>
        <w:t>and entering your 16-digit control number included on your Notice of Internet Availability of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“Internet Notice”), on your proxy card or on the instructions that accompanied your proxy materials. Holders of record of shares of common stock, $0.0001 par value (“Common Stock”), as of the close of business on April 17, 2023 (the “Record Date”), will be entitled to notice of and to vote at the Annual Meeting and any continuation, postponement, or adjournment of the Annual Meeting. As of the Record Date, there were 153,426,983 shares of Common Stock outstanding and entitled to vote at the Annual Meeting. Each share of Common Stock is entitled to one vote on any matter presented to stockholders at the Annual Meeting.</w:t>
      </w:r>
    </w:p>
    <w:p>
      <w:pPr>
        <w:spacing w:after="0" w:line="8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This proxy statement and the Company’s Annual Report on Form 10-K for the year ended December 31, 2022, (the “2022 Annual Report”) will be released on or about April 28, 2023 to our stockholders on the Record Date.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proxy statement, “Selecta”, “Company”, “we”, “us”, and “our” refer to Selecta Biosciences,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 THE STOCKHOLDER MEETING TO BE HELD ON FRIDAY, JUNE 16, 2023</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Proxy Statement and the 2022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our stockholders will be asked:</w:t>
      </w:r>
    </w:p>
    <w:p>
      <w:pPr>
        <w:spacing w:after="0" w:line="117" w:lineRule="exact"/>
        <w:rPr>
          <w:sz w:val="20"/>
          <w:szCs w:val="20"/>
          <w:color w:val="auto"/>
        </w:rPr>
      </w:pPr>
    </w:p>
    <w:p>
      <w:pPr>
        <w:ind w:left="660" w:right="8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Scott D. Myers, Timothy A. Springer, Ph.D. and Patrick Zenner as Class I Directors to serve until the 2026 Annual Meeting of Stockholders, and until their respective successors shall have been duly elected and qualified;</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62"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Restated Certificate of Incorporation, as amended (the “Charter”), to change the vote required for stockholders to approve an amendment to our Amended and Restated Bylaws (the “Bylaws”) from two-thirds to a majority of the outstanding shares of capital stock of the Company entitled to vote thereon;</w:t>
      </w:r>
    </w:p>
    <w:p>
      <w:pPr>
        <w:spacing w:after="0" w:line="7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2023; and</w:t>
      </w:r>
    </w:p>
    <w:p>
      <w:pPr>
        <w:spacing w:after="0" w:line="62"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6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 other business that will be presented at the Annual Meeting. If any other matter properly comes before the stockholders for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w:t>
      </w:r>
    </w:p>
    <w:p>
      <w:pPr>
        <w:spacing w:after="0" w:line="121"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spacing w:after="0" w:line="5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Scott D. Myers, Timothy A. Springer, Ph.D. and Patrick Zenner as Class I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on a non-binding, advisory basis, of the compensation of our named executive officers;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an amendment to our Charter to change the vote required for stockholders to approve an amendment to our Bylaws from two-thirds to a majority of the outstanding shares of capital stock of the Company entitled to vote thereon;</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2023.</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our proxy card will vote your shares in accordance with their best judgment.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117"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b w:val="1"/>
          <w:bCs w:val="1"/>
          <w:color w:val="auto"/>
        </w:rPr>
        <w:t>Why you received this Proxy Statement</w:t>
      </w:r>
      <w:r>
        <w:rPr>
          <w:rFonts w:ascii="Arial" w:cs="Arial" w:eastAsia="Arial" w:hAnsi="Arial"/>
          <w:sz w:val="18"/>
          <w:szCs w:val="18"/>
          <w:color w:val="auto"/>
        </w:rPr>
        <w:t>. You are viewing or have received these proxy materials because Selecta’s Board is soliciting your proxy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your shares at the Annual Meeting. This proxy statement includes information that we are required to provide to you under the rules of the Securities and Exchange Commission (“SEC”) and that is designed to assist you in voting your shares.</w:t>
      </w:r>
    </w:p>
    <w:p>
      <w:pPr>
        <w:spacing w:after="0" w:line="6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Notice of Internet Availability of Proxy Materials</w:t>
      </w:r>
      <w:r>
        <w:rPr>
          <w:rFonts w:ascii="Arial" w:cs="Arial" w:eastAsia="Arial" w:hAnsi="Arial"/>
          <w:sz w:val="17"/>
          <w:szCs w:val="17"/>
          <w:color w:val="auto"/>
        </w:rPr>
        <w:t>. As permitted by SEC rules, Selecta is making this proxy statement and the 2022 Annual Report</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its stockholders electronically via the Internet. On or about April 28, 2023, we mailed to our stockholders an Internet Notice containing instructions on how to access this proxy statement and our 2022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2022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64" w:lineRule="exact"/>
        <w:rPr>
          <w:sz w:val="20"/>
          <w:szCs w:val="20"/>
          <w:color w:val="auto"/>
        </w:rPr>
      </w:pPr>
    </w:p>
    <w:p>
      <w:pPr>
        <w:ind w:right="380" w:firstLine="324"/>
        <w:spacing w:after="0" w:line="282"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on the proxy card included in the materials.</w:t>
      </w:r>
    </w:p>
    <w:p>
      <w:pPr>
        <w:spacing w:after="0" w:line="5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color w:val="auto"/>
        </w:rPr>
        <w:t>Householding</w:t>
      </w:r>
      <w:r>
        <w:rPr>
          <w:rFonts w:ascii="Arial" w:cs="Arial" w:eastAsia="Arial" w:hAnsi="Arial"/>
          <w:sz w:val="16"/>
          <w:szCs w:val="16"/>
          <w:color w:val="auto"/>
        </w:rPr>
        <w:t>. The SEC’s rules permit us to deliver a single set of proxy materials to one address shared by two or more of our stockholders. This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5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2023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Record Date for the Annual Meeting is April 17, 2023.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153,426,983 shares of Common Stock outstanding and entitled to vote at the Annual Meeting.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2023 Annual Meeting?</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You may attend the virtual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Arial" w:cs="Arial" w:eastAsia="Arial" w:hAnsi="Arial"/>
          <w:sz w:val="18"/>
          <w:szCs w:val="18"/>
          <w:i w:val="1"/>
          <w:iCs w:val="1"/>
          <w:color w:val="auto"/>
        </w:rPr>
        <w:t>www.virtualshareholdermeeting.com/SELB2023</w:t>
      </w:r>
      <w:r>
        <w:rPr>
          <w:rFonts w:ascii="Arial" w:cs="Arial" w:eastAsia="Arial" w:hAnsi="Arial"/>
          <w:sz w:val="18"/>
          <w:szCs w:val="18"/>
          <w:color w:val="auto"/>
        </w:rPr>
        <w:t>. You also will be able to vote your shares electronically at the Annual Meeting.</w:t>
      </w:r>
    </w:p>
    <w:p>
      <w:pPr>
        <w:spacing w:after="0" w:line="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 virtual meeting?</w:t>
      </w:r>
    </w:p>
    <w:p>
      <w:pPr>
        <w:spacing w:after="0" w:line="12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 xml:space="preserve">We are excited to continue to utilize the latest technology to provide expanded access, improved communication and cost savings for our stockholders and the Company while providing stockholders with the same rights and opportunities to participate as they would have at an in-person meeting. Having held successful virtual meetings since 2017, we believe hosting a virtual meeting will enable increased stockholder attendance and participation, because it permits stockholders to participate from any location around the world. You will be able to attend the Annual Meeting online and submit your questions by visiting </w:t>
      </w:r>
      <w:r>
        <w:rPr>
          <w:rFonts w:ascii="Arial" w:cs="Arial" w:eastAsia="Arial" w:hAnsi="Arial"/>
          <w:sz w:val="16"/>
          <w:szCs w:val="16"/>
          <w:i w:val="1"/>
          <w:iCs w:val="1"/>
          <w:color w:val="auto"/>
        </w:rPr>
        <w:t>www.virtualshareholdermeeting.com/SELB2023</w:t>
      </w:r>
      <w:r>
        <w:rPr>
          <w:rFonts w:ascii="Arial" w:cs="Arial" w:eastAsia="Arial" w:hAnsi="Arial"/>
          <w:sz w:val="16"/>
          <w:szCs w:val="16"/>
          <w:color w:val="auto"/>
        </w:rPr>
        <w:t>. You also will be able to vote your shares electronically at the Annual Meeting.</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during the check-in time or during the Annual Meeting I have technical difficulties or trouble accessing the virtual meeting website?</w:t>
      </w:r>
    </w:p>
    <w:p>
      <w:pPr>
        <w:spacing w:after="0" w:line="144"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a quorum is not present at the scheduled time of the Annual Meeting, the Chairman of the Annual Meeting may adjourn the Annual Meeting until a quorum is present or represented.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We recommend that stockholders vote by proxy even if they plan to participate in the virtual Annual Meeting and vote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during the meeting. If you are a stockholder of record, you may vote:</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 You can vote by telephone by calling 1-800-690-6903 and following the instructions on the proxy card;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 You can vote over the Internet at www.proxyvote.com by following the instructions on the proxy card or Internet Notice;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 You can vote by mail by signing, dating and mailing the proxy card, which you may have received by mail; or</w:t>
      </w:r>
    </w:p>
    <w:p>
      <w:pPr>
        <w:spacing w:after="0" w:line="117" w:lineRule="exact"/>
        <w:rPr>
          <w:rFonts w:ascii="Arial" w:cs="Arial" w:eastAsia="Arial" w:hAnsi="Arial"/>
          <w:sz w:val="18"/>
          <w:szCs w:val="18"/>
          <w:color w:val="auto"/>
        </w:rPr>
      </w:pPr>
    </w:p>
    <w:p>
      <w:pPr>
        <w:jc w:val="both"/>
        <w:ind w:left="660" w:right="1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Electronically at the Meeting - You may vote at the Annual Meeting by visiting </w:t>
      </w:r>
      <w:r>
        <w:rPr>
          <w:rFonts w:ascii="Arial" w:cs="Arial" w:eastAsia="Arial" w:hAnsi="Arial"/>
          <w:sz w:val="18"/>
          <w:szCs w:val="18"/>
          <w:i w:val="1"/>
          <w:iCs w:val="1"/>
          <w:color w:val="auto"/>
        </w:rPr>
        <w:t>www.virtualshareholdermeeting.com/SELB2023</w:t>
      </w:r>
      <w:r>
        <w:rPr>
          <w:rFonts w:ascii="Arial" w:cs="Arial" w:eastAsia="Arial" w:hAnsi="Arial"/>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16, 2023.</w:t>
      </w:r>
    </w:p>
    <w:p>
      <w:pPr>
        <w:spacing w:after="0" w:line="7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15, 2023. To participate in the Annual Meeting, including to vote via the Internet or telephone, you will need the 16-digit control number included on your Internet Notice, on your proxy card or on the instructions that accompanied your proxy materials.</w:t>
      </w:r>
    </w:p>
    <w:p>
      <w:pPr>
        <w:spacing w:after="0" w:line="7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We encourage stockholders to submit their proxies via the Internet or telephone. If you submit your proxy, you may still decide to attend the Annual Meeting and vote your shares electronically.</w:t>
      </w:r>
    </w:p>
    <w:p>
      <w:pPr>
        <w:spacing w:after="0" w:line="7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Beneficial Owners of Shares Held in </w:t>
      </w:r>
      <w:r>
        <w:rPr>
          <w:rFonts w:ascii="Arial" w:cs="Arial" w:eastAsia="Arial" w:hAnsi="Arial"/>
          <w:sz w:val="17"/>
          <w:szCs w:val="17"/>
          <w:color w:val="auto"/>
        </w:rPr>
        <w:t>“</w:t>
      </w:r>
      <w:r>
        <w:rPr>
          <w:rFonts w:ascii="Arial" w:cs="Arial" w:eastAsia="Arial" w:hAnsi="Arial"/>
          <w:sz w:val="17"/>
          <w:szCs w:val="17"/>
          <w:i w:val="1"/>
          <w:iCs w:val="1"/>
          <w:color w:val="auto"/>
        </w:rPr>
        <w:t>Street Name.</w:t>
      </w:r>
      <w:r>
        <w:rPr>
          <w:rFonts w:ascii="Arial" w:cs="Arial" w:eastAsia="Arial" w:hAnsi="Arial"/>
          <w:sz w:val="17"/>
          <w:szCs w:val="17"/>
          <w:color w:val="auto"/>
        </w:rPr>
        <w:t>” If your shares are held in “street name” through a bank or broker, you will receive instructions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Arial" w:cs="Arial" w:eastAsia="Arial" w:hAnsi="Arial"/>
          <w:sz w:val="17"/>
          <w:szCs w:val="17"/>
          <w:i w:val="1"/>
          <w:iCs w:val="1"/>
          <w:color w:val="auto"/>
        </w:rPr>
        <w:t>www.virtualshareholdermeeting.com/SELB2023</w:t>
      </w:r>
      <w:r>
        <w:rPr>
          <w:rFonts w:ascii="Arial" w:cs="Arial" w:eastAsia="Arial" w:hAnsi="Arial"/>
          <w:sz w:val="17"/>
          <w:szCs w:val="17"/>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the Company prior to the Annual Meeting;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electronically at the virtual Annual Meeting.</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Your most recent proxy card or telephone or Internet proxy is the one that is counted. Your participation in the virtual Annual Meeting by itself will not revoke your proxy unless you give written notice of revocation to the Secretary before your proxy is voted or you vote electronically at the virtual Annual Meeting.</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electronically at the virtual Annual Meeting by following the instructions above.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2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 xml:space="preserve">If you submit a proxy but do not indicate any voting instructions, the persons named as proxies will vote in accordance with the recommendations of the Board. The Board’s recommendations are indicated on page </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of this proxy statement, as well as with the description of each proposal in this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required for the approval of the proposals to be voted upon and how will abstentions and broker non-votes be treated?</w:t>
      </w:r>
    </w:p>
    <w:p>
      <w:pPr>
        <w:spacing w:after="0" w:line="169"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Effect of Votes</w:t>
      </w:r>
    </w:p>
    <w:p>
      <w:pPr>
        <w:ind w:left="8300"/>
        <w:spacing w:after="0" w:line="219" w:lineRule="auto"/>
        <w:rPr>
          <w:sz w:val="20"/>
          <w:szCs w:val="20"/>
          <w:color w:val="auto"/>
        </w:rPr>
      </w:pPr>
      <w:r>
        <w:rPr>
          <w:rFonts w:ascii="Arial" w:cs="Arial" w:eastAsia="Arial" w:hAnsi="Arial"/>
          <w:sz w:val="18"/>
          <w:szCs w:val="18"/>
          <w:b w:val="1"/>
          <w:bCs w:val="1"/>
          <w:color w:val="auto"/>
        </w:rPr>
        <w:t>Withheld/Abstentions and</w:t>
      </w:r>
    </w:p>
    <w:p>
      <w:pPr>
        <w:ind w:left="20"/>
        <w:spacing w:after="0"/>
        <w:tabs>
          <w:tab w:leader="none" w:pos="3740" w:val="left"/>
          <w:tab w:leader="none" w:pos="8280" w:val="left"/>
        </w:tabs>
        <w:rPr>
          <w:sz w:val="20"/>
          <w:szCs w:val="20"/>
          <w:color w:val="auto"/>
        </w:rPr>
      </w:pPr>
      <w:r>
        <w:rPr>
          <w:rFonts w:ascii="Arial" w:cs="Arial" w:eastAsia="Arial" w:hAnsi="Arial"/>
          <w:sz w:val="18"/>
          <w:szCs w:val="18"/>
          <w:b w:val="1"/>
          <w:bCs w:val="1"/>
          <w:color w:val="auto"/>
        </w:rPr>
        <w:t>Proposal</w:t>
      </w:r>
      <w:r>
        <w:rPr>
          <w:sz w:val="20"/>
          <w:szCs w:val="20"/>
          <w:color w:val="auto"/>
        </w:rPr>
        <w:tab/>
      </w:r>
      <w:r>
        <w:rPr>
          <w:rFonts w:ascii="Arial" w:cs="Arial" w:eastAsia="Arial" w:hAnsi="Arial"/>
          <w:sz w:val="18"/>
          <w:szCs w:val="18"/>
          <w:b w:val="1"/>
          <w:bCs w:val="1"/>
          <w:color w:val="auto"/>
        </w:rPr>
        <w:t>Votes required</w:t>
      </w:r>
      <w:r>
        <w:rPr>
          <w:sz w:val="20"/>
          <w:szCs w:val="20"/>
          <w:color w:val="auto"/>
        </w:rPr>
        <w:tab/>
      </w:r>
      <w:r>
        <w:rPr>
          <w:rFonts w:ascii="Arial" w:cs="Arial" w:eastAsia="Arial" w:hAnsi="Arial"/>
          <w:sz w:val="16"/>
          <w:szCs w:val="16"/>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18"/>
          <w:szCs w:val="18"/>
          <w:color w:val="auto"/>
        </w:rPr>
        <w:t>Proposal 1: Election of Directors</w:t>
      </w:r>
      <w:r>
        <w:rPr>
          <w:sz w:val="20"/>
          <w:szCs w:val="20"/>
          <w:color w:val="auto"/>
        </w:rPr>
        <w:tab/>
      </w:r>
      <w:r>
        <w:rPr>
          <w:rFonts w:ascii="Arial" w:cs="Arial" w:eastAsia="Arial" w:hAnsi="Arial"/>
          <w:sz w:val="16"/>
          <w:szCs w:val="16"/>
          <w:color w:val="auto"/>
        </w:rPr>
        <w:t>The plurality of the votes cast. This means that the three</w:t>
      </w:r>
    </w:p>
    <w:p>
      <w:pPr>
        <w:ind w:left="3760"/>
        <w:spacing w:after="0" w:line="219" w:lineRule="auto"/>
        <w:rPr>
          <w:sz w:val="20"/>
          <w:szCs w:val="20"/>
          <w:color w:val="auto"/>
        </w:rPr>
      </w:pPr>
      <w:r>
        <w:rPr>
          <w:rFonts w:ascii="Arial" w:cs="Arial" w:eastAsia="Arial" w:hAnsi="Arial"/>
          <w:sz w:val="18"/>
          <w:szCs w:val="18"/>
          <w:color w:val="auto"/>
        </w:rPr>
        <w:t>nominees receiving the</w:t>
      </w:r>
    </w:p>
    <w:p>
      <w:pPr>
        <w:ind w:left="3760"/>
        <w:spacing w:after="0" w:line="229" w:lineRule="auto"/>
        <w:rPr>
          <w:sz w:val="20"/>
          <w:szCs w:val="20"/>
          <w:color w:val="auto"/>
        </w:rPr>
      </w:pPr>
      <w:r>
        <w:rPr>
          <w:rFonts w:ascii="Arial" w:cs="Arial" w:eastAsia="Arial" w:hAnsi="Arial"/>
          <w:sz w:val="16"/>
          <w:szCs w:val="16"/>
          <w:color w:val="auto"/>
        </w:rPr>
        <w:t>highest number of affirmative “FOR” votes will be elected as</w:t>
      </w:r>
    </w:p>
    <w:p>
      <w:pPr>
        <w:ind w:left="3760"/>
        <w:spacing w:after="0"/>
        <w:rPr>
          <w:sz w:val="20"/>
          <w:szCs w:val="20"/>
          <w:color w:val="auto"/>
        </w:rPr>
      </w:pPr>
      <w:r>
        <w:rPr>
          <w:rFonts w:ascii="Arial" w:cs="Arial" w:eastAsia="Arial" w:hAnsi="Arial"/>
          <w:sz w:val="18"/>
          <w:szCs w:val="18"/>
          <w:color w:val="auto"/>
        </w:rPr>
        <w:t>Class I Directors.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18"/>
          <w:szCs w:val="18"/>
          <w:color w:val="auto"/>
        </w:rPr>
        <w:t>Proposal 2: Approval of Compensation of Named</w:t>
      </w:r>
      <w:r>
        <w:rPr>
          <w:sz w:val="20"/>
          <w:szCs w:val="20"/>
          <w:color w:val="auto"/>
        </w:rPr>
        <w:tab/>
      </w:r>
      <w:r>
        <w:rPr>
          <w:rFonts w:ascii="Arial" w:cs="Arial" w:eastAsia="Arial" w:hAnsi="Arial"/>
          <w:sz w:val="16"/>
          <w:szCs w:val="16"/>
          <w:color w:val="auto"/>
        </w:rPr>
        <w:t>The affirmative vote of the holders of a majority in voting</w:t>
      </w:r>
    </w:p>
    <w:p>
      <w:pPr>
        <w:ind w:left="20"/>
        <w:spacing w:after="0"/>
        <w:tabs>
          <w:tab w:leader="none" w:pos="3740" w:val="left"/>
        </w:tabs>
        <w:rPr>
          <w:sz w:val="20"/>
          <w:szCs w:val="20"/>
          <w:color w:val="auto"/>
        </w:rPr>
      </w:pPr>
      <w:r>
        <w:rPr>
          <w:rFonts w:ascii="Arial" w:cs="Arial" w:eastAsia="Arial" w:hAnsi="Arial"/>
          <w:sz w:val="18"/>
          <w:szCs w:val="18"/>
          <w:color w:val="auto"/>
        </w:rPr>
        <w:t>Executive Officers</w:t>
      </w:r>
      <w:r>
        <w:rPr>
          <w:sz w:val="20"/>
          <w:szCs w:val="20"/>
          <w:color w:val="auto"/>
        </w:rPr>
        <w:tab/>
      </w:r>
      <w:r>
        <w:rPr>
          <w:rFonts w:ascii="Arial" w:cs="Arial" w:eastAsia="Arial" w:hAnsi="Arial"/>
          <w:sz w:val="16"/>
          <w:szCs w:val="16"/>
          <w:color w:val="auto"/>
        </w:rPr>
        <w:t>power of the votes cast.</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18"/>
          <w:szCs w:val="18"/>
          <w:color w:val="auto"/>
        </w:rPr>
        <w:t>Proposal 3: Approval of Amendment to Charter</w:t>
      </w:r>
      <w:r>
        <w:rPr>
          <w:sz w:val="20"/>
          <w:szCs w:val="20"/>
          <w:color w:val="auto"/>
        </w:rPr>
        <w:tab/>
      </w:r>
      <w:r>
        <w:rPr>
          <w:rFonts w:ascii="Arial" w:cs="Arial" w:eastAsia="Arial" w:hAnsi="Arial"/>
          <w:sz w:val="16"/>
          <w:szCs w:val="16"/>
          <w:color w:val="auto"/>
        </w:rPr>
        <w:t>The affirmative vote of the holders of two-thirds of the voting</w:t>
      </w:r>
    </w:p>
    <w:p>
      <w:pPr>
        <w:ind w:left="3760"/>
        <w:spacing w:after="0"/>
        <w:rPr>
          <w:sz w:val="20"/>
          <w:szCs w:val="20"/>
          <w:color w:val="auto"/>
        </w:rPr>
      </w:pPr>
      <w:r>
        <w:rPr>
          <w:rFonts w:ascii="Arial" w:cs="Arial" w:eastAsia="Arial" w:hAnsi="Arial"/>
          <w:sz w:val="18"/>
          <w:szCs w:val="18"/>
          <w:color w:val="auto"/>
        </w:rPr>
        <w:t>power of shares outstanding and entitled to vote.</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Arial" w:cs="Arial" w:eastAsia="Arial" w:hAnsi="Arial"/>
          <w:sz w:val="17"/>
          <w:szCs w:val="17"/>
          <w:color w:val="auto"/>
        </w:rPr>
        <w:t>Votes withheld, abstentions,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Abstentions and broker non-votes will have no effect.</w:t>
      </w:r>
    </w:p>
    <w:p>
      <w:pPr>
        <w:spacing w:after="0" w:line="200" w:lineRule="exact"/>
        <w:rPr>
          <w:sz w:val="20"/>
          <w:szCs w:val="20"/>
          <w:color w:val="auto"/>
        </w:rPr>
      </w:pPr>
    </w:p>
    <w:p>
      <w:pPr>
        <w:spacing w:after="0" w:line="232"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Abstentions and broker non-votes will be treated as votes “AGAINST”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Proposal 3.</w:t>
      </w:r>
    </w:p>
    <w:p>
      <w:pPr>
        <w:spacing w:after="0" w:line="200" w:lineRule="exact"/>
        <w:rPr>
          <w:sz w:val="20"/>
          <w:szCs w:val="20"/>
          <w:color w:val="auto"/>
        </w:rPr>
      </w:pPr>
    </w:p>
    <w:p>
      <w:pPr>
        <w:sectPr>
          <w:pgSz w:w="11900" w:h="16838" w:orient="portrait"/>
          <w:cols w:equalWidth="0" w:num="2">
            <w:col w:w="8220" w:space="80"/>
            <w:col w:w="2940"/>
          </w:cols>
          <w:pgMar w:left="320" w:top="125" w:right="339" w:bottom="1440" w:gutter="0" w:footer="0" w:header="0"/>
          <w:type w:val="continuous"/>
        </w:sectPr>
      </w:pPr>
    </w:p>
    <w:p>
      <w:pPr>
        <w:spacing w:after="0" w:line="225" w:lineRule="exact"/>
        <w:rPr>
          <w:sz w:val="20"/>
          <w:szCs w:val="20"/>
          <w:color w:val="auto"/>
        </w:rPr>
      </w:pPr>
    </w:p>
    <w:p>
      <w:pPr>
        <w:ind w:left="20" w:right="340"/>
        <w:spacing w:after="0" w:line="235" w:lineRule="auto"/>
        <w:rPr>
          <w:sz w:val="20"/>
          <w:szCs w:val="20"/>
          <w:color w:val="auto"/>
        </w:rPr>
      </w:pPr>
      <w:r>
        <w:rPr>
          <w:rFonts w:ascii="Arial" w:cs="Arial" w:eastAsia="Arial" w:hAnsi="Arial"/>
          <w:sz w:val="18"/>
          <w:szCs w:val="18"/>
          <w:color w:val="auto"/>
        </w:rPr>
        <w:t>Proposal 4: Ratification of Appointment The affirmative vote of the holders of a majority of Independent Registered Public Accounting Firm in voting power of the votes cast.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Abstentions and broker non-votes will have no effect.</w:t>
      </w:r>
    </w:p>
    <w:p>
      <w:pPr>
        <w:spacing w:after="0" w:line="200" w:lineRule="exact"/>
        <w:rPr>
          <w:sz w:val="20"/>
          <w:szCs w:val="20"/>
          <w:color w:val="auto"/>
        </w:rPr>
      </w:pPr>
    </w:p>
    <w:p>
      <w:pPr>
        <w:sectPr>
          <w:pgSz w:w="11900" w:h="16838" w:orient="portrait"/>
          <w:cols w:equalWidth="0" w:num="2">
            <w:col w:w="7580" w:space="720"/>
            <w:col w:w="2940"/>
          </w:cols>
          <w:pgMar w:left="320" w:top="125" w:right="33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will votes withheld and abstentions be treated?</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second, third and fourth proposals,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second and fourth proposals and have the effect of a vote “AGAINST” the third proposal.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1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non-binding, advisory vote on executive compensation, and the approval of the amendment to our Charter. Broker non-votes count for purposes of determining whether a quorum is present.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At the Annual Meeting, three (3) Class I Directors have been nominated to be elected to hold office until the Annual Meeting of Stockholders to be held in 2026 and until such director’s successor is elected and qualified or until such director’s earlier death, resignation or removal.</w:t>
      </w:r>
    </w:p>
    <w:p>
      <w:pPr>
        <w:spacing w:after="0" w:line="38"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We currently have eight (8) directors on our Board, including three (3) Class I Directors. Our current Class I Directors are Scott D. Myers, who has served on our Board since 2019, Timothy A. Springer, Ph.D., who has served on our Board since 2016, and Patrick Zenner, who has served on our Board since 2017. Scott D. Myers, Timothy A. Springer, Ph.D. and Patrick Zenner were each nominated for election as a Class I Director at the Annual Meeting.</w:t>
      </w:r>
    </w:p>
    <w:p>
      <w:pPr>
        <w:spacing w:after="0" w:line="4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7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Annual Meeting and whose subsequent term will expire at the 2026 Annual Meeting of Stockholders; Class II, whose current term expires at the 2024 Annual Meeting of Stockholders, and whose subsequent term will expire at the 2027 Annual Meeting of Stockholders; and Class III, whose term will expire at the 2025 Annual Meeting of Stockholders and whose subsequent term will expire at the 2028 Annual Meeting of Stockholders. The current Class I Directors are Scott D. Myers, Timothy A. Springer, Ph.D. and Patrick Zenner; the current Class II Directors are Carrie S. Cox and Aymeric Sallin; and the current Class III Directors are Timothy C. Barabe, Carsten Brunn, Ph.D. and Nishan de Silva, M.D., M.B.A.</w:t>
      </w:r>
    </w:p>
    <w:p>
      <w:pPr>
        <w:spacing w:after="0" w:line="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Charter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1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This proposal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unanimously recommends a vote “FOR” the election of each of the below Class I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 Directors (</w:t>
      </w:r>
      <w:r>
        <w:rPr>
          <w:rFonts w:ascii="Arial" w:cs="Arial" w:eastAsia="Arial" w:hAnsi="Arial"/>
          <w:sz w:val="18"/>
          <w:szCs w:val="18"/>
          <w:b w:val="1"/>
          <w:bCs w:val="1"/>
          <w:i w:val="1"/>
          <w:iCs w:val="1"/>
          <w:color w:val="auto"/>
        </w:rPr>
        <w:t>Terms to Expire at 2026 Annual Meeting of Stockholders)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members of the Board who have been nominated by the Board for election as Class 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Served as a Director Since</w:t>
            </w:r>
          </w:p>
        </w:tc>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Position(s) with Selecta</w:t>
            </w:r>
          </w:p>
        </w:tc>
      </w:tr>
      <w:tr>
        <w:trPr>
          <w:trHeight w:val="26"/>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7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Scott D. Myers</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57</w:t>
            </w:r>
          </w:p>
        </w:tc>
        <w:tc>
          <w:tcPr>
            <w:tcW w:w="120" w:type="dxa"/>
            <w:vAlign w:val="bottom"/>
            <w:tcBorders>
              <w:bottom w:val="single" w:sz="8" w:color="CCEEFF"/>
            </w:tcBorders>
            <w:shd w:val="clear" w:color="auto" w:fill="CCEEFF"/>
          </w:tcPr>
          <w:p>
            <w:pPr>
              <w:spacing w:after="0"/>
              <w:rPr>
                <w:sz w:val="15"/>
                <w:szCs w:val="15"/>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shd w:val="clear" w:color="auto" w:fill="CCEEFF"/>
          </w:tcPr>
          <w:p>
            <w:pPr>
              <w:spacing w:after="0"/>
              <w:rPr>
                <w:sz w:val="15"/>
                <w:szCs w:val="15"/>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Timothy A. Springer, Ph.D.</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75</w:t>
            </w:r>
          </w:p>
        </w:tc>
        <w:tc>
          <w:tcPr>
            <w:tcW w:w="1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8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Patrick Zenner</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5"/>
                <w:szCs w:val="15"/>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05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2"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SCOTT D. MYERS</w:t>
      </w:r>
      <w:r>
        <w:rPr>
          <w:sz w:val="20"/>
          <w:szCs w:val="20"/>
          <w:color w:val="auto"/>
        </w:rPr>
        <w:tab/>
      </w:r>
      <w:r>
        <w:rPr>
          <w:rFonts w:ascii="Arial" w:cs="Arial" w:eastAsia="Arial" w:hAnsi="Arial"/>
          <w:sz w:val="15"/>
          <w:szCs w:val="15"/>
          <w:i w:val="1"/>
          <w:iCs w:val="1"/>
          <w:color w:val="auto"/>
        </w:rPr>
        <w:t>Age 57</w:t>
      </w:r>
    </w:p>
    <w:p>
      <w:pPr>
        <w:spacing w:after="0" w:line="121"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Scott D. Myers has served as a member of our Board since June 2019. Mr. Myers currently serves as president and chief executive officer and a member of the board of directors of Viridian Therapeutics, Inc., a public biotechnology company, where he has served since February 2023. Prior to joining Viridian, Mr. Myers served as president and chief executive officer of AMAG Pharmaceuticals, Inc., from April 2020 through its acquisition by Covis Group in October 2020. Previously, Mr. Myers served as chief executive officer and chairman of the board of Rainier Therapeutics, formerly known as BioClin Therapeutics, an oncology biotechnology company focused on late-stage bladder cancer from June 2018 until January 2020,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2015. He is currently serving on the board of directors of Dynavax Technologies Corporation, which he joined in October 2021, and as chair of the board of directors since October 2021 and a member of the board of directors, the audit committee and nomination and governance committee of Harpoon Therapeutics since August 2018. Mr. Myers also serves on the board of directors as chair of the board at Ironshore Pharmaceuticals, Inc. formerly known as Highland Therapeutics, Inc., where he has served since April 2022. Mr. Myers previously served on the board of directors and remuneration committee of Sensorion SA from 2021 to 2023, on the board of directors of Cascadian Therapeutics from 2016 through 2018 and on the board of directors of Trillium Therapeutics Inc. from April 2021 until its acquisition by Pfizer Inc. in November 2021. Mr. Myers’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4057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21"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TIMOTHY A. SPRINGER, PH.D.</w:t>
      </w:r>
      <w:r>
        <w:rPr>
          <w:sz w:val="20"/>
          <w:szCs w:val="20"/>
          <w:color w:val="auto"/>
        </w:rPr>
        <w:tab/>
      </w:r>
      <w:r>
        <w:rPr>
          <w:rFonts w:ascii="Arial" w:cs="Arial" w:eastAsia="Arial" w:hAnsi="Arial"/>
          <w:sz w:val="15"/>
          <w:szCs w:val="15"/>
          <w:i w:val="1"/>
          <w:iCs w:val="1"/>
          <w:color w:val="auto"/>
        </w:rPr>
        <w:t>Age 75</w:t>
      </w:r>
    </w:p>
    <w:p>
      <w:pPr>
        <w:spacing w:after="0" w:line="13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Morphic Therapeutic and a founder, investor and former director of Scholar Rock, where he served as a director until May 2019.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In 2022, Dr. Springer received the Albert Lasker Basic Medical Research Award.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05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0"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PATRICK ZENNER</w:t>
      </w:r>
      <w:r>
        <w:rPr>
          <w:sz w:val="20"/>
          <w:szCs w:val="20"/>
          <w:color w:val="auto"/>
        </w:rPr>
        <w:tab/>
      </w:r>
      <w:r>
        <w:rPr>
          <w:rFonts w:ascii="Arial" w:cs="Arial" w:eastAsia="Arial" w:hAnsi="Arial"/>
          <w:sz w:val="15"/>
          <w:szCs w:val="15"/>
          <w:i w:val="1"/>
          <w:iCs w:val="1"/>
          <w:color w:val="auto"/>
        </w:rPr>
        <w:t>Age 76</w:t>
      </w:r>
    </w:p>
    <w:p>
      <w:pPr>
        <w:spacing w:after="0" w:line="13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Patrick Zenner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Class II Directors </w:t>
      </w:r>
      <w:r>
        <w:rPr>
          <w:rFonts w:ascii="Arial" w:cs="Arial" w:eastAsia="Arial" w:hAnsi="Arial"/>
          <w:sz w:val="18"/>
          <w:szCs w:val="18"/>
          <w:b w:val="1"/>
          <w:bCs w:val="1"/>
          <w:i w:val="1"/>
          <w:iCs w:val="1"/>
          <w:color w:val="auto"/>
        </w:rPr>
        <w:t>(Terms Expire at 2024 Annual Meeting of Stockholders)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members of the Board who are Class II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Served as a Director Since</w:t>
            </w:r>
          </w:p>
        </w:tc>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Position(s) with Selecta</w:t>
            </w:r>
          </w:p>
        </w:tc>
      </w:tr>
      <w:tr>
        <w:trPr>
          <w:trHeight w:val="26"/>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7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65</w:t>
            </w:r>
          </w:p>
        </w:tc>
        <w:tc>
          <w:tcPr>
            <w:tcW w:w="120" w:type="dxa"/>
            <w:vAlign w:val="bottom"/>
            <w:tcBorders>
              <w:bottom w:val="single" w:sz="8" w:color="CCEEFF"/>
            </w:tcBorders>
            <w:shd w:val="clear" w:color="auto" w:fill="CCEEFF"/>
          </w:tcPr>
          <w:p>
            <w:pPr>
              <w:spacing w:after="0"/>
              <w:rPr>
                <w:sz w:val="15"/>
                <w:szCs w:val="15"/>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shd w:val="clear" w:color="auto" w:fill="CCEEFF"/>
          </w:tcPr>
          <w:p>
            <w:pPr>
              <w:spacing w:after="0"/>
              <w:rPr>
                <w:sz w:val="15"/>
                <w:szCs w:val="15"/>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Chairman of the Board</w:t>
            </w: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Aymeric Sallin</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05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CARRIE S. COX</w:t>
      </w:r>
      <w:r>
        <w:rPr>
          <w:sz w:val="20"/>
          <w:szCs w:val="20"/>
          <w:color w:val="auto"/>
        </w:rPr>
        <w:tab/>
      </w:r>
      <w:r>
        <w:rPr>
          <w:rFonts w:ascii="Arial" w:cs="Arial" w:eastAsia="Arial" w:hAnsi="Arial"/>
          <w:sz w:val="15"/>
          <w:szCs w:val="15"/>
          <w:i w:val="1"/>
          <w:iCs w:val="1"/>
          <w:color w:val="auto"/>
        </w:rPr>
        <w:t>Age 65</w:t>
      </w:r>
    </w:p>
    <w:p>
      <w:pPr>
        <w:spacing w:after="0" w:line="13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Carrie S. Cox has served as a member of our Board and as chairman of the Board since November 2019. Ms. Cox has also served as chairman and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boards of directors of Texas Instruments Incorporated since 2004 and Cardinal Health, Inc. since 2009. Ms. Cox previously served as the chairman of the board of directors of electroCore, Inc. from July 2018 to March 2020 and Array BioPharma, Inc. from August 2018 to July 2019, and served on the board of directors of Celgene Corporation from December 2009 to November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88"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AYMERIC SALLIN</w:t>
      </w:r>
      <w:r>
        <w:rPr>
          <w:sz w:val="20"/>
          <w:szCs w:val="20"/>
          <w:color w:val="auto"/>
        </w:rPr>
        <w:tab/>
      </w:r>
      <w:r>
        <w:rPr>
          <w:rFonts w:ascii="Arial" w:cs="Arial" w:eastAsia="Arial" w:hAnsi="Arial"/>
          <w:sz w:val="15"/>
          <w:szCs w:val="15"/>
          <w:i w:val="1"/>
          <w:iCs w:val="1"/>
          <w:color w:val="auto"/>
        </w:rPr>
        <w:t>Age 49</w:t>
      </w:r>
    </w:p>
    <w:p>
      <w:pPr>
        <w:spacing w:after="0" w:line="13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Aymeric Sallin, M.S. has served as a member of our Board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Placon Therapeutics, Natron Energy, and CROCUS Technology. Mr. Sallin also served as a member of the board of directors of View, Inc. until 2018, and Tarveda Therapeutics until 2022, both private companies. Mr. Sallin is also a member of the Swiss Academy of Engineering Science. Mr. Sallin received his Master’s in Physical Engineering from EPFL in Lausanne, Switzerland. Mr. Sallin’s extensive knowledge of our business and the nanomedicine field contributed to our Board’s conclusion that he should serve as a director of our Company.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Class III Directors </w:t>
      </w:r>
      <w:r>
        <w:rPr>
          <w:rFonts w:ascii="Arial" w:cs="Arial" w:eastAsia="Arial" w:hAnsi="Arial"/>
          <w:sz w:val="18"/>
          <w:szCs w:val="18"/>
          <w:b w:val="1"/>
          <w:bCs w:val="1"/>
          <w:i w:val="1"/>
          <w:iCs w:val="1"/>
          <w:color w:val="auto"/>
        </w:rPr>
        <w:t>(Terms Expire at 2025 Annual Meeting of Stockholders)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members of the Board who are Class III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Served as a Director Since</w:t>
            </w:r>
          </w:p>
        </w:tc>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Position(s) with Selecta</w:t>
            </w:r>
          </w:p>
        </w:tc>
      </w:tr>
      <w:tr>
        <w:trPr>
          <w:trHeight w:val="25"/>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7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Timothy C. Barabe</w:t>
            </w: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89"/>
              </w:rPr>
              <w:t>70</w:t>
            </w: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tcBorders>
              <w:bottom w:val="single" w:sz="8" w:color="CFF0FC"/>
            </w:tcBorders>
            <w:shd w:val="clear" w:color="auto" w:fill="CFF0FC"/>
          </w:tcPr>
          <w:p>
            <w:pPr>
              <w:spacing w:after="0"/>
              <w:rPr>
                <w:sz w:val="15"/>
                <w:szCs w:val="15"/>
                <w:color w:val="auto"/>
              </w:rPr>
            </w:pPr>
          </w:p>
        </w:tc>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Director</w:t>
            </w: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Carsten Brunn, Ph.D.</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89"/>
              </w:rPr>
              <w:t>52</w:t>
            </w:r>
          </w:p>
        </w:tc>
        <w:tc>
          <w:tcPr>
            <w:tcW w:w="1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8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Nishan de Silva, M.D., M.B.A.</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9"/>
              </w:rPr>
              <w:t>50</w:t>
            </w: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5"/>
                <w:szCs w:val="15"/>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057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TIMOTHY C. BARABE</w:t>
      </w:r>
      <w:r>
        <w:rPr>
          <w:sz w:val="20"/>
          <w:szCs w:val="20"/>
          <w:color w:val="auto"/>
        </w:rPr>
        <w:tab/>
      </w:r>
      <w:r>
        <w:rPr>
          <w:rFonts w:ascii="Arial" w:cs="Arial" w:eastAsia="Arial" w:hAnsi="Arial"/>
          <w:sz w:val="15"/>
          <w:szCs w:val="15"/>
          <w:i w:val="1"/>
          <w:iCs w:val="1"/>
          <w:color w:val="auto"/>
        </w:rPr>
        <w:t>Age 70</w:t>
      </w:r>
    </w:p>
    <w:p>
      <w:pPr>
        <w:spacing w:after="0" w:line="13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Timothy C. Barabe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405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6"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CARSTEN BRUNN, PH.D.</w:t>
      </w:r>
      <w:r>
        <w:rPr>
          <w:sz w:val="20"/>
          <w:szCs w:val="20"/>
          <w:color w:val="auto"/>
        </w:rPr>
        <w:tab/>
      </w:r>
      <w:r>
        <w:rPr>
          <w:rFonts w:ascii="Arial" w:cs="Arial" w:eastAsia="Arial" w:hAnsi="Arial"/>
          <w:sz w:val="15"/>
          <w:szCs w:val="15"/>
          <w:i w:val="1"/>
          <w:iCs w:val="1"/>
          <w:color w:val="auto"/>
        </w:rPr>
        <w:t>Age 52</w:t>
      </w:r>
    </w:p>
    <w:p>
      <w:pPr>
        <w:spacing w:after="0" w:line="13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Carsten Brunn, Ph.D. has served as our President, Chief Executive Officer and member of our Board since December 2018. Dr. Brunn also serves as a member of the Board of Directors of Surface Oncology, Inc., a public oncology company, where he has served since June 2022.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057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4"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NISHAN DE SILVA, M.D., M.B.A.</w:t>
      </w:r>
      <w:r>
        <w:rPr>
          <w:sz w:val="20"/>
          <w:szCs w:val="20"/>
          <w:color w:val="auto"/>
        </w:rPr>
        <w:tab/>
      </w:r>
      <w:r>
        <w:rPr>
          <w:rFonts w:ascii="Arial" w:cs="Arial" w:eastAsia="Arial" w:hAnsi="Arial"/>
          <w:sz w:val="15"/>
          <w:szCs w:val="15"/>
          <w:i w:val="1"/>
          <w:iCs w:val="1"/>
          <w:color w:val="auto"/>
        </w:rPr>
        <w:t>Age 50</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Nishan de Silva, M.D., M.B.A. has served as a member of our Board since June 2021. Dr. de Silva currently serves as Chief Executive Officer of Radionetics Oncology, a private company, where he joined in March 2022.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 Non-Binding, Advisory Approval of Compensation of Named Executive Officers</w:t>
      </w:r>
    </w:p>
    <w:p>
      <w:pPr>
        <w:spacing w:after="0" w:line="36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are providing our stockholders with the opportunity to cast a non-binding, advisory vote regarding the compensation of our named executive officers.</w:t>
      </w:r>
    </w:p>
    <w:p>
      <w:pPr>
        <w:spacing w:after="0" w:line="6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more fully described in the sections of this proxy statement entitled “Executive and Director Compensation —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tolerogenic therapies to improve the lives of patients who suffer from serious and debilitating diseases.</w:t>
      </w:r>
    </w:p>
    <w:p>
      <w:pPr>
        <w:spacing w:after="0" w:line="63"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w:t>
      </w:r>
    </w:p>
    <w:p>
      <w:pPr>
        <w:spacing w:after="0" w:line="41" w:lineRule="exact"/>
        <w:rPr>
          <w:sz w:val="20"/>
          <w:szCs w:val="20"/>
          <w:color w:val="auto"/>
        </w:rPr>
      </w:pPr>
    </w:p>
    <w:p>
      <w:pPr>
        <w:jc w:val="both"/>
        <w:ind w:right="1000" w:firstLine="324"/>
        <w:spacing w:after="0" w:line="342" w:lineRule="auto"/>
        <w:rPr>
          <w:sz w:val="20"/>
          <w:szCs w:val="20"/>
          <w:color w:val="auto"/>
        </w:rPr>
      </w:pPr>
      <w:r>
        <w:rPr>
          <w:rFonts w:ascii="Arial" w:cs="Arial" w:eastAsia="Arial" w:hAnsi="Arial"/>
          <w:sz w:val="16"/>
          <w:szCs w:val="16"/>
          <w:color w:val="auto"/>
        </w:rPr>
        <w:t>Before voting, we recommend you read the sections of this proxy statement entitled “Executive and Director Compensation — Executive Compensation” and “Compensation Discussion and Analysis” for additional details on our executive compensation programs and philosophy.</w:t>
      </w:r>
    </w:p>
    <w:p>
      <w:pPr>
        <w:spacing w:after="0" w:line="16"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unanimously recommends a vote “FOR”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left="340" w:right="100"/>
        <w:spacing w:after="0" w:line="266" w:lineRule="auto"/>
        <w:rPr>
          <w:sz w:val="20"/>
          <w:szCs w:val="20"/>
          <w:color w:val="auto"/>
        </w:rPr>
      </w:pPr>
      <w:r>
        <w:rPr>
          <w:rFonts w:ascii="Arial" w:cs="Arial" w:eastAsia="Arial" w:hAnsi="Arial"/>
          <w:sz w:val="18"/>
          <w:szCs w:val="18"/>
          <w:b w:val="1"/>
          <w:bCs w:val="1"/>
          <w:color w:val="auto"/>
        </w:rPr>
        <w:t>PROPOSAL 3 - Amendment to Restated Certificate of Incorporation, as Amended, to Remove the Supermajority Vote Threshold to Amend the Bylaws</w:t>
      </w:r>
    </w:p>
    <w:p>
      <w:pPr>
        <w:spacing w:after="0" w:line="200" w:lineRule="exact"/>
        <w:rPr>
          <w:sz w:val="20"/>
          <w:szCs w:val="20"/>
          <w:color w:val="auto"/>
        </w:rPr>
      </w:pPr>
    </w:p>
    <w:p>
      <w:pPr>
        <w:spacing w:after="0" w:line="209"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Stockholders are being asked to approve an amendment (the “Charter Amendment”) to our Charter, to change the vote required for stockholders to approve an amendment to our Bylaws from two-thirds to a majority of the outstanding shares of capital stock of the Company entitled to vote thereon. On April 17, 2023, the Board approved the Charter Amendment, subject to stockholder approval, and directed that the Charter Amendment be submitted to a vote of our stockholders at this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Charter Amendment</w:t>
      </w:r>
    </w:p>
    <w:p>
      <w:pPr>
        <w:spacing w:after="0" w:line="229"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The Board regularly reviews our corporate governance practices to consider whether such practices remain in the best interests of the Company and its stockholders. Many stockholders believe that supermajority voting requirements to amend bylaws impede accountability to stockholders and contribute to board and management entrenchment. For these reasons, among others, the Board previously approved an amendment to our Bylaws to change the vote requirement contained in our Bylaws for stockholders to approve an amendment to our Bylaws from two-thirds to a majority of the outstanding shares of capital stock of the Company entitled to vote on any such amendment.</w:t>
      </w:r>
    </w:p>
    <w:p>
      <w:pPr>
        <w:spacing w:after="0" w:line="216"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Additionally, the Board considered the fact that, even without a supermajority voting standard to amend our Bylaws, the Company has appropriate safeguards to protect the interests of all stockholders and to discourage a would-be acquirer from proceeding with a proposal that undervalues the Company or is opportunistic and to assist the Board in responding to such proposals. The Board also considered that under certain circumstances, supermajority voting requirements can provide benefits to the Company and all its stockholders by making it more difficult for one or a few large stockholders to facilitate a takeover of the Company or implement certain significant changes to the Company without more widespread stockholder support.</w:t>
      </w:r>
    </w:p>
    <w:p>
      <w:pPr>
        <w:spacing w:after="0" w:line="18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After careful consideration, the Board has deemed it advisable and in the best interests of the Company to amend Article Sixth of the Charter to provide for a majority voting standard by which stockholders may adopt, amend, alter or repeal the Bylaws or adopt any provision inconsistent therewith in line with the recently updated voting threshold in the Bylaws.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Charter Amendment</w:t>
      </w:r>
    </w:p>
    <w:p>
      <w:pPr>
        <w:spacing w:after="0" w:line="243" w:lineRule="exact"/>
        <w:rPr>
          <w:sz w:val="20"/>
          <w:szCs w:val="20"/>
          <w:color w:val="auto"/>
        </w:rPr>
      </w:pPr>
    </w:p>
    <w:p>
      <w:pPr>
        <w:ind w:right="60" w:firstLine="324"/>
        <w:spacing w:after="0"/>
        <w:rPr>
          <w:sz w:val="20"/>
          <w:szCs w:val="20"/>
          <w:color w:val="auto"/>
        </w:rPr>
      </w:pPr>
      <w:r>
        <w:rPr>
          <w:rFonts w:ascii="Arial" w:cs="Arial" w:eastAsia="Arial" w:hAnsi="Arial"/>
          <w:sz w:val="18"/>
          <w:szCs w:val="18"/>
          <w:color w:val="auto"/>
        </w:rPr>
        <w:t>Article Sixth of our Charter currently provides that our stockholders may adopt, amend, alter or repeal our Bylaws by the affirmative vote of at least two-thirds of the outstanding shares of capital stock of the Company entitled to vote. If the Charter Amendment is approved, the supermajority voting requirement in Article Sixth of the Charter will be removed and replaced with a simple majority voting requirement, such that our stockholders may adopt, amend, alter or repeal our Bylaws by the affirmative vote of at least a majority of the outstanding shares of capital stock of the Company entitled to vote. Additionally, the vote required to further amend Article Sixth of the Charter governing the voting requirement for Bylaws amendments would likewise be changed from a supermajority requirement to a simple majority requirement.</w:t>
      </w:r>
    </w:p>
    <w:p>
      <w:pPr>
        <w:spacing w:after="0" w:line="216" w:lineRule="exact"/>
        <w:rPr>
          <w:sz w:val="20"/>
          <w:szCs w:val="20"/>
          <w:color w:val="auto"/>
        </w:rPr>
      </w:pPr>
    </w:p>
    <w:p>
      <w:pPr>
        <w:ind w:right="240" w:firstLine="324"/>
        <w:spacing w:after="0" w:line="294" w:lineRule="auto"/>
        <w:rPr>
          <w:sz w:val="20"/>
          <w:szCs w:val="20"/>
          <w:color w:val="auto"/>
        </w:rPr>
      </w:pPr>
      <w:r>
        <w:rPr>
          <w:rFonts w:ascii="Arial" w:cs="Arial" w:eastAsia="Arial" w:hAnsi="Arial"/>
          <w:sz w:val="16"/>
          <w:szCs w:val="16"/>
          <w:color w:val="auto"/>
        </w:rPr>
        <w:t>If our stockholders approve the Charter Amendment, the Board will have authority to file with the Secretary of State of Delaware the Charter Amendment. The text of such amendment is attached to this proxy statement as Exhibit A. Such amendment will become effective on the date it is filed. The Board reserves the right to abandon or delay the filing of such amendment even if the Charter Amendment is approved by our stockholders.</w:t>
      </w:r>
    </w:p>
    <w:p>
      <w:pPr>
        <w:spacing w:after="0" w:line="17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None of Delaware law, the Charter, nor our Bylaws provide for appraisal or other similar rights for dissenting stockholders in connection with this proposal. Accordingly, our stockholders will have no right to dissent and obtain payment for their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This proposal requires the affirmative vote of the holders of two-thirds of the voting power of shares outstanding and entitled to vote. Abstentions and broker non-votes will have the same effect as votes “AGAINST” this proposal.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unanimously recommends a vote “FOR” the approval of the Charter Amendment.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Audit Committee of our Board (the “Audit Committee”) has appointed Ernst &amp; Young LLP as our independent registered public accounting firm for the fiscal year ending December 31, 2023.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Ernst &amp; Young LLP also served as our independent registered public accounting firm for the fiscal year ended December 31, 2022.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In the event that the appointment of Ernst &amp; Young LLP is not ratified by the stockholders, the Audit Committee will consider this fact when it appoints the independent auditors for the fiscal year ending December 31, 2024. Even if the appointment of Ernst &amp; Young LLP is ratified, the Audit Committee retains the discretion to appoint a different independent auditor at any time if it determines that such a change is in the interest of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unanimously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36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Audit Committee has reviewed the Company’s audited financial statements for the fiscal year ended December 31, 2022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6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Company’s independent registered public accounting firm also provided the Audit Committee with a formal written statement required by PCAOB Rule 3526 (</w:t>
      </w:r>
      <w:r>
        <w:rPr>
          <w:rFonts w:ascii="Arial" w:cs="Arial" w:eastAsia="Arial" w:hAnsi="Arial"/>
          <w:sz w:val="16"/>
          <w:szCs w:val="16"/>
          <w:i w:val="1"/>
          <w:iCs w:val="1"/>
          <w:color w:val="auto"/>
        </w:rPr>
        <w:t>Communications with Audit Committees Concerning Independence</w:t>
      </w:r>
      <w:r>
        <w:rPr>
          <w:rFonts w:ascii="Arial" w:cs="Arial" w:eastAsia="Arial" w:hAnsi="Arial"/>
          <w:sz w:val="16"/>
          <w:szCs w:val="16"/>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5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2022.</w:t>
      </w:r>
    </w:p>
    <w:p>
      <w:pPr>
        <w:spacing w:after="0" w:line="200" w:lineRule="exact"/>
        <w:rPr>
          <w:sz w:val="20"/>
          <w:szCs w:val="20"/>
          <w:color w:val="auto"/>
        </w:rPr>
      </w:pPr>
    </w:p>
    <w:p>
      <w:pPr>
        <w:spacing w:after="0" w:line="23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THE AUDIT COMMITTEE OF THE BOARD OF</w:t>
      </w:r>
    </w:p>
    <w:p>
      <w:pPr>
        <w:ind w:left="6340"/>
        <w:spacing w:after="0"/>
        <w:rPr>
          <w:sz w:val="20"/>
          <w:szCs w:val="20"/>
          <w:color w:val="auto"/>
        </w:rPr>
      </w:pPr>
      <w:r>
        <w:rPr>
          <w:rFonts w:ascii="Arial" w:cs="Arial" w:eastAsia="Arial" w:hAnsi="Arial"/>
          <w:sz w:val="18"/>
          <w:szCs w:val="18"/>
          <w:color w:val="auto"/>
        </w:rPr>
        <w:t>DIRECTORS OF SELECTA BIOSCIENCES, INC.</w:t>
      </w:r>
    </w:p>
    <w:p>
      <w:pPr>
        <w:spacing w:after="0" w:line="2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Timothy C. Barabe (Chair)</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Carrie S. Cox</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Nishan de Silva, M.D., M.B.A.</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Patrick Zenner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gridSpan w:val="2"/>
          </w:tcPr>
          <w:p>
            <w:pPr>
              <w:ind w:left="20"/>
              <w:spacing w:after="0"/>
              <w:rPr>
                <w:sz w:val="20"/>
                <w:szCs w:val="20"/>
                <w:color w:val="auto"/>
              </w:rPr>
            </w:pPr>
            <w:r>
              <w:rPr>
                <w:rFonts w:ascii="Arial" w:cs="Arial" w:eastAsia="Arial" w:hAnsi="Arial"/>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Arial" w:cs="Arial" w:eastAsia="Arial" w:hAnsi="Arial"/>
                <w:sz w:val="14"/>
                <w:szCs w:val="14"/>
                <w:b w:val="1"/>
                <w:bCs w:val="1"/>
                <w:color w:val="auto"/>
              </w:rPr>
              <w:t>2021</w:t>
            </w:r>
          </w:p>
        </w:tc>
      </w:tr>
      <w:tr>
        <w:trPr>
          <w:trHeight w:val="26"/>
        </w:trPr>
        <w:tc>
          <w:tcPr>
            <w:tcW w:w="6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1,125,000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1,005,344</w:t>
            </w:r>
          </w:p>
        </w:tc>
      </w:tr>
      <w:tr>
        <w:trPr>
          <w:trHeight w:val="203"/>
        </w:trPr>
        <w:tc>
          <w:tcPr>
            <w:tcW w:w="68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(2)</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8,325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27,500</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(3)</w:t>
            </w: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4,870</w:t>
            </w:r>
          </w:p>
        </w:tc>
      </w:tr>
      <w:tr>
        <w:trPr>
          <w:trHeight w:val="176"/>
        </w:trPr>
        <w:tc>
          <w:tcPr>
            <w:tcW w:w="6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Fees</w:t>
            </w:r>
          </w:p>
        </w:tc>
        <w:tc>
          <w:tcPr>
            <w:tcW w:w="100" w:type="dxa"/>
            <w:vAlign w:val="bottom"/>
          </w:tcPr>
          <w:p>
            <w:pPr>
              <w:spacing w:after="0"/>
              <w:rPr>
                <w:sz w:val="15"/>
                <w:szCs w:val="15"/>
                <w:color w:val="auto"/>
              </w:rPr>
            </w:pPr>
          </w:p>
        </w:tc>
        <w:tc>
          <w:tcPr>
            <w:tcW w:w="5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1,136,230</w:t>
            </w: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1,037,714</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
        </w:trPr>
        <w:tc>
          <w:tcPr>
            <w:tcW w:w="6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76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consulting and compliance performed by Ernst &amp; Young LLP.</w:t>
      </w:r>
    </w:p>
    <w:p>
      <w:pPr>
        <w:spacing w:after="0" w:line="117" w:lineRule="exact"/>
        <w:rPr>
          <w:rFonts w:ascii="Arial" w:cs="Arial" w:eastAsia="Arial" w:hAnsi="Arial"/>
          <w:sz w:val="18"/>
          <w:szCs w:val="18"/>
          <w:color w:val="auto"/>
        </w:rPr>
      </w:pPr>
    </w:p>
    <w:p>
      <w:pPr>
        <w:ind w:left="340" w:right="26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2022 and 2021 were pre-approved.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Position(s)</w:t>
            </w:r>
          </w:p>
        </w:tc>
      </w:tr>
      <w:tr>
        <w:trPr>
          <w:trHeight w:val="26"/>
        </w:trPr>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4"/>
                <w:szCs w:val="14"/>
                <w:color w:val="auto"/>
              </w:rPr>
              <w:t xml:space="preserve">Carsten Brunn, Ph.D. </w:t>
            </w:r>
            <w:r>
              <w:rPr>
                <w:rFonts w:ascii="Arial" w:cs="Arial" w:eastAsia="Arial" w:hAnsi="Arial"/>
                <w:sz w:val="18"/>
                <w:szCs w:val="18"/>
                <w:color w:val="auto"/>
                <w:vertAlign w:val="superscript"/>
              </w:rPr>
              <w:t>1</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03"/>
        </w:trPr>
        <w:tc>
          <w:tcPr>
            <w:tcW w:w="40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Blaine Davis </w:t>
            </w:r>
            <w:r>
              <w:rPr>
                <w:rFonts w:ascii="Arial" w:cs="Arial" w:eastAsia="Arial" w:hAnsi="Arial"/>
                <w:sz w:val="18"/>
                <w:szCs w:val="18"/>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4"/>
                <w:szCs w:val="14"/>
                <w:color w:val="auto"/>
              </w:rPr>
              <w:t xml:space="preserve">Lloyd Johnston, Ph.D. </w:t>
            </w:r>
            <w:r>
              <w:rPr>
                <w:rFonts w:ascii="Arial" w:cs="Arial" w:eastAsia="Arial" w:hAnsi="Arial"/>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Chief Operations Officer</w:t>
            </w:r>
          </w:p>
        </w:tc>
      </w:tr>
      <w:tr>
        <w:trPr>
          <w:trHeight w:val="203"/>
        </w:trPr>
        <w:tc>
          <w:tcPr>
            <w:tcW w:w="40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Takashi Kei Kishimoto, Ph.D. </w:t>
            </w:r>
            <w:r>
              <w:rPr>
                <w:rFonts w:ascii="Arial" w:cs="Arial" w:eastAsia="Arial" w:hAnsi="Arial"/>
                <w:sz w:val="18"/>
                <w:szCs w:val="18"/>
                <w:color w:val="auto"/>
                <w:vertAlign w:val="superscript"/>
              </w:rPr>
              <w:t>4</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Arial" w:cs="Arial" w:eastAsia="Arial" w:hAnsi="Arial"/>
                <w:sz w:val="14"/>
                <w:szCs w:val="14"/>
                <w:color w:val="auto"/>
              </w:rPr>
              <w:t>Chief Scientific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4"/>
                <w:szCs w:val="14"/>
                <w:color w:val="auto"/>
              </w:rPr>
              <w:t xml:space="preserve">Peter G. Traber, M.D. </w:t>
            </w:r>
            <w:r>
              <w:rPr>
                <w:rFonts w:ascii="Arial" w:cs="Arial" w:eastAsia="Arial" w:hAnsi="Arial"/>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68</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Chief Medical Officer</w:t>
            </w:r>
          </w:p>
        </w:tc>
      </w:tr>
    </w:tbl>
    <w:p>
      <w:pPr>
        <w:spacing w:after="0" w:line="200" w:lineRule="exact"/>
        <w:rPr>
          <w:sz w:val="20"/>
          <w:szCs w:val="20"/>
          <w:color w:val="auto"/>
        </w:rPr>
      </w:pPr>
    </w:p>
    <w:p>
      <w:pPr>
        <w:spacing w:after="0" w:line="211" w:lineRule="exact"/>
        <w:rPr>
          <w:sz w:val="20"/>
          <w:szCs w:val="20"/>
          <w:color w:val="auto"/>
        </w:rPr>
      </w:pPr>
    </w:p>
    <w:p>
      <w:pPr>
        <w:ind w:left="440" w:hanging="108"/>
        <w:spacing w:after="0"/>
        <w:tabs>
          <w:tab w:leader="none" w:pos="4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 xml:space="preserve">See biography on page </w:t>
      </w:r>
      <w:r>
        <w:rPr>
          <w:rFonts w:ascii="Arial" w:cs="Arial" w:eastAsia="Arial" w:hAnsi="Arial"/>
          <w:sz w:val="18"/>
          <w:szCs w:val="18"/>
          <w:u w:val="single" w:color="auto"/>
          <w:color w:val="0000FF"/>
        </w:rPr>
        <w:t>11</w:t>
      </w:r>
      <w:r>
        <w:rPr>
          <w:rFonts w:ascii="Arial" w:cs="Arial" w:eastAsia="Arial" w:hAnsi="Arial"/>
          <w:sz w:val="18"/>
          <w:szCs w:val="18"/>
          <w:color w:val="auto"/>
        </w:rPr>
        <w:t xml:space="preserve"> of this proxy statement.</w:t>
      </w:r>
    </w:p>
    <w:p>
      <w:pPr>
        <w:spacing w:after="0" w:line="94" w:lineRule="exact"/>
        <w:rPr>
          <w:sz w:val="20"/>
          <w:szCs w:val="20"/>
          <w:color w:val="auto"/>
        </w:rPr>
      </w:pPr>
    </w:p>
    <w:p>
      <w:pPr>
        <w:ind w:right="100" w:firstLine="332"/>
        <w:spacing w:after="0" w:line="277" w:lineRule="auto"/>
        <w:tabs>
          <w:tab w:leader="none" w:pos="427"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Blaine Davis has served as our Chief Financial Officer since November 2022. Prior to joining the 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w:t>
      </w:r>
    </w:p>
    <w:p>
      <w:pPr>
        <w:spacing w:after="0" w:line="56" w:lineRule="exact"/>
        <w:rPr>
          <w:sz w:val="20"/>
          <w:szCs w:val="20"/>
          <w:color w:val="auto"/>
        </w:rPr>
      </w:pPr>
    </w:p>
    <w:p>
      <w:pPr>
        <w:ind w:left="440" w:hanging="108"/>
        <w:spacing w:after="0"/>
        <w:tabs>
          <w:tab w:leader="none" w:pos="4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Lloyd Johnston, Ph.D. has served as our Chief Operations Officer since January 2014. Dr. Johnston served as Selecta’s Senior Vice President of</w:t>
      </w:r>
    </w:p>
    <w:p>
      <w:pPr>
        <w:spacing w:after="0" w:line="1" w:lineRule="exact"/>
        <w:rPr>
          <w:rFonts w:ascii="Arial" w:cs="Arial" w:eastAsia="Arial" w:hAnsi="Arial"/>
          <w:sz w:val="21"/>
          <w:szCs w:val="21"/>
          <w:color w:val="auto"/>
          <w:vertAlign w:val="superscript"/>
        </w:rPr>
      </w:pPr>
    </w:p>
    <w:p>
      <w:pPr>
        <w:ind w:right="20"/>
        <w:spacing w:after="0" w:line="287" w:lineRule="auto"/>
        <w:rPr>
          <w:rFonts w:ascii="Arial" w:cs="Arial" w:eastAsia="Arial" w:hAnsi="Arial"/>
          <w:sz w:val="21"/>
          <w:szCs w:val="21"/>
          <w:color w:val="auto"/>
          <w:vertAlign w:val="superscript"/>
        </w:rPr>
      </w:pPr>
      <w:r>
        <w:rPr>
          <w:rFonts w:ascii="Arial" w:cs="Arial" w:eastAsia="Arial" w:hAnsi="Arial"/>
          <w:sz w:val="16"/>
          <w:szCs w:val="16"/>
          <w:color w:val="auto"/>
        </w:rPr>
        <w:t>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60" w:lineRule="exact"/>
        <w:rPr>
          <w:sz w:val="20"/>
          <w:szCs w:val="20"/>
          <w:color w:val="auto"/>
        </w:rPr>
      </w:pPr>
    </w:p>
    <w:p>
      <w:pPr>
        <w:ind w:right="80" w:firstLine="332"/>
        <w:spacing w:after="0" w:line="277" w:lineRule="auto"/>
        <w:tabs>
          <w:tab w:leader="none" w:pos="412"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57" w:lineRule="exact"/>
        <w:rPr>
          <w:sz w:val="20"/>
          <w:szCs w:val="20"/>
          <w:color w:val="auto"/>
        </w:rPr>
      </w:pPr>
    </w:p>
    <w:p>
      <w:pPr>
        <w:ind w:right="40" w:firstLine="332"/>
        <w:spacing w:after="0" w:line="229" w:lineRule="auto"/>
        <w:tabs>
          <w:tab w:leader="none" w:pos="427"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Peter G. Traber, M.D. has served as our Chief Medical Officer since August 2020. Dr. Traber also serves as a member of the board of directors of Caladrius Biosciences since January 2015. Prior to joining Selecta Biosciences in 2020, from July 2018 to July 2020 Dr. Traber served as a Partner at Alacrita Consulting, providing drug development consulting services and served as the interim Chief Medical Officer (CMO) for Morphic Therapeutic supporting integrin inhibitor drug development. From March 2011 until June 2018, he served as President and Chief Executive Officer of Galectin Therapeutics and from 2010 to March 2011 served as Chief Medical Officer at Galectin Therapeutics, developing drugs for fibrotic liver disease and cancer. Previously, he served as CMO and SVP of Clinical Development and Medical Affairs at GSK, CEO of Baylor College of Medicine, and Chair of Medicine and CEO of the University of Pennsylvania Health System. He received his MD from Wayne State School of Medicine, a BS in Chemical Engineering from the University of Michigan, and a certificate in Medical Leadership from Wharton Business School. He is currently an Adjunct Professor of Medicine at the University of Pennsylvania.</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our executive officers are related to any other executive officer or to any of our directors.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65 Grove Street, Watertown, Massachusetts 02472. The information contained on our website, and in all references to our website within this proxy statement, shall not be deemed incorporated by reference in this proxy statement or in any other filing we make under Exchange Act.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Board currently consists of eight members: Timothy C. Barabe, Carsten Brunn, Ph.D., Carrie S. Cox, Nishan de Silva, M.D., M.B.A., Scott D. Myers, Aymeric Sallin, Timothy A. Springer, Ph.D. and Patrick Zenner.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Charter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right="120" w:firstLine="324"/>
        <w:spacing w:after="0" w:line="251" w:lineRule="auto"/>
        <w:rPr>
          <w:sz w:val="20"/>
          <w:szCs w:val="20"/>
          <w:color w:val="auto"/>
        </w:rPr>
      </w:pPr>
      <w:r>
        <w:rPr>
          <w:rFonts w:ascii="Arial" w:cs="Arial" w:eastAsia="Arial" w:hAnsi="Arial"/>
          <w:sz w:val="17"/>
          <w:szCs w:val="17"/>
          <w:color w:val="auto"/>
        </w:rPr>
        <w:t>All of our directors and Class I director nominees, other than Carsten Brunn, Ph.D., and our former director, Göran Ando, M.D.,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Selecta. There are no family relationships among any of our directors or executive officers.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 director nominees were recommended by the Nominating and Corporate Governance Committee.</w:t>
      </w:r>
    </w:p>
    <w:p>
      <w:pPr>
        <w:spacing w:after="0" w:line="4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w:t>
      </w:r>
    </w:p>
    <w:p>
      <w:pPr>
        <w:spacing w:after="0" w:line="12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Selecta Biosciences, Inc., 65 Grove Street, Watertown, Massachusetts 02472.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8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monitors whether any of our compensation policies and programs has the potential to encourage excessive risk-taking. The Board does not believe that its role in the oversight of our risks affects the Board’s leadership structure.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Corporate Governance Guidelines require the Nominating and Corporate Governance Committee to periodically oversee an assessment of the Board and its committees.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Commitment</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Board diversity and inclusion is critical to the success of Selecta.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w:t>
      </w:r>
    </w:p>
    <w:p>
      <w:pPr>
        <w:spacing w:after="0" w:line="8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Selecta evaluates the effectiveness of this policy through annual self-evaluations completed by the Board and each of its committees.</w:t>
      </w:r>
    </w:p>
    <w:p>
      <w:pPr>
        <w:spacing w:after="0" w:line="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Board firmly believes that it plays a key role in the oversight of Selecta’s culture and in holding management accountable for the creation and stewardship of that culture. One of the ways the Board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and acting as a role model and conducting business with high integrity. These objectives are meant, in part, to drive and maintain a positive corporate culture to attract, engage, and retain key talent for the Company. Additionally, the Board believes an engaged and empowered workforce contributes significantly to the creation of stockholder value.</w:t>
      </w:r>
    </w:p>
    <w:p>
      <w:pPr>
        <w:spacing w:after="0" w:line="87" w:lineRule="exact"/>
        <w:rPr>
          <w:sz w:val="20"/>
          <w:szCs w:val="20"/>
          <w:color w:val="auto"/>
        </w:rPr>
      </w:pPr>
    </w:p>
    <w:p>
      <w:pPr>
        <w:jc w:val="both"/>
        <w:ind w:right="600" w:firstLine="324"/>
        <w:spacing w:after="0" w:line="311" w:lineRule="auto"/>
        <w:rPr>
          <w:sz w:val="20"/>
          <w:szCs w:val="20"/>
          <w:color w:val="auto"/>
        </w:rPr>
      </w:pPr>
      <w:r>
        <w:rPr>
          <w:rFonts w:ascii="Arial" w:cs="Arial" w:eastAsia="Arial" w:hAnsi="Arial"/>
          <w:sz w:val="16"/>
          <w:szCs w:val="16"/>
          <w:color w:val="auto"/>
        </w:rPr>
        <w:t>In evaluating the suitability of individual candidates for internal positions and to serve on our Board, Selecta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Matrix</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board diversity matrix presents information as of April 17, 2023 regarding the diversity characteristics of our Board in accordance with Nasdaq listing standard 5606, as self-reported by our directors.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640" w:type="dxa"/>
            <w:vAlign w:val="bottom"/>
            <w:tcBorders>
              <w:top w:val="single" w:sz="8" w:color="auto"/>
              <w:left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Female</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Male</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Non-Binary</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Did Not</w:t>
            </w:r>
          </w:p>
        </w:tc>
      </w:tr>
      <w:tr>
        <w:trPr>
          <w:trHeight w:val="186"/>
        </w:trPr>
        <w:tc>
          <w:tcPr>
            <w:tcW w:w="46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Disclose Gender</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Directors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60"/>
        </w:trPr>
        <w:tc>
          <w:tcPr>
            <w:tcW w:w="4640" w:type="dxa"/>
            <w:vAlign w:val="bottom"/>
            <w:tcBorders>
              <w:left w:val="single" w:sz="8" w:color="auto"/>
            </w:tcBorders>
          </w:tcPr>
          <w:p>
            <w:pPr>
              <w:ind w:left="40"/>
              <w:spacing w:after="0" w:line="160" w:lineRule="exact"/>
              <w:rPr>
                <w:sz w:val="20"/>
                <w:szCs w:val="20"/>
                <w:color w:val="auto"/>
              </w:rPr>
            </w:pPr>
            <w:r>
              <w:rPr>
                <w:rFonts w:ascii="Arial" w:cs="Arial" w:eastAsia="Arial" w:hAnsi="Arial"/>
                <w:sz w:val="14"/>
                <w:szCs w:val="14"/>
                <w:b w:val="1"/>
                <w:bCs w:val="1"/>
                <w:color w:val="auto"/>
              </w:rPr>
              <w:t>Number of Directors</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86"/>
        </w:trPr>
        <w:tc>
          <w:tcPr>
            <w:tcW w:w="46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Who Identify in Any of the Categories Below</w:t>
            </w:r>
          </w:p>
        </w:tc>
        <w:tc>
          <w:tcPr>
            <w:tcW w:w="1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6"/>
        </w:trPr>
        <w:tc>
          <w:tcPr>
            <w:tcW w:w="46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African American or Black</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Alaskan Native or Native American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Asian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Hispanic or Latinx</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Native Hawaiian or Pacific Islander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White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Two or More Races or Ethnicities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LGBTQ+</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4"/>
        </w:trPr>
        <w:tc>
          <w:tcPr>
            <w:tcW w:w="4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Did Not Disclose Demographic Background</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26"/>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Board has adopted an Insider Trading Compliance Policy, which applies to all of our directors, officers and employees. The Insider Trading Compliance Policy prohibits our directors, officers and employees and any entities they control from engaging in all hedging or monetization transactions, such as zero-cost collars and forward sale contracts.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At Meetings</w:t>
      </w:r>
    </w:p>
    <w:p>
      <w:pPr>
        <w:spacing w:after="0" w:line="121"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There were eleven meetings of the Board during the fiscal year ended December 31, 2022. Our independent directors also held regularly scheduled executive sessions. During the fiscal year ended December 31, 2022, each director attended at least 75% of the aggregate of (i) all meetings of the Board and (ii) all meetings of the committees on which the director served during the period in which he or she served as a director.</w:t>
      </w:r>
    </w:p>
    <w:p>
      <w:pPr>
        <w:spacing w:after="0" w:line="4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Under our Corporate Governance Guidelines, which are available on the “Corporate Governance” section of the “Investors &amp; Media” page of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the 2022 Annual Meeting of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Board has established four standing committees--Audit, Compensation, Nominating and Corporate Governance, and Research and Development-- each of which operates under a written charter that has been approved by our Board.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members of each of the Board committees and committee Chairs are set forth in the following chart.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Nominating and</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Research and</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Audit</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Corporate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Governance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0" w:type="dxa"/>
            <w:vAlign w:val="bottom"/>
          </w:tcPr>
          <w:p>
            <w:pPr>
              <w:spacing w:after="0"/>
              <w:rPr>
                <w:sz w:val="1"/>
                <w:szCs w:val="1"/>
                <w:color w:val="auto"/>
              </w:rPr>
            </w:pPr>
          </w:p>
        </w:tc>
      </w:tr>
      <w:tr>
        <w:trPr>
          <w:trHeight w:val="183"/>
        </w:trPr>
        <w:tc>
          <w:tcPr>
            <w:tcW w:w="5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Timothy C. Barabe</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Chair</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2"/>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Carrie S. Cox</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Nishan de Silva, M.D., M.B.A.</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Scott D. Myers</w:t>
            </w: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Chair</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4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Aymeric Sallin</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2"/>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Timothy A. Springer, Ph.D.</w:t>
            </w: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4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Patrick Zenner</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Chair</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15 of this proxy statement).</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Audit Committee charter is available on the “Corporate Governance” section of the “Investors &amp; Media” page of our website at www.selectabio.com. The members of the Audit Committee are Timothy C. Barabe, Carrie S. Cox, Nishan de Silva, M.D., M.B.A, and Patrick Zenner. Mr. Barabe serves as the Chairman of the Audit Committee. Our Board has affirmatively determined that each of Mr. Barabe, Ms. Cox, Dr. de Silva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2022, the Audit Committee met eight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with respect to, the compensation of our CEO and other executive officers;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administering our cash and equity incentive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it in carrying out its responsibilities.</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&amp; Media” page of our website at www.selectabio.com. The Compensation Committee may also delegate to an officer the authority to grant equity awards to certain employees, as further described in its charter and subject to the terms of our equity plans.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2022,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including the Chief Executive Officer, and to receive input and advice. The Compensation Committee has considered the adviser independence factors required under SEC rules as they relate to Compensia and does not believe Compensia’s work in 2022 raised a conflict of interest.</w:t>
      </w:r>
    </w:p>
    <w:p>
      <w:pPr>
        <w:spacing w:after="0" w:line="5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56" w:lineRule="exact"/>
        <w:rPr>
          <w:sz w:val="20"/>
          <w:szCs w:val="20"/>
          <w:color w:val="auto"/>
        </w:rPr>
      </w:pPr>
    </w:p>
    <w:p>
      <w:pPr>
        <w:ind w:right="60" w:firstLine="324"/>
        <w:spacing w:after="0" w:line="210" w:lineRule="exact"/>
        <w:rPr>
          <w:sz w:val="20"/>
          <w:szCs w:val="20"/>
          <w:color w:val="auto"/>
        </w:rPr>
      </w:pPr>
      <w:r>
        <w:rPr>
          <w:rFonts w:ascii="Arial" w:cs="Arial" w:eastAsia="Arial" w:hAnsi="Arial"/>
          <w:sz w:val="16"/>
          <w:szCs w:val="16"/>
          <w:color w:val="auto"/>
        </w:rPr>
        <w:t>The members of the Compensation Committee are Carrie S. Cox, Scott D. Myers, and Aymeric Sallin. Scott D. Myers serves as Chairman of the Compensation Committee. Our Board has determined that each of Ms. Cox, Mr. Myers, Mr. Sallin and our former director and Compensation Committee member Göran Ando, M.D., is independent under the applicable SEC and Nasdaq rules, including the heightened standard for independence specific to members of a compensation committee, and is a “non</w:t>
      </w:r>
      <w:r>
        <w:rPr>
          <w:rFonts w:ascii="MS PGothic" w:cs="MS PGothic" w:eastAsia="MS PGothic" w:hAnsi="MS PGothic"/>
          <w:sz w:val="16"/>
          <w:szCs w:val="16"/>
          <w:color w:val="auto"/>
        </w:rPr>
        <w:t>‑</w:t>
      </w:r>
      <w:r>
        <w:rPr>
          <w:rFonts w:ascii="Arial" w:cs="Arial" w:eastAsia="Arial" w:hAnsi="Arial"/>
          <w:sz w:val="16"/>
          <w:szCs w:val="16"/>
          <w:color w:val="auto"/>
        </w:rPr>
        <w:t>employee director” as defined in Rule 16b</w:t>
      </w:r>
      <w:r>
        <w:rPr>
          <w:rFonts w:ascii="MS PGothic" w:cs="MS PGothic" w:eastAsia="MS PGothic" w:hAnsi="MS PGothic"/>
          <w:sz w:val="16"/>
          <w:szCs w:val="16"/>
          <w:color w:val="auto"/>
        </w:rPr>
        <w:t>‑</w:t>
      </w:r>
      <w:r>
        <w:rPr>
          <w:rFonts w:ascii="Arial" w:cs="Arial" w:eastAsia="Arial" w:hAnsi="Arial"/>
          <w:sz w:val="16"/>
          <w:szCs w:val="16"/>
          <w:color w:val="auto"/>
        </w:rPr>
        <w:t>3 promulgated under the Exchange Act.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2022, the Compensation Committee met eight times.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to our Board the persons to be nominated for election as directors and to each board committee;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principles;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 periodic assessment of our Board.</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Nominating and Corporate Governance Committee charter is available on the “Corporate Governance” section of the “Investors &amp; Media” page of our website at www.selectabio.com. The members of the Nominating and Corporate Governance Committee are Scott D. Myers, Timothy A. Springer, Ph.D, and Patrick Zenner. Mr. Zenner serves as the Chairman of the Nominating and Corporate Governance Committee. Our Board has determined that Mr. Myers, Dr. Springer and Mr. Zenner are independent under the applicable Nasdaq rules.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2022, the Nominating and Corporate Governance Committee met four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Research and Development Committee of the Board (the “Research and Development Committee”)’s responsibilities include:</w:t>
      </w:r>
    </w:p>
    <w:p>
      <w:pPr>
        <w:spacing w:after="0" w:line="117" w:lineRule="exact"/>
        <w:rPr>
          <w:sz w:val="20"/>
          <w:szCs w:val="20"/>
          <w:color w:val="auto"/>
        </w:rPr>
      </w:pPr>
    </w:p>
    <w:p>
      <w:pPr>
        <w:ind w:left="660" w:right="2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advising the Board on scientific, technological, and research and development matters, and on strategic issues associated with the Company’s product pipeline and technology;</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the quality, direction, and competitiveness of the Company’s research and development programs, and product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the organization, resources and capabilities of the Company’s research, analytical, CMC, and clinical departments;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strategies and approaches to acquiring, in licensing, out licensing, and maintaining innovation and technology positions;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advising the Board on the scientific, medical, and technical aspects of significant acquisitions, in licenses, out licenses, and other strategic business development transactions;</w:t>
      </w:r>
    </w:p>
    <w:p>
      <w:pPr>
        <w:spacing w:after="0" w:line="62"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15" w:lineRule="exact"/>
        <w:rPr>
          <w:rFonts w:ascii="Arial" w:cs="Arial" w:eastAsia="Arial" w:hAnsi="Arial"/>
          <w:sz w:val="16"/>
          <w:szCs w:val="16"/>
          <w:color w:val="auto"/>
        </w:rPr>
      </w:pPr>
    </w:p>
    <w:p>
      <w:pPr>
        <w:ind w:left="660" w:right="60" w:hanging="328"/>
        <w:spacing w:after="0" w:line="342"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15"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counsel and know-how to the Company’s management in the area of research and development and the Company’s product pipeline and technology;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carrying out other tasks or providing other advice related to the Company’s product pipeline and technology as may be requested by the Board</w:t>
      </w:r>
    </w:p>
    <w:p>
      <w:pPr>
        <w:spacing w:after="0" w:line="14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Research and Development Committee charter is available on the “Corporate Governance” section of the “Investors &amp; Media” page of our website at www.selectabio.com. The members of the Research and Development Committee are Timothy A. Springer, Ph.D. and Nishan de Silva, M.D., M.B.A. The Committee does not currently have a chair. Our Board has determined that Dr. Springer, Dr. de Silva and our former director and Chairman of the Research and Development Committee Göran Ando, M.D. are independent under the applicable Nasdaq rules.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Research and Development Committee met three times in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2022. It also explains how we determined the material elements of compensation for our principal executive officer, our principal financial officer, and the three executive officers (other than our principal executive officer and principal financial officer) who were our most highly compensated executive officers as of December 31, 2022, and who we refer to as our “Named Executive Officers.” For 2022, our Named Executive Officers were:</w:t>
      </w:r>
    </w:p>
    <w:p>
      <w:pPr>
        <w:spacing w:after="0" w:line="8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Carsten Brunn, Ph.D., our President and Chief Executive Officer (our “CEO”);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Blaine Davis, our Chief Financial Officer (our “CFO”);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Kevin Tan, our former Chief Financial Officer, who served as our principal financial and accounting officer during portions of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Peter G. Traber, M.D., our Chief Medical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Takashi Kei Kishimoto, Ph.D., our Chief Scientific Officer;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Lloyd Johnston, Ph.D., our Chief Operations Officer.</w:t>
      </w:r>
    </w:p>
    <w:p>
      <w:pPr>
        <w:spacing w:after="0" w:line="11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2022.</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We are a clinical-stage biotechnology company leveraging our ImmTOR® platform to develop tolerogenic therapies designed to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We have several proprietary and partnered programs in our pipeline focused on enzyme therapies, gene therapies, and autoimmune diseases.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Business Highlights</w:t>
      </w:r>
    </w:p>
    <w:p>
      <w:pPr>
        <w:spacing w:after="0" w:line="104" w:lineRule="exact"/>
        <w:rPr>
          <w:sz w:val="20"/>
          <w:szCs w:val="20"/>
          <w:color w:val="auto"/>
        </w:rPr>
      </w:pPr>
    </w:p>
    <w:p>
      <w:pPr>
        <w:ind w:left="660" w:right="2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Progressed the DISSOLVE Phase 3 clinical trial program for SEL-212 for the potential treatment of chronic refractory gout toward completion. After year end, in 2023, announced positive results from both trials in the DISSOLVE program.</w:t>
      </w:r>
    </w:p>
    <w:p>
      <w:pPr>
        <w:spacing w:after="0" w:line="211"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to develop our Xork immunoglobulin G, or IgG, protease. After year end, announced Exclusive Licensing and Development Agreement for Xork for treatment of pompe disease with Audentes Therapeutics, Inc. (now known as Astellas Gene Therapies), the gene therapy division of Astellas Pharma Inc., triggering a $10 million upfront payment.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Received $16 million in development milestone payments from licensed partners and collaborators.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April 2022, raised $36.9 million in net proceeds through an SEC-registered securities offering.</w:t>
      </w:r>
    </w:p>
    <w:p>
      <w:pPr>
        <w:spacing w:after="0" w:line="238" w:lineRule="exact"/>
        <w:rPr>
          <w:rFonts w:ascii="Arial" w:cs="Arial" w:eastAsia="Arial" w:hAnsi="Arial"/>
          <w:sz w:val="18"/>
          <w:szCs w:val="18"/>
          <w:color w:val="auto"/>
        </w:rPr>
      </w:pPr>
    </w:p>
    <w:p>
      <w:pPr>
        <w:ind w:left="660" w:right="92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Initiated Phase 1/2 clinical trial for SEL-302, Selecta’s wholly-owned gene therapy in combination with ImmTOR for the treatment of methylmalonic acidemia, following removal of FDA clinical hold.</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Selected clinical candidates for IL-2 and IgA protease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Strengthened executive team with addition of Blaine Davis as Chief Financial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Operated within internal budget for 2022.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Participated in several healthcare industry conferences.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Had annualized voluntary turnover of employees of 10%, below industry average of 18%.</w:t>
      </w:r>
    </w:p>
    <w:p>
      <w:pPr>
        <w:spacing w:after="0" w:line="252"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Hired new head of Information Technology and implemented technology solutions to improve employee efficiencies and enhance company technology security.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Raised $2.1 million in net proceeds through use of at-the-market offering facility with SVB Securities LLC.</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Executive Compensation Highlights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Consistent with our performance and compensation philosophy, the Compensation Committee took the following compensation actions for our Named Executive Officers for 2022:</w:t>
      </w:r>
    </w:p>
    <w:p>
      <w:pPr>
        <w:spacing w:after="0" w:line="84" w:lineRule="exact"/>
        <w:rPr>
          <w:sz w:val="20"/>
          <w:szCs w:val="20"/>
          <w:color w:val="auto"/>
        </w:rPr>
      </w:pPr>
    </w:p>
    <w:tbl>
      <w:tblPr>
        <w:tblLayout w:type="fixed"/>
        <w:tblInd w:w="70" w:type="dxa"/>
        <w:tblCellMar>
          <w:top w:w="0" w:type="dxa"/>
          <w:left w:w="0" w:type="dxa"/>
          <w:bottom w:w="0" w:type="dxa"/>
          <w:right w:w="0" w:type="dxa"/>
        </w:tblCellMar>
      </w:tblPr>
      <w:tr>
        <w:trPr>
          <w:trHeight w:val="216"/>
        </w:trPr>
        <w:tc>
          <w:tcPr>
            <w:tcW w:w="2880" w:type="dxa"/>
            <w:vAlign w:val="bottom"/>
            <w:tcBorders>
              <w:top w:val="single" w:sz="8" w:color="auto"/>
              <w:left w:val="single" w:sz="8" w:color="auto"/>
              <w:right w:val="single" w:sz="8" w:color="auto"/>
            </w:tcBorders>
            <w:vMerge w:val="restart"/>
          </w:tcPr>
          <w:p>
            <w:pPr>
              <w:ind w:left="660"/>
              <w:spacing w:after="0"/>
              <w:rPr>
                <w:sz w:val="20"/>
                <w:szCs w:val="20"/>
                <w:color w:val="auto"/>
              </w:rPr>
            </w:pPr>
            <w:r>
              <w:rPr>
                <w:rFonts w:ascii="Arial" w:cs="Arial" w:eastAsia="Arial" w:hAnsi="Arial"/>
                <w:sz w:val="14"/>
                <w:szCs w:val="14"/>
                <w:b w:val="1"/>
                <w:bCs w:val="1"/>
                <w:color w:val="auto"/>
              </w:rPr>
              <w:t>Named Executive Officer</w:t>
            </w:r>
          </w:p>
        </w:tc>
        <w:tc>
          <w:tcPr>
            <w:tcW w:w="20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w w:val="94"/>
              </w:rPr>
              <w:t>2022 Base Salary Increase from</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Annual Bonus Target as a</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2022 Annual Time-Based Stock</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2022 Annual Time-Based</w:t>
            </w:r>
          </w:p>
        </w:tc>
        <w:tc>
          <w:tcPr>
            <w:tcW w:w="0" w:type="dxa"/>
            <w:vAlign w:val="bottom"/>
          </w:tcPr>
          <w:p>
            <w:pPr>
              <w:spacing w:after="0"/>
              <w:rPr>
                <w:sz w:val="1"/>
                <w:szCs w:val="1"/>
                <w:color w:val="auto"/>
              </w:rPr>
            </w:pPr>
          </w:p>
        </w:tc>
      </w:tr>
      <w:tr>
        <w:trPr>
          <w:trHeight w:val="81"/>
        </w:trPr>
        <w:tc>
          <w:tcPr>
            <w:tcW w:w="2880" w:type="dxa"/>
            <w:vAlign w:val="bottom"/>
            <w:tcBorders>
              <w:left w:val="single" w:sz="8" w:color="auto"/>
              <w:right w:val="single" w:sz="8" w:color="auto"/>
            </w:tcBorders>
            <w:vMerge w:val="continue"/>
          </w:tcPr>
          <w:p>
            <w:pPr>
              <w:spacing w:after="0"/>
              <w:rPr>
                <w:sz w:val="7"/>
                <w:szCs w:val="7"/>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2021</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Percentage of Base Salary</w:t>
            </w:r>
          </w:p>
        </w:tc>
        <w:tc>
          <w:tcPr>
            <w:tcW w:w="20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Options</w:t>
            </w:r>
          </w:p>
        </w:tc>
        <w:tc>
          <w:tcPr>
            <w:tcW w:w="20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Restricted Stock Units Award (#</w:t>
            </w:r>
          </w:p>
        </w:tc>
        <w:tc>
          <w:tcPr>
            <w:tcW w:w="0" w:type="dxa"/>
            <w:vAlign w:val="bottom"/>
          </w:tcPr>
          <w:p>
            <w:pPr>
              <w:spacing w:after="0"/>
              <w:rPr>
                <w:sz w:val="1"/>
                <w:szCs w:val="1"/>
                <w:color w:val="auto"/>
              </w:rPr>
            </w:pPr>
          </w:p>
        </w:tc>
      </w:tr>
      <w:tr>
        <w:trPr>
          <w:trHeight w:val="109"/>
        </w:trPr>
        <w:tc>
          <w:tcPr>
            <w:tcW w:w="288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 of shares)</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of shares)</w:t>
            </w:r>
          </w:p>
        </w:tc>
        <w:tc>
          <w:tcPr>
            <w:tcW w:w="0" w:type="dxa"/>
            <w:vAlign w:val="bottom"/>
          </w:tcPr>
          <w:p>
            <w:pPr>
              <w:spacing w:after="0"/>
              <w:rPr>
                <w:sz w:val="1"/>
                <w:szCs w:val="1"/>
                <w:color w:val="auto"/>
              </w:rPr>
            </w:pPr>
          </w:p>
        </w:tc>
      </w:tr>
      <w:tr>
        <w:trPr>
          <w:trHeight w:val="87"/>
        </w:trPr>
        <w:tc>
          <w:tcPr>
            <w:tcW w:w="288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vMerge w:val="continue"/>
          </w:tcPr>
          <w:p>
            <w:pPr>
              <w:spacing w:after="0"/>
              <w:rPr>
                <w:sz w:val="7"/>
                <w:szCs w:val="7"/>
                <w:color w:val="auto"/>
              </w:rPr>
            </w:pPr>
          </w:p>
        </w:tc>
        <w:tc>
          <w:tcPr>
            <w:tcW w:w="20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Carsten Brunn, Ph.D.</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55%</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1,056,100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226,300</w:t>
            </w:r>
          </w:p>
        </w:tc>
        <w:tc>
          <w:tcPr>
            <w:tcW w:w="0" w:type="dxa"/>
            <w:vAlign w:val="bottom"/>
          </w:tcPr>
          <w:p>
            <w:pPr>
              <w:spacing w:after="0"/>
              <w:rPr>
                <w:sz w:val="1"/>
                <w:szCs w:val="1"/>
                <w:color w:val="auto"/>
              </w:rPr>
            </w:pPr>
          </w:p>
        </w:tc>
      </w:tr>
      <w:tr>
        <w:trPr>
          <w:trHeight w:val="20"/>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4"/>
                <w:szCs w:val="14"/>
                <w:color w:val="auto"/>
              </w:rPr>
              <w:t xml:space="preserve">Blaine Davis </w:t>
            </w:r>
            <w:r>
              <w:rPr>
                <w:rFonts w:ascii="Arial" w:cs="Arial" w:eastAsia="Arial" w:hAnsi="Arial"/>
                <w:sz w:val="18"/>
                <w:szCs w:val="18"/>
                <w:color w:val="auto"/>
                <w:vertAlign w:val="superscript"/>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4"/>
                <w:szCs w:val="14"/>
                <w:color w:val="auto"/>
              </w:rPr>
              <w:t>Kevin Tan</w:t>
            </w:r>
            <w:r>
              <w:rPr>
                <w:rFonts w:ascii="Arial" w:cs="Arial" w:eastAsia="Arial" w:hAnsi="Arial"/>
                <w:sz w:val="18"/>
                <w:szCs w:val="18"/>
                <w:color w:val="auto"/>
                <w:vertAlign w:val="superscript"/>
              </w:rPr>
              <w:t>(2)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340,000</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72,000</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Peter G. Traber, M.D.</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4.3%</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40%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415,900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90,200</w:t>
            </w:r>
          </w:p>
        </w:tc>
        <w:tc>
          <w:tcPr>
            <w:tcW w:w="0" w:type="dxa"/>
            <w:vAlign w:val="bottom"/>
          </w:tcPr>
          <w:p>
            <w:pPr>
              <w:spacing w:after="0"/>
              <w:rPr>
                <w:sz w:val="1"/>
                <w:szCs w:val="1"/>
                <w:color w:val="auto"/>
              </w:rPr>
            </w:pPr>
          </w:p>
        </w:tc>
      </w:tr>
      <w:tr>
        <w:trPr>
          <w:trHeight w:val="20"/>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Takashi Kei Kishimoto, Ph.D.</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5.7%</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40%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340,000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72,000</w:t>
            </w:r>
          </w:p>
        </w:tc>
        <w:tc>
          <w:tcPr>
            <w:tcW w:w="0" w:type="dxa"/>
            <w:vAlign w:val="bottom"/>
          </w:tcPr>
          <w:p>
            <w:pPr>
              <w:spacing w:after="0"/>
              <w:rPr>
                <w:sz w:val="1"/>
                <w:szCs w:val="1"/>
                <w:color w:val="auto"/>
              </w:rPr>
            </w:pPr>
          </w:p>
        </w:tc>
      </w:tr>
      <w:tr>
        <w:trPr>
          <w:trHeight w:val="20"/>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Lloyd Johnston, Ph.D.</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40%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340,000</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72,000</w:t>
            </w:r>
          </w:p>
        </w:tc>
        <w:tc>
          <w:tcPr>
            <w:tcW w:w="0" w:type="dxa"/>
            <w:vAlign w:val="bottom"/>
          </w:tcPr>
          <w:p>
            <w:pPr>
              <w:spacing w:after="0"/>
              <w:rPr>
                <w:sz w:val="1"/>
                <w:szCs w:val="1"/>
                <w:color w:val="auto"/>
              </w:rPr>
            </w:pPr>
          </w:p>
        </w:tc>
      </w:tr>
      <w:tr>
        <w:trPr>
          <w:trHeight w:val="20"/>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332"/>
        <w:spacing w:after="0" w:line="249" w:lineRule="auto"/>
        <w:tabs>
          <w:tab w:leader="none" w:pos="579" w:val="left"/>
        </w:tabs>
        <w:numPr>
          <w:ilvl w:val="0"/>
          <w:numId w:val="22"/>
        </w:numPr>
        <w:rPr>
          <w:rFonts w:ascii="Arial" w:cs="Arial" w:eastAsia="Arial" w:hAnsi="Arial"/>
          <w:sz w:val="17"/>
          <w:szCs w:val="17"/>
          <w:color w:val="auto"/>
        </w:rPr>
      </w:pPr>
      <w:r>
        <w:rPr>
          <w:rFonts w:ascii="Arial" w:cs="Arial" w:eastAsia="Arial" w:hAnsi="Arial"/>
          <w:sz w:val="17"/>
          <w:szCs w:val="17"/>
          <w:color w:val="auto"/>
        </w:rPr>
        <w:t>Mr. Davis was appointed Chief Financial Officer on November 28, 2022, and per the terms of his employment agreement was not eligible for a base salary increase, annual time-based stock options, or annual time-based restricted stock unit awards in 2022. See “— Compensation Elements — Other Equity Grants” below for information regarding equity grants issued to Mr. Davis in connection with his hiring.</w:t>
      </w:r>
    </w:p>
    <w:p>
      <w:pPr>
        <w:spacing w:after="0" w:line="1" w:lineRule="exact"/>
        <w:rPr>
          <w:rFonts w:ascii="Arial" w:cs="Arial" w:eastAsia="Arial" w:hAnsi="Arial"/>
          <w:sz w:val="17"/>
          <w:szCs w:val="17"/>
          <w:color w:val="auto"/>
        </w:rPr>
      </w:pPr>
    </w:p>
    <w:p>
      <w:pPr>
        <w:ind w:right="60" w:firstLine="332"/>
        <w:spacing w:after="0" w:line="243"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Tan forfeited options to purchase 255,000 shares of our Common Stock and 54,000 restricted stock units granted in 2022 upon his departure in December 2022.</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Emphasis on Variable and Performance-Based Compensation</w:t>
      </w:r>
    </w:p>
    <w:p>
      <w:pPr>
        <w:spacing w:after="0" w:line="104"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color w:val="auto"/>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2022, the majority of the target total direct compensation of our CEO consisted of variable pay, including cash awarded under our annual bonus plan and long-term incentives in the form of equity awards for which value is likely to be variable. In particular, 17.5% of our CEO’s 2022 target total direct compensation was delivered in stock options, which derive their value from potential increases in our stock price. Fixed pay, primarily consisting of base salary, made up only 13.7% of our CEO’s target total direct compensation in 2022, while variable pay, consisting of annual incentives in the form of an annual bonus program and long-term incentives in the form of equity awards, made up 86.3%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2022:</w:t>
      </w:r>
    </w:p>
    <w:p>
      <w:pPr>
        <w:spacing w:after="0" w:line="94" w:lineRule="exact"/>
        <w:rPr>
          <w:sz w:val="20"/>
          <w:szCs w:val="20"/>
          <w:color w:val="auto"/>
        </w:rPr>
      </w:pPr>
    </w:p>
    <w:tbl>
      <w:tblPr>
        <w:tblLayout w:type="fixed"/>
        <w:tblInd w:w="50" w:type="dxa"/>
        <w:tblCellMar>
          <w:top w:w="0" w:type="dxa"/>
          <w:left w:w="0" w:type="dxa"/>
          <w:bottom w:w="0" w:type="dxa"/>
          <w:right w:w="0" w:type="dxa"/>
        </w:tblCellMar>
      </w:tblPr>
      <w:tr>
        <w:trPr>
          <w:trHeight w:val="210"/>
        </w:trPr>
        <w:tc>
          <w:tcPr>
            <w:tcW w:w="22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Named Executive Officer</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 Pay (2022)</w:t>
            </w:r>
          </w:p>
        </w:tc>
        <w:tc>
          <w:tcPr>
            <w:tcW w:w="224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Percentage of Pay (Fixed)</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Percentage of Pay (Variable)</w:t>
            </w:r>
          </w:p>
        </w:tc>
        <w:tc>
          <w:tcPr>
            <w:tcW w:w="0" w:type="dxa"/>
            <w:vAlign w:val="bottom"/>
          </w:tcPr>
          <w:p>
            <w:pPr>
              <w:spacing w:after="0"/>
              <w:rPr>
                <w:sz w:val="1"/>
                <w:szCs w:val="1"/>
                <w:color w:val="auto"/>
              </w:rPr>
            </w:pPr>
          </w:p>
        </w:tc>
      </w:tr>
      <w:tr>
        <w:trPr>
          <w:trHeight w:val="143"/>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Carsten Brunn, Ph.D.</w:t>
            </w:r>
          </w:p>
        </w:tc>
        <w:tc>
          <w:tcPr>
            <w:tcW w:w="22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President and Chief Executive</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$4,292,242</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13.7%</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86.3%</w:t>
            </w:r>
          </w:p>
        </w:tc>
        <w:tc>
          <w:tcPr>
            <w:tcW w:w="0" w:type="dxa"/>
            <w:vAlign w:val="bottom"/>
          </w:tcPr>
          <w:p>
            <w:pPr>
              <w:spacing w:after="0"/>
              <w:rPr>
                <w:sz w:val="1"/>
                <w:szCs w:val="1"/>
                <w:color w:val="auto"/>
              </w:rPr>
            </w:pPr>
          </w:p>
        </w:tc>
      </w:tr>
      <w:tr>
        <w:trPr>
          <w:trHeight w:val="101"/>
        </w:trPr>
        <w:tc>
          <w:tcPr>
            <w:tcW w:w="2240" w:type="dxa"/>
            <w:vAlign w:val="bottom"/>
            <w:tcBorders>
              <w:left w:val="single" w:sz="8" w:color="auto"/>
              <w:right w:val="single" w:sz="8" w:color="auto"/>
            </w:tcBorders>
            <w:vMerge w:val="continue"/>
          </w:tcPr>
          <w:p>
            <w:pPr>
              <w:spacing w:after="0"/>
              <w:rPr>
                <w:sz w:val="8"/>
                <w:szCs w:val="8"/>
                <w:color w:val="auto"/>
              </w:rPr>
            </w:pP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Officer</w:t>
            </w:r>
          </w:p>
        </w:tc>
        <w:tc>
          <w:tcPr>
            <w:tcW w:w="226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240" w:type="dxa"/>
            <w:vAlign w:val="bottom"/>
            <w:tcBorders>
              <w:left w:val="single" w:sz="8" w:color="auto"/>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Blaine Davis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Chief Financial Officer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$1,263,706</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2.7%</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97.3%</w:t>
            </w:r>
          </w:p>
        </w:tc>
        <w:tc>
          <w:tcPr>
            <w:tcW w:w="0" w:type="dxa"/>
            <w:vAlign w:val="bottom"/>
          </w:tcPr>
          <w:p>
            <w:pPr>
              <w:spacing w:after="0"/>
              <w:rPr>
                <w:sz w:val="1"/>
                <w:szCs w:val="1"/>
                <w:color w:val="auto"/>
              </w:rPr>
            </w:pPr>
          </w:p>
        </w:tc>
      </w:tr>
      <w:tr>
        <w:trPr>
          <w:trHeight w:val="20"/>
        </w:trPr>
        <w:tc>
          <w:tcPr>
            <w:tcW w:w="2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Kevin Tan</w:t>
            </w:r>
            <w:r>
              <w:rPr>
                <w:rFonts w:ascii="Arial" w:cs="Arial" w:eastAsia="Arial" w:hAnsi="Arial"/>
                <w:sz w:val="9"/>
                <w:szCs w:val="9"/>
                <w:color w:val="auto"/>
              </w:rPr>
              <w:t>(1)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Former Chief Financial Officer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$1,688,429</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25.2%</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74.8%</w:t>
            </w:r>
          </w:p>
        </w:tc>
        <w:tc>
          <w:tcPr>
            <w:tcW w:w="0" w:type="dxa"/>
            <w:vAlign w:val="bottom"/>
          </w:tcPr>
          <w:p>
            <w:pPr>
              <w:spacing w:after="0"/>
              <w:rPr>
                <w:sz w:val="1"/>
                <w:szCs w:val="1"/>
                <w:color w:val="auto"/>
              </w:rPr>
            </w:pPr>
          </w:p>
        </w:tc>
      </w:tr>
      <w:tr>
        <w:trPr>
          <w:trHeight w:val="20"/>
        </w:trPr>
        <w:tc>
          <w:tcPr>
            <w:tcW w:w="2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Peter G. Traber, M.D.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Chief Medical Officer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$2,003,983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22.7%</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77.3%</w:t>
            </w:r>
          </w:p>
        </w:tc>
        <w:tc>
          <w:tcPr>
            <w:tcW w:w="0" w:type="dxa"/>
            <w:vAlign w:val="bottom"/>
          </w:tcPr>
          <w:p>
            <w:pPr>
              <w:spacing w:after="0"/>
              <w:rPr>
                <w:sz w:val="1"/>
                <w:szCs w:val="1"/>
                <w:color w:val="auto"/>
              </w:rPr>
            </w:pPr>
          </w:p>
        </w:tc>
      </w:tr>
      <w:tr>
        <w:trPr>
          <w:trHeight w:val="20"/>
        </w:trPr>
        <w:tc>
          <w:tcPr>
            <w:tcW w:w="2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Takashi Kei Kishimoto, Ph.D.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Chief Scientific Officer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$1,684,353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24.9%</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75.1%</w:t>
            </w:r>
          </w:p>
        </w:tc>
        <w:tc>
          <w:tcPr>
            <w:tcW w:w="0" w:type="dxa"/>
            <w:vAlign w:val="bottom"/>
          </w:tcPr>
          <w:p>
            <w:pPr>
              <w:spacing w:after="0"/>
              <w:rPr>
                <w:sz w:val="1"/>
                <w:szCs w:val="1"/>
                <w:color w:val="auto"/>
              </w:rPr>
            </w:pPr>
          </w:p>
        </w:tc>
      </w:tr>
      <w:tr>
        <w:trPr>
          <w:trHeight w:val="20"/>
        </w:trPr>
        <w:tc>
          <w:tcPr>
            <w:tcW w:w="2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Lloyd Johnston, Ph.D.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Chief Operations Officer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$1,674,359</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24.7%</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75.3%</w:t>
            </w:r>
          </w:p>
        </w:tc>
        <w:tc>
          <w:tcPr>
            <w:tcW w:w="0" w:type="dxa"/>
            <w:vAlign w:val="bottom"/>
          </w:tcPr>
          <w:p>
            <w:pPr>
              <w:spacing w:after="0"/>
              <w:rPr>
                <w:sz w:val="1"/>
                <w:szCs w:val="1"/>
                <w:color w:val="auto"/>
              </w:rPr>
            </w:pPr>
          </w:p>
        </w:tc>
      </w:tr>
      <w:tr>
        <w:trPr>
          <w:trHeight w:val="20"/>
        </w:trPr>
        <w:tc>
          <w:tcPr>
            <w:tcW w:w="2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332"/>
        <w:spacing w:after="0" w:line="259"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row represents Mr. Tan’s total pay at target. Upon his departure in December 2022, Mr. Tan forfeited his 2022 annual target bonus opportunity of $164,000 as well as options to purchase 255,000 shares of our Common Stock and 54,000 restricted stock units that were granted earlier in 2022. However, as noted below, Mr. Tan was paid an amount of $164,000 as a term of his separation agreement, which was approved separately from the 2022 Bonus Plan by the Compensation Committee.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endeavor to maintain sound executive compensation policies and practices, including compensation-related corporate governance standards, consistent with our executive compensation philosophy. During 2022,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What We Do</w:t>
      </w:r>
    </w:p>
    <w:p>
      <w:pPr>
        <w:spacing w:after="0" w:line="279" w:lineRule="exact"/>
        <w:rPr>
          <w:sz w:val="20"/>
          <w:szCs w:val="20"/>
          <w:color w:val="auto"/>
        </w:rPr>
      </w:pPr>
    </w:p>
    <w:p>
      <w:pPr>
        <w:ind w:left="820" w:right="260" w:hanging="470"/>
        <w:spacing w:after="0" w:line="342" w:lineRule="auto"/>
        <w:tabs>
          <w:tab w:leader="none" w:pos="82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Compensation Committee Independence </w:t>
      </w:r>
      <w:r>
        <w:rPr>
          <w:rFonts w:ascii="Arial" w:cs="Arial" w:eastAsia="Arial" w:hAnsi="Arial"/>
          <w:sz w:val="16"/>
          <w:szCs w:val="16"/>
          <w:color w:val="auto"/>
        </w:rPr>
        <w:t>– Our Board maintains a Compensation Committee comprised solely of independent directors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established effective means for communicating with our stockholders regarding their executive compensation ideas and concerns.</w:t>
      </w:r>
    </w:p>
    <w:p>
      <w:pPr>
        <w:spacing w:after="0" w:line="56" w:lineRule="exact"/>
        <w:rPr>
          <w:rFonts w:ascii="Arial" w:cs="Arial" w:eastAsia="Arial" w:hAnsi="Arial"/>
          <w:sz w:val="16"/>
          <w:szCs w:val="16"/>
          <w:b w:val="1"/>
          <w:bCs w:val="1"/>
          <w:color w:val="auto"/>
        </w:rPr>
      </w:pPr>
    </w:p>
    <w:p>
      <w:pPr>
        <w:ind w:left="820" w:right="800" w:hanging="470"/>
        <w:spacing w:after="0" w:line="229" w:lineRule="auto"/>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 Committee Advisor Independence </w:t>
      </w:r>
      <w:r>
        <w:rPr>
          <w:rFonts w:ascii="Arial" w:cs="Arial" w:eastAsia="Arial" w:hAnsi="Arial"/>
          <w:sz w:val="18"/>
          <w:szCs w:val="18"/>
          <w:color w:val="auto"/>
        </w:rPr>
        <w:t>– The Compensation Committee engages and retains its own advisors. In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engaged Compensia as compensation consultant to assist with its responsibilities. Compensia performs no consulting or other services for the Company.</w:t>
      </w:r>
    </w:p>
    <w:p>
      <w:pPr>
        <w:spacing w:after="0" w:line="217" w:lineRule="exact"/>
        <w:rPr>
          <w:rFonts w:ascii="Arial" w:cs="Arial" w:eastAsia="Arial" w:hAnsi="Arial"/>
          <w:sz w:val="18"/>
          <w:szCs w:val="18"/>
          <w:b w:val="1"/>
          <w:bCs w:val="1"/>
          <w:color w:val="auto"/>
        </w:rPr>
      </w:pPr>
    </w:p>
    <w:p>
      <w:pPr>
        <w:ind w:left="820" w:right="420" w:hanging="470"/>
        <w:spacing w:after="0" w:line="235" w:lineRule="auto"/>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Annual Compensation Review </w:t>
      </w:r>
      <w:r>
        <w:rPr>
          <w:rFonts w:ascii="Arial" w:cs="Arial" w:eastAsia="Arial" w:hAnsi="Arial"/>
          <w:sz w:val="18"/>
          <w:szCs w:val="18"/>
          <w:color w:val="auto"/>
        </w:rPr>
        <w:t>– The Compensation Committee conducts an annual review of our executive compensation philosophy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including a review of the compensation peer group used for comparative purposes.</w:t>
      </w:r>
    </w:p>
    <w:p>
      <w:pPr>
        <w:spacing w:after="0" w:line="229" w:lineRule="exact"/>
        <w:rPr>
          <w:rFonts w:ascii="Arial" w:cs="Arial" w:eastAsia="Arial" w:hAnsi="Arial"/>
          <w:sz w:val="18"/>
          <w:szCs w:val="18"/>
          <w:b w:val="1"/>
          <w:bCs w:val="1"/>
          <w:color w:val="auto"/>
        </w:rPr>
      </w:pPr>
    </w:p>
    <w:p>
      <w:pPr>
        <w:ind w:left="820" w:right="100" w:hanging="470"/>
        <w:spacing w:after="0" w:line="229" w:lineRule="auto"/>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Compensation-Related Risk Assessment </w:t>
      </w:r>
      <w:r>
        <w:rPr>
          <w:rFonts w:ascii="Arial" w:cs="Arial" w:eastAsia="Arial" w:hAnsi="Arial"/>
          <w:sz w:val="18"/>
          <w:szCs w:val="18"/>
          <w:color w:val="auto"/>
        </w:rPr>
        <w:t>– We conduct an annual evaluation of our compensation programs, policies, and practices to ensure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they reflect an appropriate level of risk-taking but do not encourage our employees to take excessive or unnecessary risks that could have a material adverse impact on our Company.</w:t>
      </w:r>
    </w:p>
    <w:p>
      <w:pPr>
        <w:spacing w:after="0" w:line="217" w:lineRule="exact"/>
        <w:rPr>
          <w:rFonts w:ascii="Arial" w:cs="Arial" w:eastAsia="Arial" w:hAnsi="Arial"/>
          <w:sz w:val="18"/>
          <w:szCs w:val="18"/>
          <w:b w:val="1"/>
          <w:bCs w:val="1"/>
          <w:color w:val="auto"/>
        </w:rPr>
      </w:pPr>
    </w:p>
    <w:p>
      <w:pPr>
        <w:ind w:left="820" w:right="100" w:hanging="470"/>
        <w:spacing w:after="0" w:line="229" w:lineRule="auto"/>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Emphasize Performance-based Incentive Compensation </w:t>
      </w:r>
      <w:r>
        <w:rPr>
          <w:rFonts w:ascii="Arial" w:cs="Arial" w:eastAsia="Arial" w:hAnsi="Arial"/>
          <w:sz w:val="18"/>
          <w:szCs w:val="18"/>
          <w:color w:val="auto"/>
        </w:rPr>
        <w:t>– The Compensation Committee designs our executive compensation program to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performance-based long-term incentive compensation awards to align of the long-term interests of our executive officers with the interests of our stockholders.</w:t>
      </w:r>
    </w:p>
    <w:p>
      <w:pPr>
        <w:spacing w:after="0" w:line="217" w:lineRule="exact"/>
        <w:rPr>
          <w:rFonts w:ascii="Arial" w:cs="Arial" w:eastAsia="Arial" w:hAnsi="Arial"/>
          <w:sz w:val="18"/>
          <w:szCs w:val="18"/>
          <w:b w:val="1"/>
          <w:bCs w:val="1"/>
          <w:color w:val="auto"/>
        </w:rPr>
      </w:pPr>
    </w:p>
    <w:p>
      <w:pPr>
        <w:ind w:left="820" w:right="420" w:hanging="470"/>
        <w:spacing w:after="0" w:line="245" w:lineRule="auto"/>
        <w:tabs>
          <w:tab w:leader="none" w:pos="8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Emphasize Long-Term Equity Compensation </w:t>
      </w:r>
      <w:r>
        <w:rPr>
          <w:rFonts w:ascii="Arial" w:cs="Arial" w:eastAsia="Arial" w:hAnsi="Arial"/>
          <w:sz w:val="17"/>
          <w:szCs w:val="17"/>
          <w:color w:val="auto"/>
        </w:rPr>
        <w:t>– The Compensation Committee uses equity awards to deliver long-term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11" w:lineRule="exact"/>
        <w:rPr>
          <w:rFonts w:ascii="Arial" w:cs="Arial" w:eastAsia="Arial" w:hAnsi="Arial"/>
          <w:sz w:val="17"/>
          <w:szCs w:val="17"/>
          <w:b w:val="1"/>
          <w:bCs w:val="1"/>
          <w:color w:val="auto"/>
        </w:rPr>
      </w:pPr>
    </w:p>
    <w:p>
      <w:pPr>
        <w:ind w:left="820" w:right="100" w:hanging="470"/>
        <w:spacing w:after="0" w:line="229" w:lineRule="auto"/>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Limited Executive Perquisites </w:t>
      </w:r>
      <w:r>
        <w:rPr>
          <w:rFonts w:ascii="Arial" w:cs="Arial" w:eastAsia="Arial" w:hAnsi="Arial"/>
          <w:sz w:val="18"/>
          <w:szCs w:val="18"/>
          <w:color w:val="auto"/>
        </w:rPr>
        <w:t>– We provide only modest amounts of perquisites or other personal benefits that serve a sound business purpose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Named Executive Officers. In addition, the Named Executive Officers participate in our health and welfare benefit programs on the same terms as all of our employees.</w:t>
      </w:r>
    </w:p>
    <w:p>
      <w:pPr>
        <w:spacing w:after="0" w:line="217" w:lineRule="exact"/>
        <w:rPr>
          <w:rFonts w:ascii="Arial" w:cs="Arial" w:eastAsia="Arial" w:hAnsi="Arial"/>
          <w:sz w:val="18"/>
          <w:szCs w:val="18"/>
          <w:b w:val="1"/>
          <w:bCs w:val="1"/>
          <w:color w:val="auto"/>
        </w:rPr>
      </w:pPr>
    </w:p>
    <w:p>
      <w:pPr>
        <w:ind w:left="820" w:right="320" w:hanging="470"/>
        <w:spacing w:after="0" w:line="245" w:lineRule="auto"/>
        <w:tabs>
          <w:tab w:leader="none" w:pos="8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“Double-Trigger” Change in Control Arrangements </w:t>
      </w:r>
      <w:r>
        <w:rPr>
          <w:rFonts w:ascii="Arial" w:cs="Arial" w:eastAsia="Arial" w:hAnsi="Arial"/>
          <w:sz w:val="17"/>
          <w:szCs w:val="17"/>
          <w:color w:val="auto"/>
        </w:rPr>
        <w:t>– The post-employment compensation arrangements for our executive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103" w:lineRule="exact"/>
        <w:rPr>
          <w:rFonts w:ascii="Arial" w:cs="Arial" w:eastAsia="Arial" w:hAnsi="Arial"/>
          <w:sz w:val="17"/>
          <w:szCs w:val="17"/>
          <w:b w:val="1"/>
          <w:bCs w:val="1"/>
          <w:color w:val="auto"/>
        </w:rPr>
      </w:pPr>
    </w:p>
    <w:p>
      <w:pPr>
        <w:ind w:left="820"/>
        <w:spacing w:after="0"/>
        <w:rPr>
          <w:rFonts w:ascii="Arial" w:cs="Arial" w:eastAsia="Arial" w:hAnsi="Arial"/>
          <w:sz w:val="17"/>
          <w:szCs w:val="17"/>
          <w:b w:val="1"/>
          <w:bCs w:val="1"/>
          <w:color w:val="auto"/>
        </w:rPr>
      </w:pPr>
      <w:r>
        <w:rPr>
          <w:rFonts w:ascii="Arial" w:cs="Arial" w:eastAsia="Arial" w:hAnsi="Arial"/>
          <w:sz w:val="16"/>
          <w:szCs w:val="16"/>
          <w:b w:val="1"/>
          <w:bCs w:val="1"/>
          <w:i w:val="1"/>
          <w:iCs w:val="1"/>
          <w:color w:val="auto"/>
        </w:rPr>
        <w:t xml:space="preserve">Executive Clawback Policy – </w:t>
      </w:r>
      <w:r>
        <w:rPr>
          <w:rFonts w:ascii="Arial" w:cs="Arial" w:eastAsia="Arial" w:hAnsi="Arial"/>
          <w:sz w:val="16"/>
          <w:szCs w:val="16"/>
          <w:color w:val="auto"/>
        </w:rPr>
        <w:t>In 2022, we instituted an executive clawback policy which allows the Board to recover any incentive awards</w:t>
      </w:r>
    </w:p>
    <w:p>
      <w:pPr>
        <w:spacing w:after="0" w:line="7" w:lineRule="exact"/>
        <w:rPr>
          <w:rFonts w:ascii="Arial" w:cs="Arial" w:eastAsia="Arial" w:hAnsi="Arial"/>
          <w:sz w:val="17"/>
          <w:szCs w:val="17"/>
          <w:b w:val="1"/>
          <w:bCs w:val="1"/>
          <w:color w:val="auto"/>
        </w:rPr>
      </w:pPr>
    </w:p>
    <w:p>
      <w:pPr>
        <w:ind w:left="820" w:right="540" w:hanging="470"/>
        <w:spacing w:after="0" w:line="183" w:lineRule="auto"/>
        <w:tabs>
          <w:tab w:leader="none" w:pos="820" w:val="left"/>
        </w:tabs>
        <w:numPr>
          <w:ilvl w:val="0"/>
          <w:numId w:val="24"/>
        </w:numPr>
        <w:rPr>
          <w:rFonts w:ascii="Arial" w:cs="Arial" w:eastAsia="Arial" w:hAnsi="Arial"/>
          <w:sz w:val="30"/>
          <w:szCs w:val="30"/>
          <w:b w:val="1"/>
          <w:bCs w:val="1"/>
          <w:color w:val="auto"/>
          <w:vertAlign w:val="superscript"/>
        </w:rPr>
      </w:pPr>
      <w:r>
        <w:rPr>
          <w:rFonts w:ascii="Arial" w:cs="Arial" w:eastAsia="Arial" w:hAnsi="Arial"/>
          <w:sz w:val="16"/>
          <w:szCs w:val="16"/>
          <w:color w:val="auto"/>
        </w:rPr>
        <w:t>from any executive officer in the event the Company is required to file a restatement of its financial reporting as a result of that executive officer’s fraud or misconduct.</w:t>
      </w:r>
    </w:p>
    <w:p>
      <w:pPr>
        <w:spacing w:after="0" w:line="107" w:lineRule="exact"/>
        <w:rPr>
          <w:rFonts w:ascii="Arial" w:cs="Arial" w:eastAsia="Arial" w:hAnsi="Arial"/>
          <w:sz w:val="30"/>
          <w:szCs w:val="30"/>
          <w:b w:val="1"/>
          <w:bCs w:val="1"/>
          <w:color w:val="auto"/>
          <w:vertAlign w:val="superscript"/>
        </w:rPr>
      </w:pPr>
    </w:p>
    <w:p>
      <w:pPr>
        <w:ind w:left="820" w:right="480" w:hanging="470"/>
        <w:spacing w:after="0" w:line="258" w:lineRule="auto"/>
        <w:tabs>
          <w:tab w:leader="none" w:pos="8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Reasonable Change-in-Control Arrangements </w:t>
      </w:r>
      <w:r>
        <w:rPr>
          <w:rFonts w:ascii="Arial" w:cs="Arial" w:eastAsia="Arial" w:hAnsi="Arial"/>
          <w:sz w:val="17"/>
          <w:szCs w:val="17"/>
          <w:color w:val="auto"/>
        </w:rPr>
        <w:t>– We believe the post-employment compensation arrangements for our executive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our Named Executive Officers, provide for amounts and multiples that are within reasonable market norms.</w:t>
      </w:r>
    </w:p>
    <w:p>
      <w:pPr>
        <w:spacing w:after="0" w:line="214" w:lineRule="exact"/>
        <w:rPr>
          <w:rFonts w:ascii="Arial" w:cs="Arial" w:eastAsia="Arial" w:hAnsi="Arial"/>
          <w:sz w:val="17"/>
          <w:szCs w:val="17"/>
          <w:b w:val="1"/>
          <w:bCs w:val="1"/>
          <w:color w:val="auto"/>
        </w:rPr>
      </w:pPr>
    </w:p>
    <w:p>
      <w:pPr>
        <w:ind w:left="820" w:right="260" w:hanging="470"/>
        <w:spacing w:after="0" w:line="235" w:lineRule="auto"/>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Prohibition on Hedging and Pledging </w:t>
      </w:r>
      <w:r>
        <w:rPr>
          <w:rFonts w:ascii="Arial" w:cs="Arial" w:eastAsia="Arial" w:hAnsi="Arial"/>
          <w:sz w:val="18"/>
          <w:szCs w:val="18"/>
          <w:color w:val="auto"/>
        </w:rPr>
        <w:t>– Under our Insider Trading Policy, we prohibit our employees from hedging any Company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from pledging any Company securities as collateral for a loan.</w:t>
      </w:r>
    </w:p>
    <w:p>
      <w:pPr>
        <w:spacing w:after="0" w:line="229" w:lineRule="exact"/>
        <w:rPr>
          <w:rFonts w:ascii="Arial" w:cs="Arial" w:eastAsia="Arial" w:hAnsi="Arial"/>
          <w:sz w:val="18"/>
          <w:szCs w:val="18"/>
          <w:b w:val="1"/>
          <w:bCs w:val="1"/>
          <w:color w:val="auto"/>
        </w:rPr>
      </w:pPr>
    </w:p>
    <w:p>
      <w:pPr>
        <w:ind w:left="820" w:right="500" w:hanging="470"/>
        <w:spacing w:after="0" w:line="235" w:lineRule="auto"/>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Succession Planning </w:t>
      </w:r>
      <w:r>
        <w:rPr>
          <w:rFonts w:ascii="Arial" w:cs="Arial" w:eastAsia="Arial" w:hAnsi="Arial"/>
          <w:sz w:val="18"/>
          <w:szCs w:val="18"/>
          <w:color w:val="auto"/>
        </w:rPr>
        <w:t>– Our Board reviews the risks associated with our key executive positions on an annual basis so that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an adequate succession strategy.</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What We Do Not Do</w:t>
      </w:r>
    </w:p>
    <w:p>
      <w:pPr>
        <w:spacing w:after="0" w:line="266" w:lineRule="exact"/>
        <w:rPr>
          <w:sz w:val="20"/>
          <w:szCs w:val="20"/>
          <w:color w:val="auto"/>
        </w:rPr>
      </w:pPr>
    </w:p>
    <w:p>
      <w:pPr>
        <w:ind w:left="820" w:right="740" w:hanging="470"/>
        <w:spacing w:after="0" w:line="224" w:lineRule="auto"/>
        <w:tabs>
          <w:tab w:leader="none" w:pos="8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Retirement Programs </w:t>
      </w:r>
      <w:r>
        <w:rPr>
          <w:rFonts w:ascii="Arial" w:cs="Arial" w:eastAsia="Arial" w:hAnsi="Arial"/>
          <w:sz w:val="18"/>
          <w:szCs w:val="18"/>
          <w:color w:val="auto"/>
        </w:rPr>
        <w:t>– Other than our Section 401(k) plan generally available to all employees, we do not offer defined benefit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retirement plans or arrangements or nonqualified deferred compensation plans or arrangements for our executive officers, including our Named Executive Officers.</w:t>
      </w:r>
    </w:p>
    <w:p>
      <w:pPr>
        <w:spacing w:after="0" w:line="230" w:lineRule="exact"/>
        <w:rPr>
          <w:rFonts w:ascii="Arial" w:cs="Arial" w:eastAsia="Arial" w:hAnsi="Arial"/>
          <w:sz w:val="18"/>
          <w:szCs w:val="18"/>
          <w:b w:val="1"/>
          <w:bCs w:val="1"/>
          <w:i w:val="1"/>
          <w:iCs w:val="1"/>
          <w:color w:val="auto"/>
        </w:rPr>
      </w:pPr>
    </w:p>
    <w:p>
      <w:pPr>
        <w:ind w:left="820" w:right="640" w:hanging="470"/>
        <w:spacing w:after="0" w:line="235" w:lineRule="auto"/>
        <w:tabs>
          <w:tab w:leader="none" w:pos="8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Dividends </w:t>
      </w:r>
      <w:r>
        <w:rPr>
          <w:rFonts w:ascii="Arial" w:cs="Arial" w:eastAsia="Arial" w:hAnsi="Arial"/>
          <w:sz w:val="18"/>
          <w:szCs w:val="18"/>
          <w:color w:val="auto"/>
        </w:rPr>
        <w:t>– We do not pay dividends or dividend equivalents on unvested or unearned restricted stock units and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unit awards.</w:t>
      </w:r>
    </w:p>
    <w:p>
      <w:pPr>
        <w:spacing w:after="0" w:line="45" w:lineRule="exact"/>
        <w:rPr>
          <w:rFonts w:ascii="Arial" w:cs="Arial" w:eastAsia="Arial" w:hAnsi="Arial"/>
          <w:sz w:val="18"/>
          <w:szCs w:val="18"/>
          <w:b w:val="1"/>
          <w:bCs w:val="1"/>
          <w:i w:val="1"/>
          <w:iCs w:val="1"/>
          <w:color w:val="auto"/>
        </w:rPr>
      </w:pPr>
    </w:p>
    <w:p>
      <w:pPr>
        <w:ind w:left="820" w:hanging="470"/>
        <w:spacing w:after="0"/>
        <w:tabs>
          <w:tab w:leader="none" w:pos="820" w:val="left"/>
        </w:tabs>
        <w:numPr>
          <w:ilvl w:val="0"/>
          <w:numId w:val="25"/>
        </w:numPr>
        <w:rPr>
          <w:rFonts w:ascii="Arial" w:cs="Arial" w:eastAsia="Arial" w:hAnsi="Arial"/>
          <w:sz w:val="36"/>
          <w:szCs w:val="36"/>
          <w:b w:val="1"/>
          <w:bCs w:val="1"/>
          <w:i w:val="1"/>
          <w:iCs w:val="1"/>
          <w:color w:val="auto"/>
          <w:vertAlign w:val="superscript"/>
        </w:rPr>
      </w:pPr>
      <w:r>
        <w:rPr>
          <w:rFonts w:ascii="Arial" w:cs="Arial" w:eastAsia="Arial" w:hAnsi="Arial"/>
          <w:sz w:val="18"/>
          <w:szCs w:val="18"/>
          <w:b w:val="1"/>
          <w:bCs w:val="1"/>
          <w:i w:val="1"/>
          <w:iCs w:val="1"/>
          <w:color w:val="auto"/>
        </w:rPr>
        <w:t xml:space="preserve">No Stock Option Repricing </w:t>
      </w:r>
      <w:r>
        <w:rPr>
          <w:rFonts w:ascii="Arial" w:cs="Arial" w:eastAsia="Arial" w:hAnsi="Arial"/>
          <w:sz w:val="18"/>
          <w:szCs w:val="18"/>
          <w:color w:val="auto"/>
        </w:rPr>
        <w:t>– We do not reprice options to purchase shares of our Common Stock without stockholder approval.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0"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w:t>
      </w:r>
    </w:p>
    <w:p>
      <w:pPr>
        <w:sectPr>
          <w:pgSz w:w="11900" w:h="16838" w:orient="portrait"/>
          <w:cols w:equalWidth="0" w:num="1">
            <w:col w:w="11240"/>
          </w:cols>
          <w:pgMar w:left="320" w:top="125" w:right="339"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447"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program, the Compensation Committee considers market and industry practices and its impact on our financial condition. While the Compensation Committee considers all of the factors in its deliberations, it places no formal weighting on any one factor.</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1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Media” page of our website at www.selectabio.com.</w:t>
      </w:r>
    </w:p>
    <w:p>
      <w:pPr>
        <w:spacing w:after="0" w:line="70"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While the Compensation Committee determines our overall compensation philosophy and approves the compensation of our executive officers, it relies on its compensation consultant and legal counsel,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8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8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pacing w:after="0" w:line="7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factors considered by the Compensation Committee in determining the compensation of our executive officers, including our Named Executive Officers, for 2022 included:</w:t>
      </w:r>
    </w:p>
    <w:p>
      <w:pPr>
        <w:spacing w:after="0" w:line="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compensation) as described below;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corporate growth and other elements of financial and operational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corporate and individual achievements against one or more short-term and long-term performance objectives;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individual performance of each executive officer against his management objectives;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review of the relevant competitive market analysis prepared by its compensation consultant (as described below);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expected future contribution of the individual executive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historical compensation awards we have made to our executive officers;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internal pay equity based on the impact on our business and performance.</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our CEO</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80"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41"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In 2022, pursuant to this authority, the Compensation Committee engaged Compensia, a national compensation consulting firm, to provide information, analysis, and other assistance relating to our executive compensation program on an ongoing basis. The nature and scope of the services provided to the Compensation Committee by Compensia in 2022 were as follows:</w:t>
      </w:r>
    </w:p>
    <w:p>
      <w:pPr>
        <w:spacing w:after="0" w:line="7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developed and subsequently updated the compensation peer group;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provided advice with respect to compensation best practices and market trends for executive officers and members of our Board;</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conducted an analysis of the levels of overall compensation and each element of compensation for of our executive officers and non-executive employees;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conducted an analysis of the levels of overall compensation and each element of compensation for the members of our Board;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provided </w:t>
      </w:r>
      <w:r>
        <w:rPr>
          <w:rFonts w:ascii="Arial" w:cs="Arial" w:eastAsia="Arial" w:hAnsi="Arial"/>
          <w:sz w:val="18"/>
          <w:szCs w:val="18"/>
          <w:i w:val="1"/>
          <w:iCs w:val="1"/>
          <w:color w:val="auto"/>
        </w:rPr>
        <w:t>ad hoc</w:t>
      </w:r>
      <w:r>
        <w:rPr>
          <w:rFonts w:ascii="Arial" w:cs="Arial" w:eastAsia="Arial" w:hAnsi="Arial"/>
          <w:sz w:val="18"/>
          <w:szCs w:val="18"/>
          <w:color w:val="auto"/>
        </w:rPr>
        <w:t xml:space="preserve"> advice and support throughout the year.</w:t>
      </w:r>
    </w:p>
    <w:p>
      <w:pPr>
        <w:spacing w:after="0" w:line="117"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 Compensation Committee. During 2022, Compensia met with various executive officers to collect data and obtain management’s perspective on various executive compensation proposals.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Compensia has not provided any other services to us nor received any compensation other than with respect to the services described above.</w:t>
      </w:r>
    </w:p>
    <w:p>
      <w:pPr>
        <w:spacing w:after="0" w:line="1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Peer Group</w:t>
      </w:r>
    </w:p>
    <w:p>
      <w:pPr>
        <w:spacing w:after="0" w:line="11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2022,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spacing w:after="0" w:line="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stage of clinical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area(s) of therapeutic focus;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market capitalization;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comparability of the company’s organizational complexities and growth attributes;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comparability of the company’s business focus and corporate strategy;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comparability of the company’s operational performance (for consistency with our strategy and future performance expectations).</w:t>
      </w:r>
    </w:p>
    <w:p>
      <w:pPr>
        <w:spacing w:after="0" w:line="129"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Following this review, Compensia recommended to the Compensation Committee the following peer group to consist of 20 publicly traded biotechnology companies, which the Compensation Committee subsequently approved. The selected companies had market capitalizations ranging from $50 million to $960 million, with a median of $255 million. The companies comprising the updated compensation peer group were as follows:</w:t>
      </w:r>
    </w:p>
    <w:p>
      <w:pPr>
        <w:spacing w:after="0" w:line="176"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4D Molecular Therapeutics</w:t>
            </w:r>
          </w:p>
        </w:tc>
        <w:tc>
          <w:tcPr>
            <w:tcW w:w="2380" w:type="dxa"/>
            <w:vAlign w:val="bottom"/>
          </w:tcPr>
          <w:p>
            <w:pPr>
              <w:ind w:left="220"/>
              <w:spacing w:after="0"/>
              <w:rPr>
                <w:sz w:val="20"/>
                <w:szCs w:val="20"/>
                <w:color w:val="auto"/>
              </w:rPr>
            </w:pPr>
            <w:r>
              <w:rPr>
                <w:rFonts w:ascii="Arial" w:cs="Arial" w:eastAsia="Arial" w:hAnsi="Arial"/>
                <w:sz w:val="18"/>
                <w:szCs w:val="18"/>
                <w:color w:val="auto"/>
              </w:rPr>
              <w:t>Gritstone Bio</w:t>
            </w:r>
          </w:p>
        </w:tc>
        <w:tc>
          <w:tcPr>
            <w:tcW w:w="1960" w:type="dxa"/>
            <w:vAlign w:val="bottom"/>
          </w:tcPr>
          <w:p>
            <w:pPr>
              <w:ind w:left="280"/>
              <w:spacing w:after="0"/>
              <w:rPr>
                <w:sz w:val="20"/>
                <w:szCs w:val="20"/>
                <w:color w:val="auto"/>
              </w:rPr>
            </w:pPr>
            <w:r>
              <w:rPr>
                <w:rFonts w:ascii="Arial" w:cs="Arial" w:eastAsia="Arial" w:hAnsi="Arial"/>
                <w:sz w:val="18"/>
                <w:szCs w:val="18"/>
                <w:color w:val="auto"/>
              </w:rPr>
              <w:t>MeiraGTx</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Aldeyra Therapeutics</w:t>
            </w:r>
          </w:p>
        </w:tc>
        <w:tc>
          <w:tcPr>
            <w:tcW w:w="2380" w:type="dxa"/>
            <w:vAlign w:val="bottom"/>
          </w:tcPr>
          <w:p>
            <w:pPr>
              <w:ind w:left="220"/>
              <w:spacing w:after="0"/>
              <w:rPr>
                <w:sz w:val="20"/>
                <w:szCs w:val="20"/>
                <w:color w:val="auto"/>
              </w:rPr>
            </w:pPr>
            <w:r>
              <w:rPr>
                <w:rFonts w:ascii="Arial" w:cs="Arial" w:eastAsia="Arial" w:hAnsi="Arial"/>
                <w:sz w:val="18"/>
                <w:szCs w:val="18"/>
                <w:color w:val="auto"/>
              </w:rPr>
              <w:t>Homology Medicines</w:t>
            </w:r>
          </w:p>
        </w:tc>
        <w:tc>
          <w:tcPr>
            <w:tcW w:w="1960" w:type="dxa"/>
            <w:vAlign w:val="bottom"/>
          </w:tcPr>
          <w:p>
            <w:pPr>
              <w:ind w:left="280"/>
              <w:spacing w:after="0"/>
              <w:rPr>
                <w:sz w:val="20"/>
                <w:szCs w:val="20"/>
                <w:color w:val="auto"/>
              </w:rPr>
            </w:pPr>
            <w:r>
              <w:rPr>
                <w:rFonts w:ascii="Arial" w:cs="Arial" w:eastAsia="Arial" w:hAnsi="Arial"/>
                <w:sz w:val="18"/>
                <w:szCs w:val="18"/>
                <w:color w:val="auto"/>
                <w:w w:val="93"/>
              </w:rPr>
              <w:t>Precision BioSciences</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Altimmune</w:t>
            </w:r>
          </w:p>
        </w:tc>
        <w:tc>
          <w:tcPr>
            <w:tcW w:w="2380" w:type="dxa"/>
            <w:vAlign w:val="bottom"/>
          </w:tcPr>
          <w:p>
            <w:pPr>
              <w:ind w:left="220"/>
              <w:spacing w:after="0"/>
              <w:rPr>
                <w:sz w:val="20"/>
                <w:szCs w:val="20"/>
                <w:color w:val="auto"/>
              </w:rPr>
            </w:pPr>
            <w:r>
              <w:rPr>
                <w:rFonts w:ascii="Arial" w:cs="Arial" w:eastAsia="Arial" w:hAnsi="Arial"/>
                <w:sz w:val="18"/>
                <w:szCs w:val="18"/>
                <w:color w:val="auto"/>
              </w:rPr>
              <w:t>Immunovant</w:t>
            </w:r>
          </w:p>
        </w:tc>
        <w:tc>
          <w:tcPr>
            <w:tcW w:w="1960" w:type="dxa"/>
            <w:vAlign w:val="bottom"/>
          </w:tcPr>
          <w:p>
            <w:pPr>
              <w:ind w:left="280"/>
              <w:spacing w:after="0"/>
              <w:rPr>
                <w:sz w:val="20"/>
                <w:szCs w:val="20"/>
                <w:color w:val="auto"/>
              </w:rPr>
            </w:pPr>
            <w:r>
              <w:rPr>
                <w:rFonts w:ascii="Arial" w:cs="Arial" w:eastAsia="Arial" w:hAnsi="Arial"/>
                <w:sz w:val="18"/>
                <w:szCs w:val="18"/>
                <w:color w:val="auto"/>
              </w:rPr>
              <w:t>Solid Biosciences</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AnaptysBio</w:t>
            </w:r>
          </w:p>
        </w:tc>
        <w:tc>
          <w:tcPr>
            <w:tcW w:w="2380" w:type="dxa"/>
            <w:vAlign w:val="bottom"/>
          </w:tcPr>
          <w:p>
            <w:pPr>
              <w:ind w:left="220"/>
              <w:spacing w:after="0"/>
              <w:rPr>
                <w:sz w:val="20"/>
                <w:szCs w:val="20"/>
                <w:color w:val="auto"/>
              </w:rPr>
            </w:pPr>
            <w:r>
              <w:rPr>
                <w:rFonts w:ascii="Arial" w:cs="Arial" w:eastAsia="Arial" w:hAnsi="Arial"/>
                <w:sz w:val="18"/>
                <w:szCs w:val="18"/>
                <w:color w:val="auto"/>
              </w:rPr>
              <w:t>Inovio Pharmaceuticals</w:t>
            </w:r>
          </w:p>
        </w:tc>
        <w:tc>
          <w:tcPr>
            <w:tcW w:w="1960" w:type="dxa"/>
            <w:vAlign w:val="bottom"/>
          </w:tcPr>
          <w:p>
            <w:pPr>
              <w:ind w:left="280"/>
              <w:spacing w:after="0"/>
              <w:rPr>
                <w:sz w:val="20"/>
                <w:szCs w:val="20"/>
                <w:color w:val="auto"/>
              </w:rPr>
            </w:pPr>
            <w:r>
              <w:rPr>
                <w:rFonts w:ascii="Arial" w:cs="Arial" w:eastAsia="Arial" w:hAnsi="Arial"/>
                <w:sz w:val="18"/>
                <w:szCs w:val="18"/>
                <w:color w:val="auto"/>
                <w:w w:val="98"/>
              </w:rPr>
              <w:t>SQZ Biotechnologies</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Atossa Therapeutics</w:t>
            </w:r>
          </w:p>
        </w:tc>
        <w:tc>
          <w:tcPr>
            <w:tcW w:w="2380" w:type="dxa"/>
            <w:vAlign w:val="bottom"/>
          </w:tcPr>
          <w:p>
            <w:pPr>
              <w:ind w:left="220"/>
              <w:spacing w:after="0"/>
              <w:rPr>
                <w:sz w:val="20"/>
                <w:szCs w:val="20"/>
                <w:color w:val="auto"/>
              </w:rPr>
            </w:pPr>
            <w:r>
              <w:rPr>
                <w:rFonts w:ascii="Arial" w:cs="Arial" w:eastAsia="Arial" w:hAnsi="Arial"/>
                <w:sz w:val="18"/>
                <w:szCs w:val="18"/>
                <w:color w:val="auto"/>
              </w:rPr>
              <w:t>Jounce Therapeutics</w:t>
            </w:r>
          </w:p>
        </w:tc>
        <w:tc>
          <w:tcPr>
            <w:tcW w:w="1960" w:type="dxa"/>
            <w:vAlign w:val="bottom"/>
          </w:tcPr>
          <w:p>
            <w:pPr>
              <w:ind w:left="280"/>
              <w:spacing w:after="0"/>
              <w:rPr>
                <w:sz w:val="20"/>
                <w:szCs w:val="20"/>
                <w:color w:val="auto"/>
              </w:rPr>
            </w:pPr>
            <w:r>
              <w:rPr>
                <w:rFonts w:ascii="Arial" w:cs="Arial" w:eastAsia="Arial" w:hAnsi="Arial"/>
                <w:sz w:val="18"/>
                <w:szCs w:val="18"/>
                <w:color w:val="auto"/>
                <w:w w:val="90"/>
              </w:rPr>
              <w:t>Syros Pharmaceuticals</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Cogent Biosciences</w:t>
            </w:r>
          </w:p>
        </w:tc>
        <w:tc>
          <w:tcPr>
            <w:tcW w:w="2380" w:type="dxa"/>
            <w:vAlign w:val="bottom"/>
          </w:tcPr>
          <w:p>
            <w:pPr>
              <w:ind w:left="220"/>
              <w:spacing w:after="0"/>
              <w:rPr>
                <w:sz w:val="20"/>
                <w:szCs w:val="20"/>
                <w:color w:val="auto"/>
              </w:rPr>
            </w:pPr>
            <w:r>
              <w:rPr>
                <w:rFonts w:ascii="Arial" w:cs="Arial" w:eastAsia="Arial" w:hAnsi="Arial"/>
                <w:sz w:val="18"/>
                <w:szCs w:val="18"/>
                <w:color w:val="auto"/>
              </w:rPr>
              <w:t>Lineage Cell Therapeutics</w:t>
            </w:r>
          </w:p>
        </w:tc>
        <w:tc>
          <w:tcPr>
            <w:tcW w:w="1960" w:type="dxa"/>
            <w:vAlign w:val="bottom"/>
          </w:tcPr>
          <w:p>
            <w:pPr>
              <w:ind w:left="280"/>
              <w:spacing w:after="0"/>
              <w:rPr>
                <w:sz w:val="20"/>
                <w:szCs w:val="20"/>
                <w:color w:val="auto"/>
              </w:rPr>
            </w:pPr>
            <w:r>
              <w:rPr>
                <w:rFonts w:ascii="Arial" w:cs="Arial" w:eastAsia="Arial" w:hAnsi="Arial"/>
                <w:sz w:val="18"/>
                <w:szCs w:val="18"/>
                <w:color w:val="auto"/>
                <w:w w:val="85"/>
              </w:rPr>
              <w:t>Taysha Gene Therapies</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Concert Pharmaceuticals</w:t>
            </w:r>
          </w:p>
        </w:tc>
        <w:tc>
          <w:tcPr>
            <w:tcW w:w="2380" w:type="dxa"/>
            <w:vAlign w:val="bottom"/>
          </w:tcPr>
          <w:p>
            <w:pPr>
              <w:ind w:left="220"/>
              <w:spacing w:after="0"/>
              <w:rPr>
                <w:sz w:val="20"/>
                <w:szCs w:val="20"/>
                <w:color w:val="auto"/>
              </w:rPr>
            </w:pPr>
            <w:r>
              <w:rPr>
                <w:rFonts w:ascii="Arial" w:cs="Arial" w:eastAsia="Arial" w:hAnsi="Arial"/>
                <w:sz w:val="18"/>
                <w:szCs w:val="18"/>
                <w:color w:val="auto"/>
              </w:rPr>
              <w:t>Magenta Therapeutics</w:t>
            </w:r>
          </w:p>
        </w:tc>
        <w:tc>
          <w:tcPr>
            <w:tcW w:w="1960" w:type="dxa"/>
            <w:vAlign w:val="bottom"/>
          </w:tcPr>
          <w:p>
            <w:pPr>
              <w:spacing w:after="0"/>
              <w:rPr>
                <w:sz w:val="24"/>
                <w:szCs w:val="24"/>
                <w:color w:val="auto"/>
              </w:rPr>
            </w:pPr>
          </w:p>
        </w:tc>
      </w:tr>
    </w:tbl>
    <w:p>
      <w:pPr>
        <w:spacing w:after="0" w:line="18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three primary elements of our executive compensation programs are: (1) base salary, (2) annual cash bonus opportunities, and (3) long-term incentives in the form of equity awards, as described below: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Compensation Element</w:t>
            </w:r>
          </w:p>
        </w:tc>
        <w:tc>
          <w:tcPr>
            <w:tcW w:w="374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What This Element Rewards</w:t>
            </w:r>
          </w:p>
        </w:tc>
        <w:tc>
          <w:tcPr>
            <w:tcW w:w="376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Purpose and Key Features of Element</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Provides competitive level of fixed compensation</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7"/>
              </w:rPr>
              <w:t>expected future performance and contributions.</w:t>
            </w: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determined by the market value of the position,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with actual base salaries established based on the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facts and circumstances of each executive officer</w:t>
            </w:r>
          </w:p>
        </w:tc>
        <w:tc>
          <w:tcPr>
            <w:tcW w:w="0" w:type="dxa"/>
            <w:vAlign w:val="bottom"/>
          </w:tcPr>
          <w:p>
            <w:pPr>
              <w:spacing w:after="0"/>
              <w:rPr>
                <w:sz w:val="1"/>
                <w:szCs w:val="1"/>
                <w:color w:val="auto"/>
              </w:rPr>
            </w:pPr>
          </w:p>
        </w:tc>
      </w:tr>
      <w:tr>
        <w:trPr>
          <w:trHeight w:val="237"/>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each individual position.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Annual cash bonuses</w:t>
            </w: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Achievement of pre-established corporate and</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Motivate executive officers to achieve certain</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individual performance objectives (for 2022,</w:t>
            </w: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corporate objectives and drive the company’s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focused on the advancement of our pipeline,</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corporate strategy and business development,</w:t>
            </w:r>
          </w:p>
        </w:tc>
        <w:tc>
          <w:tcPr>
            <w:tcW w:w="3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5"/>
              </w:rPr>
              <w:t>Generally, performance levels are established to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culture and engagement, and the company’s</w:t>
            </w:r>
          </w:p>
        </w:tc>
        <w:tc>
          <w:tcPr>
            <w:tcW w:w="37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financials, as well as individual contributions and</w:t>
            </w: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incent our executive officers to achieve or exceed</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management objectives).</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performance objectives. For 2022, payouts for</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corporate performance objectives were not</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weighted individually, and the Compensation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Committee had discretion to determine payouts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based on overall achievement of the corporate</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goals as a group, taking into account</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overachievement on certain objectives, if</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applicable. Payouts for individual performance</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objectives could range from 0% to an</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undetermined percentage.</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Long-term incentives/equity awards</w:t>
            </w:r>
          </w:p>
        </w:tc>
        <w:tc>
          <w:tcPr>
            <w:tcW w:w="37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Achievement of corporate and individual</w:t>
            </w:r>
          </w:p>
        </w:tc>
        <w:tc>
          <w:tcPr>
            <w:tcW w:w="3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Annual equity awards that vest over four years and</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1"/>
              </w:rPr>
              <w:t>performance objectives designed to enhance long-</w:t>
            </w: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provide a variable “at risk” pay opportunity.</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term stockholder value and attract, retain,</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Because the ultimate value of these equity awards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motivate, and reward executive officers over</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is directly related to the market price of our</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extended periods for achieving important</w:t>
            </w: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Common Stock, and the awards are only earned</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corporate objectives. Time-based vesting</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over an extended period of time subject to vesting,</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requirements promote retention of highly-valued</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they serve to focus management on the creation</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executive officers.</w:t>
            </w:r>
          </w:p>
        </w:tc>
        <w:tc>
          <w:tcPr>
            <w:tcW w:w="37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and maintenance of long-term stockholder value</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and also provide retentive value to key employees.</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2022 under each of these elements.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76"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1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6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December 2021,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2022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 w:type="dxa"/>
        <w:tblCellMar>
          <w:top w:w="0" w:type="dxa"/>
          <w:left w:w="0" w:type="dxa"/>
          <w:bottom w:w="0" w:type="dxa"/>
          <w:right w:w="0" w:type="dxa"/>
        </w:tblCellMar>
      </w:tblPr>
      <w:tr>
        <w:trPr>
          <w:trHeight w:val="248"/>
        </w:trPr>
        <w:tc>
          <w:tcPr>
            <w:tcW w:w="3360" w:type="dxa"/>
            <w:vAlign w:val="bottom"/>
            <w:tcBorders>
              <w:top w:val="single" w:sz="8" w:color="auto"/>
              <w:left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Named Executive Officer</w:t>
            </w:r>
          </w:p>
        </w:tc>
        <w:tc>
          <w:tcPr>
            <w:tcW w:w="26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2021 Base Salary</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 Base Salary</w:t>
            </w:r>
          </w:p>
        </w:tc>
        <w:tc>
          <w:tcPr>
            <w:tcW w:w="26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Percentage Adjustment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3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Carsten Brunn, Ph.D.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$569,300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$592,072</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4.0%</w:t>
            </w:r>
          </w:p>
        </w:tc>
      </w:tr>
      <w:tr>
        <w:trPr>
          <w:trHeight w:val="26"/>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Arial" w:cs="Arial" w:eastAsia="Arial" w:hAnsi="Arial"/>
                <w:sz w:val="18"/>
                <w:szCs w:val="18"/>
                <w:color w:val="auto"/>
              </w:rPr>
              <w:t xml:space="preserve">Blaine Davis </w:t>
            </w:r>
            <w:r>
              <w:rPr>
                <w:rFonts w:ascii="Arial" w:cs="Arial" w:eastAsia="Arial" w:hAnsi="Arial"/>
                <w:sz w:val="23"/>
                <w:szCs w:val="23"/>
                <w:color w:val="auto"/>
                <w:vertAlign w:val="superscript"/>
              </w:rPr>
              <w:t>(1)</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$440,000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Arial" w:cs="Arial" w:eastAsia="Arial" w:hAnsi="Arial"/>
                <w:sz w:val="18"/>
                <w:szCs w:val="18"/>
                <w:color w:val="auto"/>
              </w:rPr>
              <w:t xml:space="preserve">Kevin Tan </w:t>
            </w:r>
            <w:r>
              <w:rPr>
                <w:rFonts w:ascii="Arial" w:cs="Arial" w:eastAsia="Arial" w:hAnsi="Arial"/>
                <w:sz w:val="23"/>
                <w:szCs w:val="23"/>
                <w:color w:val="auto"/>
                <w:vertAlign w:val="superscript"/>
              </w:rPr>
              <w:t>(1)</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4"/>
        </w:trPr>
        <w:tc>
          <w:tcPr>
            <w:tcW w:w="3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 Traber, M.D.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$440,000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$458,920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w:t>
            </w:r>
          </w:p>
        </w:tc>
      </w:tr>
      <w:tr>
        <w:trPr>
          <w:trHeight w:val="26"/>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3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Takashi Kei Kishimoto, Ph.D.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$400,000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$422,800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5.7%</w:t>
            </w:r>
          </w:p>
        </w:tc>
      </w:tr>
      <w:tr>
        <w:trPr>
          <w:trHeight w:val="26"/>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3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Lloyd Johnston, Ph.D.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$400,000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$416,000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4.0%</w:t>
            </w:r>
          </w:p>
        </w:tc>
      </w:tr>
      <w:tr>
        <w:trPr>
          <w:trHeight w:val="26"/>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Mr. Davis was appointed Chief Financial Officer, and Mr. Tan ceased serving as Chief Financial Officer, on November 28, 2022.</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63"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4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December 2022, the Compensation Committee determined to award cash bonus opportunities to our executive officers, including our Named Executive Officers, pursuant to the cash bonus plan for 2022 (the “2022 Bonus Plan”). Under the 2022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Under the 2022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2022, the Compensation Committee did not exercise any such individual discretion in determining bonus payouts.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Target Bonus Opportunities</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2022, the target annual cash bonus opportunities for each of our Named Executive Officers under the 2022 Bonus Plan, expressed as a percentage of his or her annual base salary, were as follows:</w:t>
      </w:r>
    </w:p>
    <w:p>
      <w:pPr>
        <w:spacing w:after="0" w:line="84"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336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Annual</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Actual</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5"/>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restart"/>
          </w:tcPr>
          <w:p>
            <w:pPr>
              <w:ind w:left="700"/>
              <w:spacing w:after="0" w:line="202" w:lineRule="exact"/>
              <w:rPr>
                <w:sz w:val="20"/>
                <w:szCs w:val="20"/>
                <w:color w:val="auto"/>
              </w:rPr>
            </w:pPr>
            <w:r>
              <w:rPr>
                <w:rFonts w:ascii="Arial" w:cs="Arial" w:eastAsia="Arial" w:hAnsi="Arial"/>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83"/>
              </w:rPr>
              <w:t>Base</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85"/>
              </w:rPr>
              <w:t>Bonus</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85"/>
              </w:rPr>
              <w:t>Bonus</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86"/>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Opportunity ($)</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Payout ($)</w:t>
            </w:r>
          </w:p>
        </w:tc>
        <w:tc>
          <w:tcPr>
            <w:tcW w:w="0" w:type="dxa"/>
            <w:vAlign w:val="bottom"/>
          </w:tcPr>
          <w:p>
            <w:pPr>
              <w:spacing w:after="0"/>
              <w:rPr>
                <w:sz w:val="1"/>
                <w:szCs w:val="1"/>
                <w:color w:val="auto"/>
              </w:rPr>
            </w:pPr>
          </w:p>
        </w:tc>
      </w:tr>
      <w:tr>
        <w:trPr>
          <w:trHeight w:val="126"/>
        </w:trPr>
        <w:tc>
          <w:tcPr>
            <w:tcW w:w="3360" w:type="dxa"/>
            <w:vAlign w:val="bottom"/>
            <w:tcBorders>
              <w:left w:val="single" w:sz="8" w:color="auto"/>
              <w:right w:val="single" w:sz="8" w:color="auto"/>
            </w:tcBorders>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96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Carsten Brunn, Ph.D.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$592,072</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$325,655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$325,655</w:t>
            </w:r>
          </w:p>
        </w:tc>
        <w:tc>
          <w:tcPr>
            <w:tcW w:w="0" w:type="dxa"/>
            <w:vAlign w:val="bottom"/>
          </w:tcPr>
          <w:p>
            <w:pPr>
              <w:spacing w:after="0"/>
              <w:rPr>
                <w:sz w:val="1"/>
                <w:szCs w:val="1"/>
                <w:color w:val="auto"/>
              </w:rPr>
            </w:pPr>
          </w:p>
        </w:tc>
      </w:tr>
      <w:tr>
        <w:trPr>
          <w:trHeight w:val="26"/>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Blaine Davis</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$440,000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 xml:space="preserve"> (1)</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1"/>
                <w:szCs w:val="11"/>
                <w:color w:val="auto"/>
              </w:rPr>
              <w:t xml:space="preserve"> (1)</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Kevin Tan</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$164,000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 xml:space="preserve"> (2)</w:t>
            </w:r>
          </w:p>
        </w:tc>
        <w:tc>
          <w:tcPr>
            <w:tcW w:w="0" w:type="dxa"/>
            <w:vAlign w:val="bottom"/>
          </w:tcPr>
          <w:p>
            <w:pPr>
              <w:spacing w:after="0"/>
              <w:rPr>
                <w:sz w:val="1"/>
                <w:szCs w:val="1"/>
                <w:color w:val="auto"/>
              </w:rPr>
            </w:pPr>
          </w:p>
        </w:tc>
      </w:tr>
      <w:tr>
        <w:trPr>
          <w:trHeight w:val="224"/>
        </w:trPr>
        <w:tc>
          <w:tcPr>
            <w:tcW w:w="3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 Traber, M.D.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$458,920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$183,568</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$183,568</w:t>
            </w:r>
          </w:p>
        </w:tc>
        <w:tc>
          <w:tcPr>
            <w:tcW w:w="0" w:type="dxa"/>
            <w:vAlign w:val="bottom"/>
          </w:tcPr>
          <w:p>
            <w:pPr>
              <w:spacing w:after="0"/>
              <w:rPr>
                <w:sz w:val="1"/>
                <w:szCs w:val="1"/>
                <w:color w:val="auto"/>
              </w:rPr>
            </w:pPr>
          </w:p>
        </w:tc>
      </w:tr>
      <w:tr>
        <w:trPr>
          <w:trHeight w:val="26"/>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Takashi Kei Kishimoto, Ph.D.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$422,800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$169,120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$169,120</w:t>
            </w:r>
          </w:p>
        </w:tc>
        <w:tc>
          <w:tcPr>
            <w:tcW w:w="0" w:type="dxa"/>
            <w:vAlign w:val="bottom"/>
          </w:tcPr>
          <w:p>
            <w:pPr>
              <w:spacing w:after="0"/>
              <w:rPr>
                <w:sz w:val="1"/>
                <w:szCs w:val="1"/>
                <w:color w:val="auto"/>
              </w:rPr>
            </w:pPr>
          </w:p>
        </w:tc>
      </w:tr>
      <w:tr>
        <w:trPr>
          <w:trHeight w:val="26"/>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Lloyd Johnston, Ph.D.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$416,000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$166,400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$166,400</w:t>
            </w:r>
          </w:p>
        </w:tc>
        <w:tc>
          <w:tcPr>
            <w:tcW w:w="0" w:type="dxa"/>
            <w:vAlign w:val="bottom"/>
          </w:tcPr>
          <w:p>
            <w:pPr>
              <w:spacing w:after="0"/>
              <w:rPr>
                <w:sz w:val="1"/>
                <w:szCs w:val="1"/>
                <w:color w:val="auto"/>
              </w:rPr>
            </w:pPr>
          </w:p>
        </w:tc>
      </w:tr>
      <w:tr>
        <w:trPr>
          <w:trHeight w:val="26"/>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560" w:firstLine="332"/>
        <w:spacing w:after="0" w:line="277" w:lineRule="auto"/>
        <w:tabs>
          <w:tab w:leader="none" w:pos="5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Davis was appointed Chief Financial Officer on November 28, 2022, and per the terms of his employment agreement was not eligible to receive a bonus during 2022.</w:t>
      </w:r>
    </w:p>
    <w:p>
      <w:pPr>
        <w:spacing w:after="0" w:line="62" w:lineRule="exact"/>
        <w:rPr>
          <w:rFonts w:ascii="Arial" w:cs="Arial" w:eastAsia="Arial" w:hAnsi="Arial"/>
          <w:sz w:val="18"/>
          <w:szCs w:val="18"/>
          <w:color w:val="auto"/>
        </w:rPr>
      </w:pPr>
    </w:p>
    <w:p>
      <w:pPr>
        <w:ind w:right="300" w:firstLine="332"/>
        <w:spacing w:after="0" w:line="277" w:lineRule="auto"/>
        <w:tabs>
          <w:tab w:leader="none" w:pos="5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Tan was paid an amount of $164,000 as a term of his separation agreement, which was approved separately from payouts determined by the Compensation Committee pursuant to the 2022 Bonus Plan.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Performance Objectives</w:t>
      </w:r>
    </w:p>
    <w:p>
      <w:pPr>
        <w:spacing w:after="0" w:line="11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For purposes of the 2022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ImmTOR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2022 Bonus Plan.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Performance Results and Bonus Decisions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2022, the Compensation Committee determined that our actual achievement with respect to the corporate financial objectives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Bonus Plan was as follows: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4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Corporate Performance Measure</w:t>
            </w:r>
          </w:p>
        </w:tc>
        <w:tc>
          <w:tcPr>
            <w:tcW w:w="5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2022 Target Achievement %</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Pipeline Development</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6"/>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4"/>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Corporate Strategy and Business Development</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6"/>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4"/>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Culture and Engagement</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6"/>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4"/>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Finance</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6"/>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bl>
    <w:p>
      <w:pPr>
        <w:spacing w:after="0" w:line="17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corporate performance measures that factored into the Compensation Committee’s determination included: (i) pipeline development goals, including advancing our clinical program for treatment of methylmalonic acidemia and completing the DISSOLVE clinical trial program; (ii) corporate strategy and business development goals, including pursuing strategic partnerships; (iii) culture and engagement goals, including strengthening the Company’s culture and retaining critical talent; and (iv) financial goals, including operating within budget and completing the year maintaining a certain cash balance.</w:t>
      </w:r>
    </w:p>
    <w:p>
      <w:pPr>
        <w:spacing w:after="0" w:line="8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the Compensation Committee approved bonus payments as follows for our Named Executive Officers:</w:t>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0" w:type="dxa"/>
        <w:tblCellMar>
          <w:top w:w="0" w:type="dxa"/>
          <w:left w:w="0" w:type="dxa"/>
          <w:bottom w:w="0" w:type="dxa"/>
          <w:right w:w="0" w:type="dxa"/>
        </w:tblCellMar>
      </w:tblPr>
      <w:tr>
        <w:trPr>
          <w:trHeight w:val="211"/>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Target Annual Cash</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Related to</w:t>
            </w: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Actual Annual Cash</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Percentage of Target</w:t>
            </w:r>
          </w:p>
        </w:tc>
        <w:tc>
          <w:tcPr>
            <w:tcW w:w="0" w:type="dxa"/>
            <w:vAlign w:val="bottom"/>
          </w:tcPr>
          <w:p>
            <w:pPr>
              <w:spacing w:after="0"/>
              <w:rPr>
                <w:sz w:val="1"/>
                <w:szCs w:val="1"/>
                <w:color w:val="auto"/>
              </w:rPr>
            </w:pPr>
          </w:p>
        </w:tc>
      </w:tr>
      <w:tr>
        <w:trPr>
          <w:trHeight w:val="94"/>
        </w:trPr>
        <w:tc>
          <w:tcPr>
            <w:tcW w:w="3780" w:type="dxa"/>
            <w:vAlign w:val="bottom"/>
            <w:tcBorders>
              <w:left w:val="single" w:sz="8" w:color="auto"/>
              <w:right w:val="single" w:sz="8" w:color="auto"/>
            </w:tcBorders>
            <w:vMerge w:val="restart"/>
          </w:tcPr>
          <w:p>
            <w:pPr>
              <w:ind w:left="920"/>
              <w:spacing w:after="0" w:line="202" w:lineRule="exact"/>
              <w:rPr>
                <w:sz w:val="20"/>
                <w:szCs w:val="20"/>
                <w:color w:val="auto"/>
              </w:rPr>
            </w:pPr>
            <w:r>
              <w:rPr>
                <w:rFonts w:ascii="Arial" w:cs="Arial" w:eastAsia="Arial" w:hAnsi="Arial"/>
                <w:sz w:val="18"/>
                <w:szCs w:val="18"/>
                <w:b w:val="1"/>
                <w:bCs w:val="1"/>
                <w:color w:val="auto"/>
              </w:rPr>
              <w:t>Named Executive Officer</w:t>
            </w:r>
          </w:p>
        </w:tc>
        <w:tc>
          <w:tcPr>
            <w:tcW w:w="186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2"/>
              </w:rPr>
              <w:t>Corporate Financial</w:t>
            </w:r>
          </w:p>
        </w:tc>
        <w:tc>
          <w:tcPr>
            <w:tcW w:w="186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88"/>
              </w:rPr>
              <w:t>Annual Cash Bonus</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Bonus Opportunity</w:t>
            </w:r>
          </w:p>
        </w:tc>
        <w:tc>
          <w:tcPr>
            <w:tcW w:w="18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Bonus Payment</w:t>
            </w:r>
          </w:p>
        </w:tc>
        <w:tc>
          <w:tcPr>
            <w:tcW w:w="1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tcBorders>
              <w:left w:val="single" w:sz="8" w:color="auto"/>
              <w:right w:val="single" w:sz="8" w:color="auto"/>
            </w:tcBorders>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Objectives</w:t>
            </w:r>
          </w:p>
        </w:tc>
        <w:tc>
          <w:tcPr>
            <w:tcW w:w="18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Opportunity</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Carsten Brunn, Ph.D.</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$325,655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$325,655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$325,655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6"/>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rPr>
              <w:t>Blaine Davis</w:t>
            </w:r>
            <w:r>
              <w:rPr>
                <w:rFonts w:ascii="Arial" w:cs="Arial" w:eastAsia="Arial" w:hAnsi="Arial"/>
                <w:sz w:val="23"/>
                <w:szCs w:val="23"/>
                <w:color w:val="auto"/>
                <w:vertAlign w:val="superscript"/>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Kevin Tan</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$164,000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1"/>
                <w:szCs w:val="11"/>
                <w:color w:val="auto"/>
                <w:w w:val="99"/>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G. Traber, M.D.</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$183,568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$183,568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$183,568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6"/>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Takashi Kei Kishimoto, Ph.D.</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$169,120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$169,120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$169,120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6"/>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Lloyd Johnston, Ph.D.</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$166,400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$166,400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$166,400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6"/>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0" w:firstLine="332"/>
        <w:spacing w:after="0" w:line="277" w:lineRule="auto"/>
        <w:tabs>
          <w:tab w:leader="none" w:pos="5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Davis was appointed Chief Financial Officer on November 28, 2022, and per the terms of his employment agreement, he did not receive a bonus for 2022.</w:t>
      </w:r>
    </w:p>
    <w:p>
      <w:pPr>
        <w:spacing w:after="0" w:line="62" w:lineRule="exact"/>
        <w:rPr>
          <w:rFonts w:ascii="Arial" w:cs="Arial" w:eastAsia="Arial" w:hAnsi="Arial"/>
          <w:sz w:val="18"/>
          <w:szCs w:val="18"/>
          <w:color w:val="auto"/>
        </w:rPr>
      </w:pPr>
    </w:p>
    <w:p>
      <w:pPr>
        <w:ind w:right="280" w:firstLine="332"/>
        <w:spacing w:after="0" w:line="277" w:lineRule="auto"/>
        <w:tabs>
          <w:tab w:leader="none" w:pos="5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Tan was paid an amount of $164,000 as a term of his separation agreement, which was approved separately from payouts determined by the Compensation Committee pursuant to the 2022 Bonus Plan.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04" w:lineRule="exact"/>
        <w:rPr>
          <w:sz w:val="20"/>
          <w:szCs w:val="20"/>
          <w:color w:val="auto"/>
        </w:rPr>
      </w:pPr>
    </w:p>
    <w:p>
      <w:pPr>
        <w:ind w:right="20" w:firstLine="324"/>
        <w:spacing w:after="0" w:line="268" w:lineRule="auto"/>
        <w:rPr>
          <w:sz w:val="20"/>
          <w:szCs w:val="20"/>
          <w:color w:val="auto"/>
        </w:rPr>
      </w:pPr>
      <w:r>
        <w:rPr>
          <w:rFonts w:ascii="Arial" w:cs="Arial" w:eastAsia="Arial" w:hAnsi="Arial"/>
          <w:sz w:val="16"/>
          <w:szCs w:val="16"/>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restricted stock unit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spacing w:after="0" w:line="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December 2021, the Compensation Committee approved equity awards for our executive officers, including our Named Executive Officers, in recognition of our financial and operational results and each executive officer’s individual performance for 2021,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8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These equity awards consisted of both options to purchase shares of our Common Stock and, for certain executive officers, RSU awards that may be settled for shares of our Common Stock. The equity awards approved in December 2021 and granted to our Named Executive Officers in January 2022 were as follows:</w:t>
      </w:r>
    </w:p>
    <w:p>
      <w:pPr>
        <w:spacing w:after="0" w:line="97" w:lineRule="exact"/>
        <w:rPr>
          <w:sz w:val="20"/>
          <w:szCs w:val="20"/>
          <w:color w:val="auto"/>
        </w:rPr>
      </w:pPr>
    </w:p>
    <w:tbl>
      <w:tblPr>
        <w:tblLayout w:type="fixed"/>
        <w:tblInd w:w="190" w:type="dxa"/>
        <w:tblCellMar>
          <w:top w:w="0" w:type="dxa"/>
          <w:left w:w="0" w:type="dxa"/>
          <w:bottom w:w="0" w:type="dxa"/>
          <w:right w:w="0" w:type="dxa"/>
        </w:tblCellMar>
      </w:tblPr>
      <w:tr>
        <w:trPr>
          <w:trHeight w:val="211"/>
        </w:trPr>
        <w:tc>
          <w:tcPr>
            <w:tcW w:w="5820" w:type="dxa"/>
            <w:vAlign w:val="bottom"/>
            <w:tcBorders>
              <w:top w:val="single" w:sz="8" w:color="auto"/>
              <w:left w:val="single" w:sz="8" w:color="auto"/>
              <w:right w:val="single" w:sz="8" w:color="auto"/>
            </w:tcBorders>
          </w:tcPr>
          <w:p>
            <w:pPr>
              <w:spacing w:after="0"/>
              <w:rPr>
                <w:sz w:val="18"/>
                <w:szCs w:val="18"/>
                <w:color w:val="auto"/>
              </w:rPr>
            </w:pPr>
          </w:p>
        </w:tc>
        <w:tc>
          <w:tcPr>
            <w:tcW w:w="2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Stock Options</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Restricted Stock</w:t>
            </w:r>
          </w:p>
        </w:tc>
        <w:tc>
          <w:tcPr>
            <w:tcW w:w="0" w:type="dxa"/>
            <w:vAlign w:val="bottom"/>
          </w:tcPr>
          <w:p>
            <w:pPr>
              <w:spacing w:after="0"/>
              <w:rPr>
                <w:sz w:val="1"/>
                <w:szCs w:val="1"/>
                <w:color w:val="auto"/>
              </w:rPr>
            </w:pPr>
          </w:p>
        </w:tc>
      </w:tr>
      <w:tr>
        <w:trPr>
          <w:trHeight w:val="95"/>
        </w:trPr>
        <w:tc>
          <w:tcPr>
            <w:tcW w:w="5820" w:type="dxa"/>
            <w:vAlign w:val="bottom"/>
            <w:tcBorders>
              <w:left w:val="single" w:sz="8" w:color="auto"/>
              <w:right w:val="single" w:sz="8" w:color="auto"/>
            </w:tcBorders>
            <w:vMerge w:val="restart"/>
          </w:tcPr>
          <w:p>
            <w:pPr>
              <w:ind w:left="1940"/>
              <w:spacing w:after="0" w:line="202" w:lineRule="exact"/>
              <w:rPr>
                <w:sz w:val="20"/>
                <w:szCs w:val="20"/>
                <w:color w:val="auto"/>
              </w:rPr>
            </w:pPr>
            <w:r>
              <w:rPr>
                <w:rFonts w:ascii="Arial" w:cs="Arial" w:eastAsia="Arial" w:hAnsi="Arial"/>
                <w:sz w:val="18"/>
                <w:szCs w:val="18"/>
                <w:b w:val="1"/>
                <w:bCs w:val="1"/>
                <w:color w:val="auto"/>
              </w:rPr>
              <w:t>Named Executive Officer</w:t>
            </w:r>
          </w:p>
        </w:tc>
        <w:tc>
          <w:tcPr>
            <w:tcW w:w="2540" w:type="dxa"/>
            <w:vAlign w:val="bottom"/>
            <w:tcBorders>
              <w:right w:val="single" w:sz="8" w:color="auto"/>
            </w:tcBorders>
            <w:vMerge w:val="continue"/>
          </w:tcPr>
          <w:p>
            <w:pPr>
              <w:spacing w:after="0"/>
              <w:rPr>
                <w:sz w:val="8"/>
                <w:szCs w:val="8"/>
                <w:color w:val="auto"/>
              </w:rPr>
            </w:pPr>
          </w:p>
        </w:tc>
        <w:tc>
          <w:tcPr>
            <w:tcW w:w="25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1"/>
              </w:rPr>
              <w:t>Unit Awards</w:t>
            </w:r>
          </w:p>
        </w:tc>
        <w:tc>
          <w:tcPr>
            <w:tcW w:w="0" w:type="dxa"/>
            <w:vAlign w:val="bottom"/>
          </w:tcPr>
          <w:p>
            <w:pPr>
              <w:spacing w:after="0"/>
              <w:rPr>
                <w:sz w:val="1"/>
                <w:szCs w:val="1"/>
                <w:color w:val="auto"/>
              </w:rPr>
            </w:pPr>
          </w:p>
        </w:tc>
      </w:tr>
      <w:tr>
        <w:trPr>
          <w:trHeight w:val="108"/>
        </w:trPr>
        <w:tc>
          <w:tcPr>
            <w:tcW w:w="582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(Number of Shares)</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82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0" w:type="dxa"/>
            <w:vAlign w:val="bottom"/>
          </w:tcPr>
          <w:p>
            <w:pPr>
              <w:spacing w:after="0"/>
              <w:rPr>
                <w:sz w:val="1"/>
                <w:szCs w:val="1"/>
                <w:color w:val="auto"/>
              </w:rPr>
            </w:pPr>
          </w:p>
        </w:tc>
      </w:tr>
      <w:tr>
        <w:trPr>
          <w:trHeight w:val="108"/>
        </w:trPr>
        <w:tc>
          <w:tcPr>
            <w:tcW w:w="582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82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Carsten Brunn, Ph.D.</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1,056,100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226,300</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Arial" w:cs="Arial" w:eastAsia="Arial" w:hAnsi="Arial"/>
                <w:sz w:val="18"/>
                <w:szCs w:val="18"/>
                <w:color w:val="auto"/>
              </w:rPr>
              <w:t>Blaine Davis</w:t>
            </w:r>
            <w:r>
              <w:rPr>
                <w:rFonts w:ascii="Arial" w:cs="Arial" w:eastAsia="Arial" w:hAnsi="Arial"/>
                <w:sz w:val="23"/>
                <w:szCs w:val="23"/>
                <w:color w:val="auto"/>
                <w:vertAlign w:val="superscript"/>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Kevin Tan</w:t>
            </w:r>
          </w:p>
        </w:tc>
        <w:tc>
          <w:tcPr>
            <w:tcW w:w="254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8"/>
                <w:szCs w:val="18"/>
                <w:color w:val="auto"/>
                <w:w w:val="87"/>
              </w:rPr>
              <w:t xml:space="preserve">340,000 </w:t>
            </w:r>
            <w:r>
              <w:rPr>
                <w:rFonts w:ascii="Arial" w:cs="Arial" w:eastAsia="Arial" w:hAnsi="Arial"/>
                <w:sz w:val="23"/>
                <w:szCs w:val="23"/>
                <w:color w:val="auto"/>
                <w:w w:val="87"/>
                <w:vertAlign w:val="superscript"/>
              </w:rPr>
              <w:t>(2)</w:t>
            </w:r>
          </w:p>
        </w:tc>
        <w:tc>
          <w:tcPr>
            <w:tcW w:w="25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8"/>
                <w:szCs w:val="18"/>
                <w:color w:val="auto"/>
                <w:w w:val="86"/>
              </w:rPr>
              <w:t xml:space="preserve">72,000 </w:t>
            </w:r>
            <w:r>
              <w:rPr>
                <w:rFonts w:ascii="Arial" w:cs="Arial" w:eastAsia="Arial" w:hAnsi="Arial"/>
                <w:sz w:val="23"/>
                <w:szCs w:val="23"/>
                <w:color w:val="auto"/>
                <w:w w:val="86"/>
                <w:vertAlign w:val="superscript"/>
              </w:rPr>
              <w:t>(2)</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G. Traber, M.D.</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415,900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90,200</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Takashi Kei Kishimoto, Ph.D.</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72,000</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Lloyd Johnston, Ph.D.</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332"/>
        <w:spacing w:after="0" w:line="342" w:lineRule="auto"/>
        <w:tabs>
          <w:tab w:leader="none" w:pos="579"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Davis was appointed Chief Financial Officer on November 28, 2022, and did not receive options to purchase shares of our Common Stock or restricted stock units in January 2022. See “—Other Equity Grants” below for information regarding equity paid to Mr. Davis in connection with his hiring.</w:t>
      </w:r>
    </w:p>
    <w:p>
      <w:pPr>
        <w:spacing w:after="0" w:line="15" w:lineRule="exact"/>
        <w:rPr>
          <w:rFonts w:ascii="Arial" w:cs="Arial" w:eastAsia="Arial" w:hAnsi="Arial"/>
          <w:sz w:val="16"/>
          <w:szCs w:val="16"/>
          <w:color w:val="auto"/>
        </w:rPr>
      </w:pPr>
    </w:p>
    <w:p>
      <w:pPr>
        <w:ind w:right="400" w:firstLine="332"/>
        <w:spacing w:after="0" w:line="277"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his departure in December 2022, Mr. Tan forfeited options to purchase 255,000 shares of our Common Stock and 54,000 restricted stock units granted earlier in 2022.</w:t>
      </w:r>
    </w:p>
    <w:p>
      <w:pPr>
        <w:spacing w:after="0" w:line="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options to purchase shares of our Common Stock granted to our executive officers, including the Named Executive Officers, in January 2022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7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RSU awards granted to our executive officers, including the Named Executive Officers, in January 2022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Equity Grants</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connection with the commencement of his employment with the Company, the Compensation Committee approved a one-time equity grant in the form of stock options for Mr. Davis (the “New Employment Grant Options”) as follows: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760" w:type="dxa"/>
            <w:vAlign w:val="bottom"/>
            <w:tcBorders>
              <w:top w:val="single" w:sz="8" w:color="auto"/>
              <w:left w:val="single" w:sz="8" w:color="auto"/>
              <w:right w:val="single" w:sz="8" w:color="auto"/>
            </w:tcBorders>
            <w:vMerge w:val="restart"/>
          </w:tcPr>
          <w:p>
            <w:pPr>
              <w:ind w:left="960"/>
              <w:spacing w:after="0"/>
              <w:rPr>
                <w:sz w:val="20"/>
                <w:szCs w:val="20"/>
                <w:color w:val="auto"/>
              </w:rPr>
            </w:pPr>
            <w:r>
              <w:rPr>
                <w:rFonts w:ascii="Arial" w:cs="Arial" w:eastAsia="Arial" w:hAnsi="Arial"/>
                <w:sz w:val="18"/>
                <w:szCs w:val="18"/>
                <w:color w:val="auto"/>
              </w:rPr>
              <w:t>Named Executive Officer</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Stock Options</w:t>
            </w:r>
          </w:p>
        </w:tc>
        <w:tc>
          <w:tcPr>
            <w:tcW w:w="3760" w:type="dxa"/>
            <w:vAlign w:val="bottom"/>
            <w:tcBorders>
              <w:top w:val="single" w:sz="8" w:color="auto"/>
              <w:right w:val="single" w:sz="8" w:color="auto"/>
            </w:tcBorders>
            <w:vMerge w:val="restart"/>
          </w:tcPr>
          <w:p>
            <w:pPr>
              <w:ind w:left="1480"/>
              <w:spacing w:after="0"/>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(Number of Shares)</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Blaine Davis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1,250,000</w:t>
            </w:r>
          </w:p>
        </w:tc>
        <w:tc>
          <w:tcPr>
            <w:tcW w:w="376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11/28/2022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New Employment Grant Options are subject to a time-based vesting requirement providing that these options are to vest as to 25% of the shares of our Common Stock subject to the option on the first anniversary of the date of grant and, thereafter, as to 1/48th of the shares subject to the option each of the following 36 months thereafter, assuming the continued service of Mr. Davis on each such vesting date.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Welfare and Health Benefits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80"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All participants’ interests in their deferrals are 100% vested when contributed under both plans. In 2022,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w:t>
      </w:r>
    </w:p>
    <w:p>
      <w:pPr>
        <w:spacing w:after="0" w:line="6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04" w:lineRule="exact"/>
        <w:rPr>
          <w:sz w:val="20"/>
          <w:szCs w:val="20"/>
          <w:color w:val="auto"/>
        </w:rPr>
      </w:pPr>
    </w:p>
    <w:p>
      <w:pPr>
        <w:ind w:right="160" w:firstLine="324"/>
        <w:spacing w:after="0" w:line="238"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2022, none of the Named Executive Officers received perquisites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or other personal benefits that were, in the aggregate, $10,000 or more for each Named Executive Officer, except that Peter Traber, M.D., received payments in the amount of $21,097 on his term life insurance policy.</w:t>
      </w:r>
    </w:p>
    <w:p>
      <w:pPr>
        <w:spacing w:after="0" w:line="7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During the period of their service with our Company, we had employment agreements in place with each of our executive officers, including our CEO and our other Named Executive Officers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8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6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6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0"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5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6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In 2022, pursuant to his Separation Agreement, the Company agreed to provide Mr. Tan severance benefits of: (i) 12-months’ base salary, (ii) a bonus of $164,000 and (iii) continued vesting of equity awards through January 4, 2023.</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Recovery Policy</w:t>
      </w:r>
    </w:p>
    <w:p>
      <w:pPr>
        <w:spacing w:after="0" w:line="11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June 2022, the Compensation Committee resolved to adopt an executive compensation recovery policy (the “Clawback Policy”). Under the Clawback Policy, the Board, in its limited discretion, may seek to recover any excess incentive awards (whether in the form of cash or equity), from any of its executive officers, as designated as such by the Board under Section 16 of the Exchange Act, and Rule 3b-7 under the Exchange Act, who have been designated as such over any period in the three years since any incident which causes the Board to seek recovery, in the event the executive officer is deemed responsible for an event that results or resulted in a restatement of the Company’s financial disclosures as a result of fraud or misconduct.</w:t>
      </w:r>
    </w:p>
    <w:p>
      <w:pPr>
        <w:spacing w:after="0" w:line="53"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Further, we operate under the requirements of Section 304 of the Sarbanes-Oxley Act of 2002, as applicable to all public companies, under which our Board may seek reimbursement from our CEO and CFO if, as a result of their misconduct, we restate our financial results due to our material noncompliance with any financial reporting requirements under the federal securities laws.</w:t>
      </w:r>
    </w:p>
    <w:p>
      <w:pPr>
        <w:spacing w:after="0" w:line="7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we intend to comply with the requirements of Section 954 of the Dodd-Frank Wall Street Reform and Consumer Protection Act and will adopt a compensation recovery policy once final regulations on the subject have been adopted.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 Grant Policy</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2018 Plan may only be granted to employees as a means of inducing them to commence employment with the Company as an initial equity grant, and equity awards under the 2018 Plan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Derivatives Trading, Hedging, and Pledging Policies</w:t>
      </w:r>
    </w:p>
    <w:p>
      <w:pPr>
        <w:spacing w:after="0" w:line="11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8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also have adopted a policy prohibiting the pledging of our Common Stock by our employees, including our executive officers, and members of our Board.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restricted stock unit awards that are subject to time-based vesting requirements generally will not be deductible since such awards do not qualify as “performance-based compensation.”</w:t>
      </w:r>
    </w:p>
    <w:p>
      <w:pPr>
        <w:spacing w:after="0" w:line="70"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4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Taxation of Nonqualified Deferred Compensation</w:t>
      </w:r>
    </w:p>
    <w:p>
      <w:pPr>
        <w:spacing w:after="0" w:line="11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Taxation of “Parachute” Payments</w:t>
      </w:r>
    </w:p>
    <w:p>
      <w:pPr>
        <w:spacing w:after="0" w:line="11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2022 and we have not agreed and are not otherwise obligated to provide any executive officers, including any Named Executive Officer, with such a “gross-up” or other reimbursement payment.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identified below. For 2022, our Named Executive Officers and their positions as of December 31, 2022 were:</w:t>
      </w:r>
    </w:p>
    <w:p>
      <w:pPr>
        <w:spacing w:after="0" w:line="6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Carsten Brunn, Ph.D., our President and CEO;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Blaine Davis, our CFO;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Kevin Tan, our former CFO;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Peter G. Traber, M.D., our Chief Medical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Takashi Kei Kishimoto, Ph.D., our Chief Scientific Officer;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Lloyd Johnston, Ph.D., our Chief Operations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0891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Salary</w:t>
            </w:r>
          </w:p>
        </w:tc>
        <w:tc>
          <w:tcPr>
            <w:tcW w:w="10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4"/>
        </w:trPr>
        <w:tc>
          <w:tcPr>
            <w:tcW w:w="26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Name and principal position</w:t>
            </w:r>
          </w:p>
        </w:tc>
        <w:tc>
          <w:tcPr>
            <w:tcW w:w="8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Year</w:t>
            </w:r>
          </w:p>
        </w:tc>
        <w:tc>
          <w:tcPr>
            <w:tcW w:w="1020" w:type="dxa"/>
            <w:vAlign w:val="bottom"/>
            <w:vMerge w:val="continue"/>
          </w:tcPr>
          <w:p>
            <w:pPr>
              <w:spacing w:after="0"/>
              <w:rPr>
                <w:sz w:val="12"/>
                <w:szCs w:val="12"/>
                <w:color w:val="auto"/>
              </w:rPr>
            </w:pP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Bonus ($)</w:t>
            </w:r>
          </w:p>
        </w:tc>
        <w:tc>
          <w:tcPr>
            <w:tcW w:w="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awards</w:t>
            </w:r>
          </w:p>
        </w:tc>
        <w:tc>
          <w:tcPr>
            <w:tcW w:w="0" w:type="dxa"/>
            <w:vAlign w:val="bottom"/>
          </w:tcPr>
          <w:p>
            <w:pPr>
              <w:spacing w:after="0"/>
              <w:rPr>
                <w:sz w:val="1"/>
                <w:szCs w:val="1"/>
                <w:color w:val="auto"/>
              </w:rPr>
            </w:pPr>
          </w:p>
        </w:tc>
      </w:tr>
      <w:tr>
        <w:trPr>
          <w:trHeight w:val="197"/>
        </w:trPr>
        <w:tc>
          <w:tcPr>
            <w:tcW w:w="26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20" w:type="dxa"/>
            <w:vAlign w:val="bottom"/>
          </w:tcPr>
          <w:p>
            <w:pPr>
              <w:jc w:val="right"/>
              <w:ind w:right="356"/>
              <w:spacing w:after="0" w:line="198"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(1)</w:t>
            </w:r>
          </w:p>
        </w:tc>
        <w:tc>
          <w:tcPr>
            <w:tcW w:w="1060" w:type="dxa"/>
            <w:vAlign w:val="bottom"/>
            <w:vMerge w:val="continue"/>
          </w:tcPr>
          <w:p>
            <w:pPr>
              <w:spacing w:after="0"/>
              <w:rPr>
                <w:sz w:val="17"/>
                <w:szCs w:val="17"/>
                <w:color w:val="auto"/>
              </w:rPr>
            </w:pPr>
          </w:p>
        </w:tc>
        <w:tc>
          <w:tcPr>
            <w:tcW w:w="840" w:type="dxa"/>
            <w:vAlign w:val="bottom"/>
          </w:tcPr>
          <w:p>
            <w:pPr>
              <w:jc w:val="center"/>
              <w:ind w:left="14"/>
              <w:spacing w:after="0" w:line="198"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Carsten Brunn, Ph.D.</w:t>
            </w:r>
          </w:p>
        </w:tc>
        <w:tc>
          <w:tcPr>
            <w:tcW w:w="860" w:type="dxa"/>
            <w:vAlign w:val="bottom"/>
          </w:tcPr>
          <w:p>
            <w:pPr>
              <w:ind w:left="320"/>
              <w:spacing w:after="0"/>
              <w:rPr>
                <w:sz w:val="20"/>
                <w:szCs w:val="20"/>
                <w:color w:val="auto"/>
              </w:rPr>
            </w:pPr>
            <w:r>
              <w:rPr>
                <w:rFonts w:ascii="Arial" w:cs="Arial" w:eastAsia="Arial" w:hAnsi="Arial"/>
                <w:sz w:val="14"/>
                <w:szCs w:val="14"/>
                <w:color w:val="auto"/>
              </w:rPr>
              <w:t>2022</w:t>
            </w:r>
          </w:p>
        </w:tc>
        <w:tc>
          <w:tcPr>
            <w:tcW w:w="1020" w:type="dxa"/>
            <w:vAlign w:val="bottom"/>
          </w:tcPr>
          <w:p>
            <w:pPr>
              <w:jc w:val="right"/>
              <w:ind w:right="116"/>
              <w:spacing w:after="0"/>
              <w:rPr>
                <w:sz w:val="20"/>
                <w:szCs w:val="20"/>
                <w:color w:val="auto"/>
              </w:rPr>
            </w:pPr>
            <w:r>
              <w:rPr>
                <w:rFonts w:ascii="Arial" w:cs="Arial" w:eastAsia="Arial" w:hAnsi="Arial"/>
                <w:sz w:val="14"/>
                <w:szCs w:val="14"/>
                <w:color w:val="auto"/>
              </w:rPr>
              <w:t>588,043</w:t>
            </w:r>
          </w:p>
        </w:tc>
        <w:tc>
          <w:tcPr>
            <w:tcW w:w="1060" w:type="dxa"/>
            <w:vAlign w:val="bottom"/>
          </w:tcPr>
          <w:p>
            <w:pPr>
              <w:ind w:left="7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749,053</w:t>
            </w:r>
          </w:p>
        </w:tc>
        <w:tc>
          <w:tcPr>
            <w:tcW w:w="0" w:type="dxa"/>
            <w:vAlign w:val="bottom"/>
          </w:tcPr>
          <w:p>
            <w:pPr>
              <w:spacing w:after="0"/>
              <w:rPr>
                <w:sz w:val="1"/>
                <w:szCs w:val="1"/>
                <w:color w:val="auto"/>
              </w:rPr>
            </w:pPr>
          </w:p>
        </w:tc>
      </w:tr>
      <w:tr>
        <w:trPr>
          <w:trHeight w:val="169"/>
        </w:trPr>
        <w:tc>
          <w:tcPr>
            <w:tcW w:w="2600" w:type="dxa"/>
            <w:vAlign w:val="bottom"/>
          </w:tcPr>
          <w:p>
            <w:pPr>
              <w:ind w:left="220"/>
              <w:spacing w:after="0"/>
              <w:rPr>
                <w:sz w:val="20"/>
                <w:szCs w:val="20"/>
                <w:color w:val="auto"/>
              </w:rPr>
            </w:pPr>
            <w:r>
              <w:rPr>
                <w:rFonts w:ascii="Arial" w:cs="Arial" w:eastAsia="Arial" w:hAnsi="Arial"/>
                <w:sz w:val="14"/>
                <w:szCs w:val="14"/>
                <w:i w:val="1"/>
                <w:iCs w:val="1"/>
                <w:color w:val="auto"/>
              </w:rPr>
              <w:t>President and</w:t>
            </w:r>
          </w:p>
        </w:tc>
        <w:tc>
          <w:tcPr>
            <w:tcW w:w="860" w:type="dxa"/>
            <w:vAlign w:val="bottom"/>
            <w:vMerge w:val="restart"/>
          </w:tcPr>
          <w:p>
            <w:pPr>
              <w:ind w:left="320"/>
              <w:spacing w:after="0"/>
              <w:rPr>
                <w:sz w:val="20"/>
                <w:szCs w:val="20"/>
                <w:color w:val="auto"/>
              </w:rPr>
            </w:pPr>
            <w:r>
              <w:rPr>
                <w:rFonts w:ascii="Arial" w:cs="Arial" w:eastAsia="Arial" w:hAnsi="Arial"/>
                <w:sz w:val="14"/>
                <w:szCs w:val="14"/>
                <w:color w:val="auto"/>
              </w:rPr>
              <w:t>2021</w:t>
            </w:r>
          </w:p>
        </w:tc>
        <w:tc>
          <w:tcPr>
            <w:tcW w:w="1020" w:type="dxa"/>
            <w:vAlign w:val="bottom"/>
            <w:vMerge w:val="restart"/>
          </w:tcPr>
          <w:p>
            <w:pPr>
              <w:jc w:val="right"/>
              <w:ind w:right="116"/>
              <w:spacing w:after="0"/>
              <w:rPr>
                <w:sz w:val="20"/>
                <w:szCs w:val="20"/>
                <w:color w:val="auto"/>
              </w:rPr>
            </w:pPr>
            <w:r>
              <w:rPr>
                <w:rFonts w:ascii="Arial" w:cs="Arial" w:eastAsia="Arial" w:hAnsi="Arial"/>
                <w:sz w:val="14"/>
                <w:szCs w:val="14"/>
                <w:color w:val="auto"/>
              </w:rPr>
              <w:t>569,003</w:t>
            </w:r>
          </w:p>
        </w:tc>
        <w:tc>
          <w:tcPr>
            <w:tcW w:w="106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720,529</w:t>
            </w: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i w:val="1"/>
                <w:iCs w:val="1"/>
                <w:color w:val="auto"/>
              </w:rPr>
              <w:t>Chief Executive Officer</w:t>
            </w:r>
          </w:p>
        </w:tc>
        <w:tc>
          <w:tcPr>
            <w:tcW w:w="8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16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Non-equity</w:t>
            </w:r>
          </w:p>
        </w:tc>
        <w:tc>
          <w:tcPr>
            <w:tcW w:w="0" w:type="dxa"/>
            <w:vAlign w:val="bottom"/>
          </w:tcPr>
          <w:p>
            <w:pPr>
              <w:spacing w:after="0"/>
              <w:rPr>
                <w:sz w:val="1"/>
                <w:szCs w:val="1"/>
                <w:color w:val="auto"/>
              </w:rPr>
            </w:pPr>
          </w:p>
        </w:tc>
      </w:tr>
      <w:tr>
        <w:trPr>
          <w:trHeight w:val="144"/>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Option awards</w:t>
            </w:r>
          </w:p>
        </w:tc>
        <w:tc>
          <w:tcPr>
            <w:tcW w:w="1160" w:type="dxa"/>
            <w:vAlign w:val="bottom"/>
          </w:tcPr>
          <w:p>
            <w:pPr>
              <w:jc w:val="center"/>
              <w:ind w:left="32"/>
              <w:spacing w:after="0" w:line="145" w:lineRule="exact"/>
              <w:rPr>
                <w:sz w:val="20"/>
                <w:szCs w:val="20"/>
                <w:color w:val="auto"/>
              </w:rPr>
            </w:pPr>
            <w:r>
              <w:rPr>
                <w:rFonts w:ascii="Arial" w:cs="Arial" w:eastAsia="Arial" w:hAnsi="Arial"/>
                <w:sz w:val="14"/>
                <w:szCs w:val="14"/>
                <w:b w:val="1"/>
                <w:bCs w:val="1"/>
                <w:color w:val="auto"/>
                <w:w w:val="92"/>
              </w:rPr>
              <w:t>incentive plan</w:t>
            </w:r>
          </w:p>
        </w:tc>
        <w:tc>
          <w:tcPr>
            <w:tcW w:w="0" w:type="dxa"/>
            <w:vAlign w:val="bottom"/>
          </w:tcPr>
          <w:p>
            <w:pPr>
              <w:spacing w:after="0"/>
              <w:rPr>
                <w:sz w:val="1"/>
                <w:szCs w:val="1"/>
                <w:color w:val="auto"/>
              </w:rPr>
            </w:pPr>
          </w:p>
        </w:tc>
      </w:tr>
      <w:tr>
        <w:trPr>
          <w:trHeight w:val="135"/>
        </w:trPr>
        <w:tc>
          <w:tcPr>
            <w:tcW w:w="1040" w:type="dxa"/>
            <w:vAlign w:val="bottom"/>
            <w:vMerge w:val="continue"/>
          </w:tcPr>
          <w:p>
            <w:pPr>
              <w:spacing w:after="0"/>
              <w:rPr>
                <w:sz w:val="11"/>
                <w:szCs w:val="11"/>
                <w:color w:val="auto"/>
              </w:rPr>
            </w:pPr>
          </w:p>
        </w:tc>
        <w:tc>
          <w:tcPr>
            <w:tcW w:w="1160" w:type="dxa"/>
            <w:vAlign w:val="bottom"/>
          </w:tcPr>
          <w:p>
            <w:pPr>
              <w:jc w:val="center"/>
              <w:ind w:left="52"/>
              <w:spacing w:after="0" w:line="135" w:lineRule="exact"/>
              <w:rPr>
                <w:sz w:val="20"/>
                <w:szCs w:val="20"/>
                <w:color w:val="auto"/>
              </w:rPr>
            </w:pPr>
            <w:r>
              <w:rPr>
                <w:rFonts w:ascii="Arial" w:cs="Arial" w:eastAsia="Arial" w:hAnsi="Arial"/>
                <w:sz w:val="14"/>
                <w:szCs w:val="14"/>
                <w:b w:val="1"/>
                <w:bCs w:val="1"/>
                <w:color w:val="auto"/>
                <w:w w:val="89"/>
              </w:rPr>
              <w:t>compensation ($)</w:t>
            </w:r>
          </w:p>
        </w:tc>
        <w:tc>
          <w:tcPr>
            <w:tcW w:w="0" w:type="dxa"/>
            <w:vAlign w:val="bottom"/>
          </w:tcPr>
          <w:p>
            <w:pPr>
              <w:spacing w:after="0"/>
              <w:rPr>
                <w:sz w:val="1"/>
                <w:szCs w:val="1"/>
                <w:color w:val="auto"/>
              </w:rPr>
            </w:pPr>
          </w:p>
        </w:tc>
      </w:tr>
      <w:tr>
        <w:trPr>
          <w:trHeight w:val="157"/>
        </w:trPr>
        <w:tc>
          <w:tcPr>
            <w:tcW w:w="1040" w:type="dxa"/>
            <w:vAlign w:val="bottom"/>
          </w:tcPr>
          <w:p>
            <w:pPr>
              <w:ind w:left="340"/>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(2)</w:t>
            </w:r>
          </w:p>
        </w:tc>
        <w:tc>
          <w:tcPr>
            <w:tcW w:w="1160" w:type="dxa"/>
            <w:vAlign w:val="bottom"/>
          </w:tcPr>
          <w:p>
            <w:pPr>
              <w:jc w:val="center"/>
              <w:ind w:left="52"/>
              <w:spacing w:after="0"/>
              <w:rPr>
                <w:sz w:val="20"/>
                <w:szCs w:val="20"/>
                <w:color w:val="auto"/>
              </w:rPr>
            </w:pP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82"/>
        </w:trPr>
        <w:tc>
          <w:tcPr>
            <w:tcW w:w="1040" w:type="dxa"/>
            <w:vAlign w:val="bottom"/>
          </w:tcPr>
          <w:p>
            <w:pPr>
              <w:ind w:left="340"/>
              <w:spacing w:after="0"/>
              <w:rPr>
                <w:sz w:val="20"/>
                <w:szCs w:val="20"/>
                <w:color w:val="auto"/>
              </w:rPr>
            </w:pPr>
            <w:r>
              <w:rPr>
                <w:rFonts w:ascii="Arial" w:cs="Arial" w:eastAsia="Arial" w:hAnsi="Arial"/>
                <w:sz w:val="14"/>
                <w:szCs w:val="14"/>
                <w:color w:val="auto"/>
              </w:rPr>
              <w:t>2,628,525</w:t>
            </w:r>
          </w:p>
        </w:tc>
        <w:tc>
          <w:tcPr>
            <w:tcW w:w="1160" w:type="dxa"/>
            <w:vAlign w:val="bottom"/>
          </w:tcPr>
          <w:p>
            <w:pPr>
              <w:jc w:val="right"/>
              <w:spacing w:after="0"/>
              <w:rPr>
                <w:sz w:val="20"/>
                <w:szCs w:val="20"/>
                <w:color w:val="auto"/>
              </w:rPr>
            </w:pPr>
            <w:r>
              <w:rPr>
                <w:rFonts w:ascii="Arial" w:cs="Arial" w:eastAsia="Arial" w:hAnsi="Arial"/>
                <w:sz w:val="14"/>
                <w:szCs w:val="14"/>
                <w:color w:val="auto"/>
              </w:rPr>
              <w:t>325,655</w:t>
            </w:r>
          </w:p>
        </w:tc>
        <w:tc>
          <w:tcPr>
            <w:tcW w:w="0" w:type="dxa"/>
            <w:vAlign w:val="bottom"/>
          </w:tcPr>
          <w:p>
            <w:pPr>
              <w:spacing w:after="0"/>
              <w:rPr>
                <w:sz w:val="1"/>
                <w:szCs w:val="1"/>
                <w:color w:val="auto"/>
              </w:rPr>
            </w:pPr>
          </w:p>
        </w:tc>
      </w:tr>
      <w:tr>
        <w:trPr>
          <w:trHeight w:val="338"/>
        </w:trPr>
        <w:tc>
          <w:tcPr>
            <w:tcW w:w="1040" w:type="dxa"/>
            <w:vAlign w:val="bottom"/>
          </w:tcPr>
          <w:p>
            <w:pPr>
              <w:ind w:left="340"/>
              <w:spacing w:after="0"/>
              <w:rPr>
                <w:sz w:val="20"/>
                <w:szCs w:val="20"/>
                <w:color w:val="auto"/>
              </w:rPr>
            </w:pPr>
            <w:r>
              <w:rPr>
                <w:rFonts w:ascii="Arial" w:cs="Arial" w:eastAsia="Arial" w:hAnsi="Arial"/>
                <w:sz w:val="14"/>
                <w:szCs w:val="14"/>
                <w:color w:val="auto"/>
              </w:rPr>
              <w:t>2,067,782</w:t>
            </w:r>
          </w:p>
        </w:tc>
        <w:tc>
          <w:tcPr>
            <w:tcW w:w="1160" w:type="dxa"/>
            <w:vAlign w:val="bottom"/>
          </w:tcPr>
          <w:p>
            <w:pPr>
              <w:jc w:val="right"/>
              <w:spacing w:after="0"/>
              <w:rPr>
                <w:sz w:val="20"/>
                <w:szCs w:val="20"/>
                <w:color w:val="auto"/>
              </w:rPr>
            </w:pPr>
            <w:r>
              <w:rPr>
                <w:rFonts w:ascii="Arial" w:cs="Arial" w:eastAsia="Arial" w:hAnsi="Arial"/>
                <w:sz w:val="14"/>
                <w:szCs w:val="14"/>
                <w:color w:val="auto"/>
              </w:rPr>
              <w:t>313,115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All other</w:t>
      </w:r>
    </w:p>
    <w:p>
      <w:pPr>
        <w:spacing w:after="0" w:line="194" w:lineRule="auto"/>
        <w:tabs>
          <w:tab w:leader="none" w:pos="1420" w:val="left"/>
        </w:tabs>
        <w:rPr>
          <w:sz w:val="20"/>
          <w:szCs w:val="20"/>
          <w:color w:val="auto"/>
        </w:rPr>
      </w:pPr>
      <w:r>
        <w:rPr>
          <w:rFonts w:ascii="Arial" w:cs="Arial" w:eastAsia="Arial" w:hAnsi="Arial"/>
          <w:sz w:val="11"/>
          <w:szCs w:val="11"/>
          <w:b w:val="1"/>
          <w:bCs w:val="1"/>
          <w:color w:val="auto"/>
        </w:rPr>
        <w:t>compensation ($)</w:t>
      </w:r>
      <w:r>
        <w:rPr>
          <w:sz w:val="20"/>
          <w:szCs w:val="20"/>
          <w:color w:val="auto"/>
        </w:rPr>
        <w:tab/>
      </w:r>
      <w:r>
        <w:rPr>
          <w:rFonts w:ascii="Arial" w:cs="Arial" w:eastAsia="Arial" w:hAnsi="Arial"/>
          <w:sz w:val="11"/>
          <w:szCs w:val="11"/>
          <w:b w:val="1"/>
          <w:bCs w:val="1"/>
          <w:color w:val="auto"/>
          <w:vertAlign w:val="subscript"/>
        </w:rPr>
        <w:t>Total ($)</w:t>
      </w:r>
    </w:p>
    <w:p>
      <w:pPr>
        <w:ind w:left="480"/>
        <w:spacing w:after="0"/>
        <w:rPr>
          <w:sz w:val="20"/>
          <w:szCs w:val="20"/>
          <w:color w:val="auto"/>
        </w:rPr>
      </w:pPr>
      <w:r>
        <w:rPr>
          <w:rFonts w:ascii="Arial" w:cs="Arial" w:eastAsia="Arial" w:hAnsi="Arial"/>
          <w:sz w:val="9"/>
          <w:szCs w:val="9"/>
          <w:b w:val="1"/>
          <w:bCs w:val="1"/>
          <w:color w:val="auto"/>
        </w:rPr>
        <w:t>(4)</w:t>
      </w:r>
    </w:p>
    <w:p>
      <w:pPr>
        <w:spacing w:after="0" w:line="69" w:lineRule="exact"/>
        <w:rPr>
          <w:sz w:val="20"/>
          <w:szCs w:val="20"/>
          <w:color w:val="auto"/>
        </w:rPr>
      </w:pPr>
    </w:p>
    <w:p>
      <w:pPr>
        <w:ind w:left="1540" w:hanging="692"/>
        <w:spacing w:after="0"/>
        <w:tabs>
          <w:tab w:leader="none" w:pos="1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4,292,242</w:t>
      </w:r>
    </w:p>
    <w:p>
      <w:pPr>
        <w:spacing w:after="0" w:line="188" w:lineRule="exact"/>
        <w:rPr>
          <w:rFonts w:ascii="Arial" w:cs="Arial" w:eastAsia="Arial" w:hAnsi="Arial"/>
          <w:sz w:val="13"/>
          <w:szCs w:val="13"/>
          <w:color w:val="auto"/>
        </w:rPr>
      </w:pPr>
    </w:p>
    <w:p>
      <w:pPr>
        <w:ind w:left="1540" w:hanging="692"/>
        <w:spacing w:after="0"/>
        <w:tabs>
          <w:tab w:leader="none" w:pos="15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3,671,395</w:t>
      </w:r>
    </w:p>
    <w:p>
      <w:pPr>
        <w:spacing w:after="0" w:line="47" w:lineRule="exact"/>
        <w:rPr>
          <w:sz w:val="20"/>
          <w:szCs w:val="20"/>
          <w:color w:val="auto"/>
        </w:rPr>
      </w:pPr>
    </w:p>
    <w:p>
      <w:pPr>
        <w:sectPr>
          <w:pgSz w:w="11900" w:h="16838" w:orient="portrait"/>
          <w:cols w:equalWidth="0" w:num="3">
            <w:col w:w="6400" w:space="220"/>
            <w:col w:w="2200" w:space="240"/>
            <w:col w:w="21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Blaine Davis</w:t>
            </w:r>
            <w:r>
              <w:rPr>
                <w:rFonts w:ascii="Arial" w:cs="Arial" w:eastAsia="Arial" w:hAnsi="Arial"/>
                <w:sz w:val="18"/>
                <w:szCs w:val="18"/>
                <w:color w:val="auto"/>
                <w:vertAlign w:val="superscript"/>
              </w:rPr>
              <w:t>(5)</w:t>
            </w:r>
          </w:p>
        </w:tc>
        <w:tc>
          <w:tcPr>
            <w:tcW w:w="104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2022</w:t>
            </w:r>
          </w:p>
        </w:tc>
        <w:tc>
          <w:tcPr>
            <w:tcW w:w="11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33,846</w:t>
            </w:r>
          </w:p>
        </w:tc>
        <w:tc>
          <w:tcPr>
            <w:tcW w:w="96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1,228,750</w:t>
            </w:r>
          </w:p>
        </w:tc>
        <w:tc>
          <w:tcPr>
            <w:tcW w:w="13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1,110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1,263,706</w:t>
            </w:r>
          </w:p>
        </w:tc>
      </w:tr>
      <w:tr>
        <w:trPr>
          <w:trHeight w:val="182"/>
        </w:trPr>
        <w:tc>
          <w:tcPr>
            <w:tcW w:w="2500" w:type="dxa"/>
            <w:vAlign w:val="bottom"/>
          </w:tcPr>
          <w:p>
            <w:pPr>
              <w:ind w:left="220"/>
              <w:spacing w:after="0"/>
              <w:rPr>
                <w:sz w:val="20"/>
                <w:szCs w:val="20"/>
                <w:color w:val="auto"/>
              </w:rPr>
            </w:pPr>
            <w:r>
              <w:rPr>
                <w:rFonts w:ascii="Arial" w:cs="Arial" w:eastAsia="Arial" w:hAnsi="Arial"/>
                <w:sz w:val="14"/>
                <w:szCs w:val="14"/>
                <w:i w:val="1"/>
                <w:iCs w:val="1"/>
                <w:color w:val="auto"/>
              </w:rPr>
              <w:t>Chief Financial Officer</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2021</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50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Kevin Tan</w:t>
            </w:r>
            <w:r>
              <w:rPr>
                <w:rFonts w:ascii="Arial" w:cs="Arial" w:eastAsia="Arial" w:hAnsi="Arial"/>
                <w:sz w:val="18"/>
                <w:szCs w:val="18"/>
                <w:color w:val="auto"/>
                <w:vertAlign w:val="superscript"/>
              </w:rPr>
              <w:t>(6)</w:t>
            </w:r>
          </w:p>
        </w:tc>
        <w:tc>
          <w:tcPr>
            <w:tcW w:w="10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2022</w:t>
            </w: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425,769</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line="196" w:lineRule="exact"/>
              <w:rPr>
                <w:sz w:val="20"/>
                <w:szCs w:val="20"/>
                <w:color w:val="auto"/>
              </w:rPr>
            </w:pPr>
            <w:r>
              <w:rPr>
                <w:rFonts w:ascii="Arial" w:cs="Arial" w:eastAsia="Arial" w:hAnsi="Arial"/>
                <w:sz w:val="14"/>
                <w:szCs w:val="14"/>
                <w:color w:val="auto"/>
              </w:rPr>
              <w:t xml:space="preserve">238,320 </w:t>
            </w:r>
            <w:r>
              <w:rPr>
                <w:rFonts w:ascii="Arial" w:cs="Arial" w:eastAsia="Arial" w:hAnsi="Arial"/>
                <w:sz w:val="18"/>
                <w:szCs w:val="18"/>
                <w:color w:val="auto"/>
                <w:vertAlign w:val="superscript"/>
              </w:rPr>
              <w:t>(6)</w:t>
            </w:r>
          </w:p>
        </w:tc>
        <w:tc>
          <w:tcPr>
            <w:tcW w:w="1260" w:type="dxa"/>
            <w:vAlign w:val="bottom"/>
            <w:shd w:val="clear" w:color="auto" w:fill="CCEEFF"/>
          </w:tcPr>
          <w:p>
            <w:pPr>
              <w:jc w:val="right"/>
              <w:ind w:right="268"/>
              <w:spacing w:after="0" w:line="196" w:lineRule="exact"/>
              <w:rPr>
                <w:sz w:val="20"/>
                <w:szCs w:val="20"/>
                <w:color w:val="auto"/>
              </w:rPr>
            </w:pPr>
            <w:r>
              <w:rPr>
                <w:rFonts w:ascii="Arial" w:cs="Arial" w:eastAsia="Arial" w:hAnsi="Arial"/>
                <w:sz w:val="14"/>
                <w:szCs w:val="14"/>
                <w:color w:val="auto"/>
              </w:rPr>
              <w:t xml:space="preserve">846,225 </w:t>
            </w:r>
            <w:r>
              <w:rPr>
                <w:rFonts w:ascii="Arial" w:cs="Arial" w:eastAsia="Arial" w:hAnsi="Arial"/>
                <w:sz w:val="18"/>
                <w:szCs w:val="18"/>
                <w:color w:val="auto"/>
                <w:vertAlign w:val="superscript"/>
              </w:rPr>
              <w:t>(6)</w:t>
            </w:r>
          </w:p>
        </w:tc>
        <w:tc>
          <w:tcPr>
            <w:tcW w:w="1380" w:type="dxa"/>
            <w:vAlign w:val="bottom"/>
            <w:shd w:val="clear" w:color="auto" w:fill="CCEEFF"/>
          </w:tcPr>
          <w:p>
            <w:pPr>
              <w:jc w:val="right"/>
              <w:ind w:right="348"/>
              <w:spacing w:after="0" w:line="196" w:lineRule="exact"/>
              <w:rPr>
                <w:sz w:val="20"/>
                <w:szCs w:val="20"/>
                <w:color w:val="auto"/>
              </w:rPr>
            </w:pPr>
            <w:r>
              <w:rPr>
                <w:rFonts w:ascii="Arial" w:cs="Arial" w:eastAsia="Arial" w:hAnsi="Arial"/>
                <w:sz w:val="14"/>
                <w:szCs w:val="14"/>
                <w:color w:val="auto"/>
              </w:rPr>
              <w:t xml:space="preserve">164,000 </w:t>
            </w:r>
            <w:r>
              <w:rPr>
                <w:rFonts w:ascii="Arial" w:cs="Arial" w:eastAsia="Arial" w:hAnsi="Arial"/>
                <w:sz w:val="18"/>
                <w:szCs w:val="18"/>
                <w:color w:val="auto"/>
                <w:vertAlign w:val="superscript"/>
              </w:rPr>
              <w:t>(6)</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14,115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1,688,429</w:t>
            </w:r>
          </w:p>
        </w:tc>
      </w:tr>
      <w:tr>
        <w:trPr>
          <w:trHeight w:val="202"/>
        </w:trPr>
        <w:tc>
          <w:tcPr>
            <w:tcW w:w="250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Former Chief Financial Officer</w:t>
            </w: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2021</w:t>
            </w: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110,385</w:t>
            </w: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75,000</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68"/>
              <w:spacing w:after="0" w:line="202" w:lineRule="exact"/>
              <w:rPr>
                <w:sz w:val="20"/>
                <w:szCs w:val="20"/>
                <w:color w:val="auto"/>
              </w:rPr>
            </w:pPr>
            <w:r>
              <w:rPr>
                <w:rFonts w:ascii="Arial" w:cs="Arial" w:eastAsia="Arial" w:hAnsi="Arial"/>
                <w:sz w:val="14"/>
                <w:szCs w:val="14"/>
                <w:color w:val="auto"/>
              </w:rPr>
              <w:t xml:space="preserve">2,369,619 </w:t>
            </w:r>
            <w:r>
              <w:rPr>
                <w:rFonts w:ascii="Arial" w:cs="Arial" w:eastAsia="Arial" w:hAnsi="Arial"/>
                <w:sz w:val="18"/>
                <w:szCs w:val="18"/>
                <w:color w:val="auto"/>
                <w:vertAlign w:val="superscript"/>
              </w:rPr>
              <w:t>(6)</w:t>
            </w: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46,280</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2,601,622</w:t>
            </w:r>
          </w:p>
        </w:tc>
      </w:tr>
      <w:tr>
        <w:trPr>
          <w:trHeight w:val="28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Peter G. Traber, M.D.</w:t>
            </w:r>
          </w:p>
        </w:tc>
        <w:tc>
          <w:tcPr>
            <w:tcW w:w="104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455,573</w:t>
            </w:r>
          </w:p>
        </w:tc>
        <w:tc>
          <w:tcPr>
            <w:tcW w:w="9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298,562</w:t>
            </w:r>
          </w:p>
        </w:tc>
        <w:tc>
          <w:tcPr>
            <w:tcW w:w="12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1,035,133</w:t>
            </w:r>
          </w:p>
        </w:tc>
        <w:tc>
          <w:tcPr>
            <w:tcW w:w="13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183,568</w:t>
            </w:r>
          </w:p>
        </w:tc>
        <w:tc>
          <w:tcPr>
            <w:tcW w:w="10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31,147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2,003,983</w:t>
            </w:r>
          </w:p>
        </w:tc>
      </w:tr>
      <w:tr>
        <w:trPr>
          <w:trHeight w:val="182"/>
        </w:trPr>
        <w:tc>
          <w:tcPr>
            <w:tcW w:w="2500" w:type="dxa"/>
            <w:vAlign w:val="bottom"/>
          </w:tcPr>
          <w:p>
            <w:pPr>
              <w:ind w:left="220"/>
              <w:spacing w:after="0"/>
              <w:rPr>
                <w:sz w:val="20"/>
                <w:szCs w:val="20"/>
                <w:color w:val="auto"/>
              </w:rPr>
            </w:pPr>
            <w:r>
              <w:rPr>
                <w:rFonts w:ascii="Arial" w:cs="Arial" w:eastAsia="Arial" w:hAnsi="Arial"/>
                <w:sz w:val="14"/>
                <w:szCs w:val="14"/>
                <w:i w:val="1"/>
                <w:iCs w:val="1"/>
                <w:color w:val="auto"/>
              </w:rPr>
              <w:t>Chief Medical Officer</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2021</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440,000</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253,445</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704,679</w:t>
            </w:r>
          </w:p>
        </w:tc>
        <w:tc>
          <w:tcPr>
            <w:tcW w:w="1380" w:type="dxa"/>
            <w:vAlign w:val="bottom"/>
          </w:tcPr>
          <w:p>
            <w:pPr>
              <w:jc w:val="right"/>
              <w:ind w:right="408"/>
              <w:spacing w:after="0"/>
              <w:rPr>
                <w:sz w:val="20"/>
                <w:szCs w:val="20"/>
                <w:color w:val="auto"/>
              </w:rPr>
            </w:pPr>
            <w:r>
              <w:rPr>
                <w:rFonts w:ascii="Arial" w:cs="Arial" w:eastAsia="Arial" w:hAnsi="Arial"/>
                <w:sz w:val="14"/>
                <w:szCs w:val="14"/>
                <w:color w:val="auto"/>
              </w:rPr>
              <w:t>181,000</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21,561</w:t>
            </w:r>
          </w:p>
        </w:tc>
        <w:tc>
          <w:tcPr>
            <w:tcW w:w="880" w:type="dxa"/>
            <w:vAlign w:val="bottom"/>
          </w:tcPr>
          <w:p>
            <w:pPr>
              <w:jc w:val="right"/>
              <w:spacing w:after="0"/>
              <w:rPr>
                <w:sz w:val="20"/>
                <w:szCs w:val="20"/>
                <w:color w:val="auto"/>
              </w:rPr>
            </w:pPr>
            <w:r>
              <w:rPr>
                <w:rFonts w:ascii="Arial" w:cs="Arial" w:eastAsia="Arial" w:hAnsi="Arial"/>
                <w:sz w:val="14"/>
                <w:szCs w:val="14"/>
                <w:color w:val="auto"/>
              </w:rPr>
              <w:t>1,600,685</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Takashi Kei Kishimoto, Ph.D.</w:t>
            </w:r>
          </w:p>
        </w:tc>
        <w:tc>
          <w:tcPr>
            <w:tcW w:w="104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418,766</w:t>
            </w:r>
          </w:p>
        </w:tc>
        <w:tc>
          <w:tcPr>
            <w:tcW w:w="9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238,320</w:t>
            </w:r>
          </w:p>
        </w:tc>
        <w:tc>
          <w:tcPr>
            <w:tcW w:w="12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846,225</w:t>
            </w:r>
          </w:p>
        </w:tc>
        <w:tc>
          <w:tcPr>
            <w:tcW w:w="13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169,120</w:t>
            </w:r>
          </w:p>
        </w:tc>
        <w:tc>
          <w:tcPr>
            <w:tcW w:w="10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11,922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1,684,353</w:t>
            </w:r>
          </w:p>
        </w:tc>
      </w:tr>
      <w:tr>
        <w:trPr>
          <w:trHeight w:val="182"/>
        </w:trPr>
        <w:tc>
          <w:tcPr>
            <w:tcW w:w="2500" w:type="dxa"/>
            <w:vAlign w:val="bottom"/>
          </w:tcPr>
          <w:p>
            <w:pPr>
              <w:ind w:left="220"/>
              <w:spacing w:after="0"/>
              <w:rPr>
                <w:sz w:val="20"/>
                <w:szCs w:val="20"/>
                <w:color w:val="auto"/>
              </w:rPr>
            </w:pPr>
            <w:r>
              <w:rPr>
                <w:rFonts w:ascii="Arial" w:cs="Arial" w:eastAsia="Arial" w:hAnsi="Arial"/>
                <w:sz w:val="14"/>
                <w:szCs w:val="14"/>
                <w:i w:val="1"/>
                <w:iCs w:val="1"/>
                <w:color w:val="auto"/>
              </w:rPr>
              <w:t>Chief Scientific Officer</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2021</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399,798</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214,133</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526,588</w:t>
            </w:r>
          </w:p>
        </w:tc>
        <w:tc>
          <w:tcPr>
            <w:tcW w:w="1380" w:type="dxa"/>
            <w:vAlign w:val="bottom"/>
          </w:tcPr>
          <w:p>
            <w:pPr>
              <w:jc w:val="right"/>
              <w:ind w:right="408"/>
              <w:spacing w:after="0"/>
              <w:rPr>
                <w:sz w:val="20"/>
                <w:szCs w:val="20"/>
                <w:color w:val="auto"/>
              </w:rPr>
            </w:pPr>
            <w:r>
              <w:rPr>
                <w:rFonts w:ascii="Arial" w:cs="Arial" w:eastAsia="Arial" w:hAnsi="Arial"/>
                <w:sz w:val="14"/>
                <w:szCs w:val="14"/>
                <w:color w:val="auto"/>
              </w:rPr>
              <w:t>160,000</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6,156</w:t>
            </w:r>
          </w:p>
        </w:tc>
        <w:tc>
          <w:tcPr>
            <w:tcW w:w="880" w:type="dxa"/>
            <w:vAlign w:val="bottom"/>
          </w:tcPr>
          <w:p>
            <w:pPr>
              <w:jc w:val="right"/>
              <w:spacing w:after="0"/>
              <w:rPr>
                <w:sz w:val="20"/>
                <w:szCs w:val="20"/>
                <w:color w:val="auto"/>
              </w:rPr>
            </w:pPr>
            <w:r>
              <w:rPr>
                <w:rFonts w:ascii="Arial" w:cs="Arial" w:eastAsia="Arial" w:hAnsi="Arial"/>
                <w:sz w:val="14"/>
                <w:szCs w:val="14"/>
                <w:color w:val="auto"/>
              </w:rPr>
              <w:t>1,306,675</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Lloyd Johnston, Ph.D.</w:t>
            </w:r>
          </w:p>
        </w:tc>
        <w:tc>
          <w:tcPr>
            <w:tcW w:w="104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413,169</w:t>
            </w:r>
          </w:p>
        </w:tc>
        <w:tc>
          <w:tcPr>
            <w:tcW w:w="9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238,320</w:t>
            </w:r>
          </w:p>
        </w:tc>
        <w:tc>
          <w:tcPr>
            <w:tcW w:w="12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846,225</w:t>
            </w:r>
          </w:p>
        </w:tc>
        <w:tc>
          <w:tcPr>
            <w:tcW w:w="13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166,400</w:t>
            </w:r>
          </w:p>
        </w:tc>
        <w:tc>
          <w:tcPr>
            <w:tcW w:w="10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10,245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1,674,359</w:t>
            </w:r>
          </w:p>
        </w:tc>
      </w:tr>
      <w:tr>
        <w:trPr>
          <w:trHeight w:val="182"/>
        </w:trPr>
        <w:tc>
          <w:tcPr>
            <w:tcW w:w="2500" w:type="dxa"/>
            <w:vAlign w:val="bottom"/>
          </w:tcPr>
          <w:p>
            <w:pPr>
              <w:ind w:left="220"/>
              <w:spacing w:after="0"/>
              <w:rPr>
                <w:sz w:val="20"/>
                <w:szCs w:val="20"/>
                <w:color w:val="auto"/>
              </w:rPr>
            </w:pPr>
            <w:r>
              <w:rPr>
                <w:rFonts w:ascii="Arial" w:cs="Arial" w:eastAsia="Arial" w:hAnsi="Arial"/>
                <w:sz w:val="14"/>
                <w:szCs w:val="14"/>
                <w:i w:val="1"/>
                <w:iCs w:val="1"/>
                <w:color w:val="auto"/>
              </w:rPr>
              <w:t>Chief Operations Officer</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2021</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399,764</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214,133</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526,588</w:t>
            </w:r>
          </w:p>
        </w:tc>
        <w:tc>
          <w:tcPr>
            <w:tcW w:w="1380" w:type="dxa"/>
            <w:vAlign w:val="bottom"/>
          </w:tcPr>
          <w:p>
            <w:pPr>
              <w:jc w:val="right"/>
              <w:ind w:right="408"/>
              <w:spacing w:after="0"/>
              <w:rPr>
                <w:sz w:val="20"/>
                <w:szCs w:val="20"/>
                <w:color w:val="auto"/>
              </w:rPr>
            </w:pPr>
            <w:r>
              <w:rPr>
                <w:rFonts w:ascii="Arial" w:cs="Arial" w:eastAsia="Arial" w:hAnsi="Arial"/>
                <w:sz w:val="14"/>
                <w:szCs w:val="14"/>
                <w:color w:val="auto"/>
              </w:rPr>
              <w:t>160,000</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4,360</w:t>
            </w:r>
          </w:p>
        </w:tc>
        <w:tc>
          <w:tcPr>
            <w:tcW w:w="880" w:type="dxa"/>
            <w:vAlign w:val="bottom"/>
          </w:tcPr>
          <w:p>
            <w:pPr>
              <w:jc w:val="right"/>
              <w:spacing w:after="0"/>
              <w:rPr>
                <w:sz w:val="20"/>
                <w:szCs w:val="20"/>
                <w:color w:val="auto"/>
              </w:rPr>
            </w:pPr>
            <w:r>
              <w:rPr>
                <w:rFonts w:ascii="Arial" w:cs="Arial" w:eastAsia="Arial" w:hAnsi="Arial"/>
                <w:sz w:val="14"/>
                <w:szCs w:val="14"/>
                <w:color w:val="auto"/>
              </w:rPr>
              <w:t>1,304,845</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right="200" w:hanging="332"/>
        <w:spacing w:after="0" w:line="277"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represent actual earnings for the calendar year, which may be impacted by, among other things, hire date and the timing of any salary increases made during the year.</w:t>
      </w:r>
    </w:p>
    <w:p>
      <w:pPr>
        <w:spacing w:after="0" w:line="62" w:lineRule="exact"/>
        <w:rPr>
          <w:rFonts w:ascii="Arial" w:cs="Arial" w:eastAsia="Arial" w:hAnsi="Arial"/>
          <w:sz w:val="18"/>
          <w:szCs w:val="18"/>
          <w:color w:val="auto"/>
        </w:rPr>
      </w:pPr>
    </w:p>
    <w:p>
      <w:pPr>
        <w:ind w:left="340" w:right="200" w:hanging="332"/>
        <w:spacing w:after="0" w:line="263"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11 to our consolidated audited financial statements included in our 2022 Annual Report.</w:t>
      </w:r>
    </w:p>
    <w:p>
      <w:pPr>
        <w:spacing w:after="0" w:line="75" w:lineRule="exact"/>
        <w:rPr>
          <w:rFonts w:ascii="Arial" w:cs="Arial" w:eastAsia="Arial" w:hAnsi="Arial"/>
          <w:sz w:val="18"/>
          <w:szCs w:val="18"/>
          <w:color w:val="auto"/>
        </w:rPr>
      </w:pPr>
    </w:p>
    <w:p>
      <w:pPr>
        <w:ind w:left="340" w:right="180" w:hanging="332"/>
        <w:spacing w:after="0" w:line="277"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Non-equity incentive plan compensation represents amounts earned under our annual performance-based bonus program. For additional information, see “Performance Bonuses” below.</w:t>
      </w:r>
    </w:p>
    <w:p>
      <w:pPr>
        <w:spacing w:after="0" w:line="62" w:lineRule="exact"/>
        <w:rPr>
          <w:rFonts w:ascii="Arial" w:cs="Arial" w:eastAsia="Arial" w:hAnsi="Arial"/>
          <w:sz w:val="18"/>
          <w:szCs w:val="18"/>
          <w:color w:val="auto"/>
        </w:rPr>
      </w:pPr>
    </w:p>
    <w:p>
      <w:pPr>
        <w:ind w:left="340" w:right="40" w:hanging="332"/>
        <w:spacing w:after="0" w:line="261" w:lineRule="auto"/>
        <w:tabs>
          <w:tab w:leader="none" w:pos="352" w:val="left"/>
        </w:tabs>
        <w:numPr>
          <w:ilvl w:val="0"/>
          <w:numId w:val="35"/>
        </w:numPr>
        <w:rPr>
          <w:rFonts w:ascii="Arial" w:cs="Arial" w:eastAsia="Arial" w:hAnsi="Arial"/>
          <w:sz w:val="18"/>
          <w:szCs w:val="18"/>
          <w:color w:val="auto"/>
        </w:rPr>
      </w:pPr>
      <w:r>
        <w:rPr>
          <w:rFonts w:ascii="Arial" w:cs="Arial" w:eastAsia="Arial" w:hAnsi="Arial"/>
          <w:sz w:val="16"/>
          <w:szCs w:val="16"/>
          <w:color w:val="auto"/>
        </w:rPr>
        <w:t>For Dr. Brunn, the amounts for 2021 and 2022 include $966 and $966, respectively, representing payments on Dr. Brunn’s term life insurance policy. For Mr. Davis, the amount for 2022 includes $35, representing payments on Mr. Davis term life insurance policy, $75 representing reimbursement for cell phone expenses, and $1,000 representing our 401(k) matching contributions. For Mr. Tan, the amount for 2021 includes $113 representing payments on Mr. Tan’s term life insurance policy and $225 representing reimbursement for cell phone expenses. The amount for 2022 includes $565 representing payments on Mr. Tan’s term life insurance policy, $900 representing reimbursement for cell phone expenses, $3,500 representing a tuition reimbursement, and $9,150 representing our 401(k) matching contributions. For Dr. Traber, the amount for 2021 includes $21,186 representing payments on Dr. Traber’s term life insurance policy and $375 representing reimbursement for cell phone expenses. The amount for 2022 includes $21,097 representing payments on Dr. Traber’s term life insurance policy, $900 representing reimbursement for cell phone expenses, and $9,150 representing our 401(k) matching contributions. For Dr. Kishimoto, the amount for 2021 includes $3,400 representing our 401(k) matching contributions and $2,756 representing payments on Dr. Kishimoto’s term life insurance policy. The amount for 2022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left="340" w:right="60"/>
        <w:spacing w:after="0" w:line="235" w:lineRule="auto"/>
        <w:rPr>
          <w:sz w:val="20"/>
          <w:szCs w:val="20"/>
          <w:color w:val="auto"/>
        </w:rPr>
      </w:pPr>
      <w:r>
        <w:rPr>
          <w:rFonts w:ascii="Arial" w:cs="Arial" w:eastAsia="Arial" w:hAnsi="Arial"/>
          <w:sz w:val="18"/>
          <w:szCs w:val="18"/>
          <w:color w:val="auto"/>
        </w:rPr>
        <w:t>includes $2,772 representing payments on Dr. Kishimoto’s term life insurance policy and $9,150 representing our 401(k) matching contributions. For Dr. Johnston, the amount for 2021 includes $3,400 representing our 401(k) matching contributions and $960 representing payments on Dr. Johnston’s term life insurance policy. The amount for 2022 includes $9,150 representing our 401(k) matching contributions and $1,095 representing payments on Dr. Johnston’s term life insurance policy</w:t>
      </w:r>
    </w:p>
    <w:p>
      <w:pPr>
        <w:spacing w:after="0" w:line="80"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Davis was appointed Chief Financial Officer on November 28, 2022.</w:t>
      </w:r>
    </w:p>
    <w:p>
      <w:pPr>
        <w:spacing w:after="0" w:line="117" w:lineRule="exact"/>
        <w:rPr>
          <w:rFonts w:ascii="Arial" w:cs="Arial" w:eastAsia="Arial" w:hAnsi="Arial"/>
          <w:sz w:val="18"/>
          <w:szCs w:val="18"/>
          <w:color w:val="auto"/>
        </w:rPr>
      </w:pPr>
    </w:p>
    <w:p>
      <w:pPr>
        <w:ind w:left="340" w:right="60" w:hanging="332"/>
        <w:spacing w:after="0" w:line="257"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Tan ceased service as our Chief Financial Officer effective as of November 28, 2022. Upon his departure in December 2022, Mr. Tan forfeited his 2022 annual target bonus opportunity of $164,000 as well as options to purchase 255,000 shares of our Common Stock and 54,000 restricted stock units that were granted in 2022 and options to purchase 499,999 shares of our Common Stock that were granted in 2021. As noted above, Mr. Tan was paid an amount of $164,000 as a term of his separation agreement, which was approved separately from the 2022 Bonus Plan by the Compensation Committee.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49"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6"/>
          <w:szCs w:val="16"/>
          <w:color w:val="auto"/>
        </w:rPr>
        <w:t>At the end of 2021, the Compensation Committee recommended to the Board and the Board approved an increase in Dr. Brunn’s annual base salary from $569,300 to $592,072 for 2022, an increase in Dr. Traber’s annual base salary from $440,000 to $458,920 for 2022, an increase in Dr. Kishimoto’s annual base salary from $400,000 to $422,800 for 2022, and an increase in Dr. Johnston’s annual base salary from $400,000 to $416,000 for 2022. Mr.</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Davis joined our Company in November 2022 with an annual base salary of $440,000. Mr. Tan did not receive an increase to his annual base salary in 2022. All base salaries for 2022, other than with respect to Mr. Davis, were effective as of March 1,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2022 target bonus amount for Dr. Brunn was 55% of his base salary, and for each of Mr. Tan and Drs. Traber, Kishimoto, and Johnston was 40% of his base salary. Per the terms of his employment agreement, Mr. Davis was not eligible to receive a bonus for 2022.</w:t>
      </w:r>
    </w:p>
    <w:p>
      <w:pPr>
        <w:spacing w:after="0" w:line="63"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2022, bonuses were entirely determined based on Company performance in meeting clinical, business development, culture and engagement, and financial goals.</w:t>
      </w:r>
    </w:p>
    <w:p>
      <w:pPr>
        <w:spacing w:after="0" w:line="6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actual cash bonuses earned by the named executives for 2022 are reported under the “Non-equity incentive plan compensation” column of the 2022 Summary Compensation Table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520" w:firstLine="324"/>
        <w:spacing w:after="0" w:line="311" w:lineRule="auto"/>
        <w:rPr>
          <w:sz w:val="20"/>
          <w:szCs w:val="20"/>
          <w:color w:val="auto"/>
        </w:rPr>
      </w:pPr>
      <w:r>
        <w:rPr>
          <w:rFonts w:ascii="Arial" w:cs="Arial" w:eastAsia="Arial" w:hAnsi="Arial"/>
          <w:sz w:val="16"/>
          <w:szCs w:val="16"/>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 Incentive Plan (the “2008 Plan”). However, the 2008 Plan continues to govern the terms and conditions of the outstanding awards granted under the 2008 Plan.</w:t>
      </w:r>
    </w:p>
    <w:p>
      <w:pPr>
        <w:spacing w:after="0" w:line="6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also maintain the 2018 Employment Inducement Incentive Award Plan (as amended,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may also construct alternate vesting schedules as it determines are appropriate to motivate particular employees. Our stock option awards may be intended to qualify as incentive stock options under the Code.</w:t>
      </w:r>
    </w:p>
    <w:p>
      <w:pPr>
        <w:spacing w:after="0" w:line="8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early 2022, we made the following grants under the 2016 Plan: (i) to Dr. Brunn options to purchase 1,056,100 shares of our Common Stock and 226,300 restricted stock units; (ii), to Dr. Traber options to purchase 415,900 shares of our Common Stock and 90,200 restricted stock units; (iii) to Dr. Kishimoto options to purchase 340,000 shares of our Common Stock and 72,000 restricted stock units; (iv), to Dr. Johnston options to purchase 340,000 shares of our Common Stock and 72,000 restricted stock units; and (v) to Mr. Tan options to purchase 340,000 shares of our Common Stock and 72,000 restricted stock units. Of these, 255,000 shares of our Common Stock and 54,000 restricted stock units were forfeited upon Mr. Tan’s departure. Additionally, at the commencement of his employment, Mr. Davis was granted options to purchase 1,250,000 shares of our Common Stock under the 2018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2022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700"/>
              <w:spacing w:after="0"/>
              <w:rPr>
                <w:sz w:val="20"/>
                <w:szCs w:val="20"/>
                <w:color w:val="auto"/>
              </w:rPr>
            </w:pPr>
            <w:r>
              <w:rPr>
                <w:rFonts w:ascii="Arial" w:cs="Arial" w:eastAsia="Arial" w:hAnsi="Arial"/>
                <w:sz w:val="13"/>
                <w:szCs w:val="13"/>
                <w:b w:val="1"/>
                <w:bCs w:val="1"/>
                <w:color w:val="auto"/>
              </w:rPr>
              <w:t>Option Awards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Stock Awards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280"/>
              <w:spacing w:after="0" w:line="136" w:lineRule="exact"/>
              <w:rPr>
                <w:sz w:val="20"/>
                <w:szCs w:val="20"/>
                <w:color w:val="auto"/>
              </w:rPr>
            </w:pPr>
            <w:r>
              <w:rPr>
                <w:rFonts w:ascii="Arial" w:cs="Arial" w:eastAsia="Arial" w:hAnsi="Arial"/>
                <w:sz w:val="13"/>
                <w:szCs w:val="13"/>
                <w:b w:val="1"/>
                <w:bCs w:val="1"/>
                <w:color w:val="auto"/>
              </w:rPr>
              <w:t>Number of</w:t>
            </w:r>
          </w:p>
        </w:tc>
        <w:tc>
          <w:tcPr>
            <w:tcW w:w="1340" w:type="dxa"/>
            <w:vAlign w:val="bottom"/>
            <w:gridSpan w:val="2"/>
          </w:tcPr>
          <w:p>
            <w:pPr>
              <w:ind w:left="320"/>
              <w:spacing w:after="0" w:line="136" w:lineRule="exact"/>
              <w:rPr>
                <w:sz w:val="20"/>
                <w:szCs w:val="20"/>
                <w:color w:val="auto"/>
              </w:rPr>
            </w:pPr>
            <w:r>
              <w:rPr>
                <w:rFonts w:ascii="Arial" w:cs="Arial" w:eastAsia="Arial" w:hAnsi="Arial"/>
                <w:sz w:val="13"/>
                <w:szCs w:val="13"/>
                <w:b w:val="1"/>
                <w:bCs w:val="1"/>
                <w:color w:val="auto"/>
              </w:rPr>
              <w:t>Number of</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9"/>
              </w:rPr>
              <w:t>Market value of</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securities</w:t>
            </w: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securities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Number of shares</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Vesting</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underlying</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underlying</w:t>
            </w:r>
          </w:p>
        </w:tc>
        <w:tc>
          <w:tcPr>
            <w:tcW w:w="120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Option</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1180" w:type="dxa"/>
            <w:vAlign w:val="bottom"/>
            <w:gridSpan w:val="2"/>
            <w:vMerge w:val="continue"/>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shares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unexercised</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unexercised</w:t>
            </w: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or units of stock</w:t>
            </w: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or units of stock</w:t>
            </w:r>
          </w:p>
        </w:tc>
        <w:tc>
          <w:tcPr>
            <w:tcW w:w="0" w:type="dxa"/>
            <w:vAlign w:val="bottom"/>
          </w:tcPr>
          <w:p>
            <w:pPr>
              <w:spacing w:after="0"/>
              <w:rPr>
                <w:sz w:val="1"/>
                <w:szCs w:val="1"/>
                <w:color w:val="auto"/>
              </w:rPr>
            </w:pPr>
          </w:p>
        </w:tc>
      </w:tr>
      <w:tr>
        <w:trPr>
          <w:trHeight w:val="135"/>
        </w:trPr>
        <w:tc>
          <w:tcPr>
            <w:tcW w:w="108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Name</w:t>
            </w:r>
          </w:p>
        </w:tc>
        <w:tc>
          <w:tcPr>
            <w:tcW w:w="112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Grant date</w:t>
            </w:r>
          </w:p>
        </w:tc>
        <w:tc>
          <w:tcPr>
            <w:tcW w:w="100" w:type="dxa"/>
            <w:vAlign w:val="bottom"/>
            <w:vMerge w:val="restart"/>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Commencement</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options (#)</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options (#)</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exercise</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expiration</w:t>
            </w: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that have not</w:t>
            </w: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that have not</w:t>
            </w:r>
          </w:p>
        </w:tc>
        <w:tc>
          <w:tcPr>
            <w:tcW w:w="0" w:type="dxa"/>
            <w:vAlign w:val="bottom"/>
          </w:tcPr>
          <w:p>
            <w:pPr>
              <w:spacing w:after="0"/>
              <w:rPr>
                <w:sz w:val="1"/>
                <w:szCs w:val="1"/>
                <w:color w:val="auto"/>
              </w:rPr>
            </w:pPr>
          </w:p>
        </w:tc>
      </w:tr>
      <w:tr>
        <w:trPr>
          <w:trHeight w:val="188"/>
        </w:trPr>
        <w:tc>
          <w:tcPr>
            <w:tcW w:w="10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Date </w:t>
            </w:r>
            <w:r>
              <w:rPr>
                <w:rFonts w:ascii="Arial" w:cs="Arial" w:eastAsia="Arial" w:hAnsi="Arial"/>
                <w:sz w:val="17"/>
                <w:szCs w:val="17"/>
                <w:b w:val="1"/>
                <w:bCs w:val="1"/>
                <w:color w:val="auto"/>
                <w:w w:val="91"/>
                <w:vertAlign w:val="superscript"/>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6"/>
              </w:rPr>
              <w:t xml:space="preserve">exercisable </w:t>
            </w:r>
            <w:r>
              <w:rPr>
                <w:rFonts w:ascii="Arial" w:cs="Arial" w:eastAsia="Arial" w:hAnsi="Arial"/>
                <w:sz w:val="17"/>
                <w:szCs w:val="17"/>
                <w:b w:val="1"/>
                <w:bCs w:val="1"/>
                <w:color w:val="auto"/>
                <w:w w:val="86"/>
                <w:vertAlign w:val="superscript"/>
              </w:rPr>
              <w:t>(2)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unexercisable </w:t>
            </w:r>
            <w:r>
              <w:rPr>
                <w:rFonts w:ascii="Arial" w:cs="Arial" w:eastAsia="Arial" w:hAnsi="Arial"/>
                <w:sz w:val="17"/>
                <w:szCs w:val="17"/>
                <w:b w:val="1"/>
                <w:bCs w:val="1"/>
                <w:color w:val="auto"/>
                <w:w w:val="88"/>
                <w:vertAlign w:val="superscript"/>
              </w:rPr>
              <w:t>(2)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price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1"/>
              </w:rPr>
              <w:t xml:space="preserve">vested </w:t>
            </w:r>
            <w:r>
              <w:rPr>
                <w:rFonts w:ascii="Arial" w:cs="Arial" w:eastAsia="Arial" w:hAnsi="Arial"/>
                <w:sz w:val="17"/>
                <w:szCs w:val="17"/>
                <w:b w:val="1"/>
                <w:bCs w:val="1"/>
                <w:color w:val="auto"/>
                <w:w w:val="81"/>
                <w:vertAlign w:val="superscript"/>
              </w:rPr>
              <w:t>(3)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9"/>
              </w:rPr>
              <w:t xml:space="preserve">vested ($) </w:t>
            </w:r>
            <w:r>
              <w:rPr>
                <w:rFonts w:ascii="Arial" w:cs="Arial" w:eastAsia="Arial" w:hAnsi="Arial"/>
                <w:sz w:val="17"/>
                <w:szCs w:val="17"/>
                <w:b w:val="1"/>
                <w:bCs w:val="1"/>
                <w:color w:val="auto"/>
                <w:w w:val="89"/>
                <w:vertAlign w:val="superscript"/>
              </w:rPr>
              <w:t>(4)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0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Carsten Brunn,</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1/3/2022</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1/3/2022</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1,056,100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3.31</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1/2/2032</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Ph.D.</w:t>
            </w: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4"/>
              </w:rPr>
              <w:t>1/3/2022</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1/3/2022</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3"/>
              </w:rPr>
              <w:t>226,300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255,719</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9/24/2021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9/24/2021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50,937</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112,063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4.32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9/23/2031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9/24/2021</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0"/>
              </w:rPr>
              <w:t>20,400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23,052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321,045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348,955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1/3/2031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0"/>
              </w:rPr>
              <w:t>82,500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93,225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45,313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29,687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6/30/2030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3"/>
              </w:rPr>
              <w:t>437,508</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3"/>
              </w:rPr>
              <w:t>162,492</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4"/>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4"/>
              </w:rPr>
              <w:t>1/1/2030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400,000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10/6/2029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2/25/2019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2/25/2019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3"/>
              </w:rPr>
              <w:t>316,257</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13,743</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4"/>
              </w:rPr>
              <w:t>2.20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3"/>
              </w:rPr>
              <w:t>2/24/2029</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12/1/2018</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12/1/2018</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1,000,000</w:t>
            </w: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6.03</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11/30/2028</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3"/>
                <w:szCs w:val="13"/>
                <w:color w:val="auto"/>
              </w:rPr>
              <w:t xml:space="preserve">Blaine Davis </w:t>
            </w:r>
            <w:r>
              <w:rPr>
                <w:rFonts w:ascii="Arial" w:cs="Arial" w:eastAsia="Arial" w:hAnsi="Arial"/>
                <w:sz w:val="17"/>
                <w:szCs w:val="17"/>
                <w:color w:val="auto"/>
                <w:vertAlign w:val="superscript"/>
              </w:rPr>
              <w:t>(5)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11/28/2022</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11/28/2022</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1,250,000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1.27</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11/27/2032</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9"/>
        </w:trPr>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xml:space="preserve">Kevin Tan </w:t>
            </w:r>
            <w:r>
              <w:rPr>
                <w:rFonts w:ascii="Arial" w:cs="Arial" w:eastAsia="Arial" w:hAnsi="Arial"/>
                <w:sz w:val="17"/>
                <w:szCs w:val="17"/>
                <w:color w:val="auto"/>
                <w:vertAlign w:val="superscript"/>
              </w:rPr>
              <w:t>(6)</w:t>
            </w:r>
          </w:p>
        </w:tc>
        <w:tc>
          <w:tcPr>
            <w:tcW w:w="1120" w:type="dxa"/>
            <w:vAlign w:val="bottom"/>
            <w:tcBorders>
              <w:top w:val="single" w:sz="8" w:color="auto"/>
            </w:tcBorders>
            <w:shd w:val="clear" w:color="auto" w:fill="CCEEFF"/>
          </w:tcPr>
          <w:p>
            <w:pPr>
              <w:jc w:val="center"/>
              <w:ind w:right="93"/>
              <w:spacing w:after="0"/>
              <w:rPr>
                <w:sz w:val="20"/>
                <w:szCs w:val="20"/>
                <w:color w:val="auto"/>
              </w:rPr>
            </w:pPr>
            <w:r>
              <w:rPr>
                <w:rFonts w:ascii="Arial" w:cs="Arial" w:eastAsia="Arial" w:hAnsi="Arial"/>
                <w:sz w:val="13"/>
                <w:szCs w:val="13"/>
                <w:color w:val="auto"/>
                <w:w w:val="94"/>
              </w:rPr>
              <w:t>1/3/2022</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1/3/2022</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85,000</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3.31</w:t>
            </w:r>
          </w:p>
        </w:tc>
        <w:tc>
          <w:tcPr>
            <w:tcW w:w="2440" w:type="dxa"/>
            <w:vAlign w:val="bottom"/>
            <w:tcBorders>
              <w:top w:val="single" w:sz="8" w:color="auto"/>
            </w:tcBorders>
            <w:shd w:val="clear" w:color="auto" w:fill="CCEEFF"/>
          </w:tcPr>
          <w:p>
            <w:pPr>
              <w:jc w:val="center"/>
              <w:ind w:right="1053"/>
              <w:spacing w:after="0"/>
              <w:rPr>
                <w:sz w:val="20"/>
                <w:szCs w:val="20"/>
                <w:color w:val="auto"/>
              </w:rPr>
            </w:pPr>
            <w:r>
              <w:rPr>
                <w:rFonts w:ascii="Arial" w:cs="Arial" w:eastAsia="Arial" w:hAnsi="Arial"/>
                <w:sz w:val="13"/>
                <w:szCs w:val="13"/>
                <w:color w:val="auto"/>
                <w:w w:val="96"/>
              </w:rPr>
              <w:t>3/31/2023</w:t>
            </w: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1/3/2022</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1/3/2022</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40" w:type="dxa"/>
            <w:vAlign w:val="bottom"/>
          </w:tcPr>
          <w:p>
            <w:pPr>
              <w:jc w:val="center"/>
              <w:ind w:left="1233"/>
              <w:spacing w:after="0"/>
              <w:rPr>
                <w:sz w:val="20"/>
                <w:szCs w:val="20"/>
                <w:color w:val="auto"/>
              </w:rPr>
            </w:pPr>
            <w:r>
              <w:rPr>
                <w:rFonts w:ascii="Arial" w:cs="Arial" w:eastAsia="Arial" w:hAnsi="Arial"/>
                <w:sz w:val="13"/>
                <w:szCs w:val="13"/>
                <w:color w:val="auto"/>
                <w:w w:val="95"/>
              </w:rPr>
              <w:t>18,000</w:t>
            </w:r>
          </w:p>
        </w:tc>
        <w:tc>
          <w:tcPr>
            <w:tcW w:w="1180" w:type="dxa"/>
            <w:vAlign w:val="bottom"/>
          </w:tcPr>
          <w:p>
            <w:pPr>
              <w:jc w:val="center"/>
              <w:spacing w:after="0"/>
              <w:rPr>
                <w:sz w:val="20"/>
                <w:szCs w:val="20"/>
                <w:color w:val="auto"/>
              </w:rPr>
            </w:pPr>
            <w:r>
              <w:rPr>
                <w:rFonts w:ascii="Arial" w:cs="Arial" w:eastAsia="Arial" w:hAnsi="Arial"/>
                <w:sz w:val="13"/>
                <w:szCs w:val="13"/>
                <w:color w:val="auto"/>
                <w:w w:val="90"/>
              </w:rPr>
              <w:t>20,340</w:t>
            </w:r>
          </w:p>
        </w:tc>
        <w:tc>
          <w:tcPr>
            <w:tcW w:w="0" w:type="dxa"/>
            <w:vAlign w:val="bottom"/>
          </w:tcPr>
          <w:p>
            <w:pPr>
              <w:spacing w:after="0"/>
              <w:rPr>
                <w:sz w:val="1"/>
                <w:szCs w:val="1"/>
                <w:color w:val="auto"/>
              </w:rPr>
            </w:pPr>
          </w:p>
        </w:tc>
      </w:tr>
      <w:tr>
        <w:trPr>
          <w:trHeight w:val="190"/>
        </w:trPr>
        <w:tc>
          <w:tcPr>
            <w:tcW w:w="1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3"/>
                <w:szCs w:val="13"/>
                <w:color w:val="auto"/>
                <w:w w:val="96"/>
              </w:rPr>
              <w:t>9/20/2021</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9/20/2021</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234,375</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15,626</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4.17</w:t>
            </w:r>
          </w:p>
        </w:tc>
        <w:tc>
          <w:tcPr>
            <w:tcW w:w="2440" w:type="dxa"/>
            <w:vAlign w:val="bottom"/>
            <w:tcBorders>
              <w:bottom w:val="single" w:sz="8" w:color="auto"/>
            </w:tcBorders>
            <w:shd w:val="clear" w:color="auto" w:fill="CCEEFF"/>
          </w:tcPr>
          <w:p>
            <w:pPr>
              <w:jc w:val="center"/>
              <w:ind w:right="1053"/>
              <w:spacing w:after="0"/>
              <w:rPr>
                <w:sz w:val="20"/>
                <w:szCs w:val="20"/>
                <w:color w:val="auto"/>
              </w:rPr>
            </w:pPr>
            <w:r>
              <w:rPr>
                <w:rFonts w:ascii="Arial" w:cs="Arial" w:eastAsia="Arial" w:hAnsi="Arial"/>
                <w:sz w:val="13"/>
                <w:szCs w:val="13"/>
                <w:color w:val="auto"/>
                <w:w w:val="96"/>
              </w:rPr>
              <w:t>3/31/2023</w:t>
            </w:r>
          </w:p>
        </w:tc>
        <w:tc>
          <w:tcPr>
            <w:tcW w:w="1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60" w:type="dxa"/>
            <w:vAlign w:val="bottom"/>
          </w:tcPr>
          <w:p>
            <w:pPr>
              <w:ind w:left="20"/>
              <w:spacing w:after="0" w:line="138" w:lineRule="exact"/>
              <w:rPr>
                <w:sz w:val="20"/>
                <w:szCs w:val="20"/>
                <w:color w:val="auto"/>
              </w:rPr>
            </w:pPr>
            <w:r>
              <w:rPr>
                <w:rFonts w:ascii="Arial" w:cs="Arial" w:eastAsia="Arial" w:hAnsi="Arial"/>
                <w:sz w:val="13"/>
                <w:szCs w:val="13"/>
                <w:color w:val="auto"/>
              </w:rPr>
              <w:t>Peter G. Traber,</w:t>
            </w:r>
          </w:p>
        </w:tc>
        <w:tc>
          <w:tcPr>
            <w:tcW w:w="1120" w:type="dxa"/>
            <w:vAlign w:val="bottom"/>
            <w:vMerge w:val="restart"/>
          </w:tcPr>
          <w:p>
            <w:pPr>
              <w:jc w:val="center"/>
              <w:ind w:right="93"/>
              <w:spacing w:after="0"/>
              <w:rPr>
                <w:sz w:val="20"/>
                <w:szCs w:val="20"/>
                <w:color w:val="auto"/>
              </w:rPr>
            </w:pPr>
            <w:r>
              <w:rPr>
                <w:rFonts w:ascii="Arial" w:cs="Arial" w:eastAsia="Arial" w:hAnsi="Arial"/>
                <w:sz w:val="13"/>
                <w:szCs w:val="13"/>
                <w:color w:val="auto"/>
                <w:w w:val="94"/>
              </w:rPr>
              <w:t>1/3/2022</w:t>
            </w: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w w:val="94"/>
              </w:rPr>
              <w:t>1/3/2022</w:t>
            </w:r>
          </w:p>
        </w:tc>
        <w:tc>
          <w:tcPr>
            <w:tcW w:w="12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320" w:type="dxa"/>
            <w:vAlign w:val="bottom"/>
            <w:vMerge w:val="restart"/>
          </w:tcPr>
          <w:p>
            <w:pPr>
              <w:jc w:val="center"/>
              <w:spacing w:after="0"/>
              <w:rPr>
                <w:sz w:val="20"/>
                <w:szCs w:val="20"/>
                <w:color w:val="auto"/>
              </w:rPr>
            </w:pPr>
            <w:r>
              <w:rPr>
                <w:rFonts w:ascii="Arial" w:cs="Arial" w:eastAsia="Arial" w:hAnsi="Arial"/>
                <w:sz w:val="13"/>
                <w:szCs w:val="13"/>
                <w:color w:val="auto"/>
                <w:w w:val="89"/>
              </w:rPr>
              <w:t>415,900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86"/>
              </w:rPr>
              <w:t>3.31</w:t>
            </w:r>
          </w:p>
        </w:tc>
        <w:tc>
          <w:tcPr>
            <w:tcW w:w="2440" w:type="dxa"/>
            <w:vAlign w:val="bottom"/>
            <w:vMerge w:val="restart"/>
          </w:tcPr>
          <w:p>
            <w:pPr>
              <w:jc w:val="center"/>
              <w:ind w:right="1053"/>
              <w:spacing w:after="0"/>
              <w:rPr>
                <w:sz w:val="20"/>
                <w:szCs w:val="20"/>
                <w:color w:val="auto"/>
              </w:rPr>
            </w:pPr>
            <w:r>
              <w:rPr>
                <w:rFonts w:ascii="Arial" w:cs="Arial" w:eastAsia="Arial" w:hAnsi="Arial"/>
                <w:sz w:val="13"/>
                <w:szCs w:val="13"/>
                <w:color w:val="auto"/>
                <w:w w:val="94"/>
              </w:rPr>
              <w:t>1/2/2032</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160" w:type="dxa"/>
            <w:vAlign w:val="bottom"/>
          </w:tcPr>
          <w:p>
            <w:pPr>
              <w:ind w:left="20"/>
              <w:spacing w:after="0"/>
              <w:rPr>
                <w:sz w:val="20"/>
                <w:szCs w:val="20"/>
                <w:color w:val="auto"/>
              </w:rPr>
            </w:pPr>
            <w:r>
              <w:rPr>
                <w:rFonts w:ascii="Arial" w:cs="Arial" w:eastAsia="Arial" w:hAnsi="Arial"/>
                <w:sz w:val="13"/>
                <w:szCs w:val="13"/>
                <w:color w:val="auto"/>
              </w:rPr>
              <w:t>M.D.</w:t>
            </w: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1/3/2022</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1/3/2022</w:t>
            </w:r>
          </w:p>
        </w:tc>
        <w:tc>
          <w:tcPr>
            <w:tcW w:w="1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ind w:left="1233"/>
              <w:spacing w:after="0"/>
              <w:rPr>
                <w:sz w:val="20"/>
                <w:szCs w:val="20"/>
                <w:color w:val="auto"/>
              </w:rPr>
            </w:pPr>
            <w:r>
              <w:rPr>
                <w:rFonts w:ascii="Arial" w:cs="Arial" w:eastAsia="Arial" w:hAnsi="Arial"/>
                <w:sz w:val="13"/>
                <w:szCs w:val="13"/>
                <w:color w:val="auto"/>
                <w:w w:val="95"/>
              </w:rPr>
              <w:t>90,200</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101,926</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6"/>
              </w:rPr>
              <w:t>9/24/2021</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9/24/2021</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17,000</w:t>
            </w:r>
          </w:p>
        </w:tc>
        <w:tc>
          <w:tcPr>
            <w:tcW w:w="1320" w:type="dxa"/>
            <w:vAlign w:val="bottom"/>
          </w:tcPr>
          <w:p>
            <w:pPr>
              <w:jc w:val="center"/>
              <w:spacing w:after="0"/>
              <w:rPr>
                <w:sz w:val="20"/>
                <w:szCs w:val="20"/>
                <w:color w:val="auto"/>
              </w:rPr>
            </w:pPr>
            <w:r>
              <w:rPr>
                <w:rFonts w:ascii="Arial" w:cs="Arial" w:eastAsia="Arial" w:hAnsi="Arial"/>
                <w:sz w:val="13"/>
                <w:szCs w:val="13"/>
                <w:color w:val="auto"/>
                <w:w w:val="95"/>
              </w:rPr>
              <w:t>37,400</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4.32</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6"/>
              </w:rPr>
              <w:t>9/23/2031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6"/>
              </w:rPr>
              <w:t>9/24/2021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9/24/2021</w:t>
            </w:r>
          </w:p>
        </w:tc>
        <w:tc>
          <w:tcPr>
            <w:tcW w:w="1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ind w:left="1233"/>
              <w:spacing w:after="0"/>
              <w:rPr>
                <w:sz w:val="20"/>
                <w:szCs w:val="20"/>
                <w:color w:val="auto"/>
              </w:rPr>
            </w:pPr>
            <w:r>
              <w:rPr>
                <w:rFonts w:ascii="Arial" w:cs="Arial" w:eastAsia="Arial" w:hAnsi="Arial"/>
                <w:sz w:val="13"/>
                <w:szCs w:val="13"/>
                <w:color w:val="auto"/>
                <w:w w:val="92"/>
              </w:rPr>
              <w:t>6,825</w:t>
            </w:r>
          </w:p>
        </w:tc>
        <w:tc>
          <w:tcPr>
            <w:tcW w:w="118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2"/>
              </w:rPr>
              <w:t>7,712</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1/4/2021</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110,209</w:t>
            </w: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119,791</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2.99</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4"/>
              </w:rPr>
              <w:t>1/3/2031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1/4/2021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40" w:type="dxa"/>
            <w:vAlign w:val="bottom"/>
            <w:shd w:val="clear" w:color="auto" w:fill="CCEEFF"/>
          </w:tcPr>
          <w:p>
            <w:pPr>
              <w:jc w:val="center"/>
              <w:ind w:left="1233"/>
              <w:spacing w:after="0"/>
              <w:rPr>
                <w:sz w:val="20"/>
                <w:szCs w:val="20"/>
                <w:color w:val="auto"/>
              </w:rPr>
            </w:pPr>
            <w:r>
              <w:rPr>
                <w:rFonts w:ascii="Arial" w:cs="Arial" w:eastAsia="Arial" w:hAnsi="Arial"/>
                <w:sz w:val="13"/>
                <w:szCs w:val="13"/>
                <w:color w:val="auto"/>
                <w:w w:val="95"/>
              </w:rPr>
              <w:t>28,500</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32,205</w:t>
            </w:r>
          </w:p>
        </w:tc>
        <w:tc>
          <w:tcPr>
            <w:tcW w:w="0" w:type="dxa"/>
            <w:vAlign w:val="bottom"/>
          </w:tcPr>
          <w:p>
            <w:pPr>
              <w:spacing w:after="0"/>
              <w:rPr>
                <w:sz w:val="1"/>
                <w:szCs w:val="1"/>
                <w:color w:val="auto"/>
              </w:rPr>
            </w:pPr>
          </w:p>
        </w:tc>
      </w:tr>
      <w:tr>
        <w:trPr>
          <w:trHeight w:val="183"/>
        </w:trPr>
        <w:tc>
          <w:tcPr>
            <w:tcW w:w="1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w w:val="94"/>
              </w:rPr>
              <w:t>8/1/2020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8/1/2020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379,172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270,828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2.38</w:t>
            </w:r>
          </w:p>
        </w:tc>
        <w:tc>
          <w:tcPr>
            <w:tcW w:w="2440" w:type="dxa"/>
            <w:vAlign w:val="bottom"/>
            <w:tcBorders>
              <w:bottom w:val="single" w:sz="8" w:color="auto"/>
            </w:tcBorders>
          </w:tcPr>
          <w:p>
            <w:pPr>
              <w:jc w:val="center"/>
              <w:ind w:right="1053"/>
              <w:spacing w:after="0"/>
              <w:rPr>
                <w:sz w:val="20"/>
                <w:szCs w:val="20"/>
                <w:color w:val="auto"/>
              </w:rPr>
            </w:pPr>
            <w:r>
              <w:rPr>
                <w:rFonts w:ascii="Arial" w:cs="Arial" w:eastAsia="Arial" w:hAnsi="Arial"/>
                <w:sz w:val="13"/>
                <w:szCs w:val="13"/>
                <w:color w:val="auto"/>
                <w:w w:val="96"/>
              </w:rPr>
              <w:t>7/31/2030</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Takashi Kei</w:t>
            </w:r>
          </w:p>
        </w:tc>
        <w:tc>
          <w:tcPr>
            <w:tcW w:w="1120" w:type="dxa"/>
            <w:vAlign w:val="bottom"/>
            <w:vMerge w:val="restart"/>
            <w:shd w:val="clear" w:color="auto" w:fill="CCEEFF"/>
          </w:tcPr>
          <w:p>
            <w:pPr>
              <w:jc w:val="center"/>
              <w:ind w:right="93"/>
              <w:spacing w:after="0"/>
              <w:rPr>
                <w:sz w:val="20"/>
                <w:szCs w:val="20"/>
                <w:color w:val="auto"/>
              </w:rPr>
            </w:pPr>
            <w:r>
              <w:rPr>
                <w:rFonts w:ascii="Arial" w:cs="Arial" w:eastAsia="Arial" w:hAnsi="Arial"/>
                <w:sz w:val="13"/>
                <w:szCs w:val="13"/>
                <w:color w:val="auto"/>
                <w:w w:val="94"/>
              </w:rPr>
              <w:t>1/3/2022</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1/3/2022</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340,000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3.31</w:t>
            </w:r>
          </w:p>
        </w:tc>
        <w:tc>
          <w:tcPr>
            <w:tcW w:w="2440" w:type="dxa"/>
            <w:vAlign w:val="bottom"/>
            <w:vMerge w:val="restart"/>
            <w:shd w:val="clear" w:color="auto" w:fill="CCEEFF"/>
          </w:tcPr>
          <w:p>
            <w:pPr>
              <w:jc w:val="center"/>
              <w:ind w:right="1053"/>
              <w:spacing w:after="0"/>
              <w:rPr>
                <w:sz w:val="20"/>
                <w:szCs w:val="20"/>
                <w:color w:val="auto"/>
              </w:rPr>
            </w:pPr>
            <w:r>
              <w:rPr>
                <w:rFonts w:ascii="Arial" w:cs="Arial" w:eastAsia="Arial" w:hAnsi="Arial"/>
                <w:sz w:val="13"/>
                <w:szCs w:val="13"/>
                <w:color w:val="auto"/>
                <w:w w:val="94"/>
              </w:rPr>
              <w:t>1/2/2032</w:t>
            </w: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Kishimoto, Ph.D.</w:t>
            </w:r>
          </w:p>
        </w:tc>
        <w:tc>
          <w:tcPr>
            <w:tcW w:w="112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40" w:type="dxa"/>
            <w:vAlign w:val="bottom"/>
            <w:vMerge w:val="continue"/>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1/3/2022</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1/3/2022</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40" w:type="dxa"/>
            <w:vAlign w:val="bottom"/>
          </w:tcPr>
          <w:p>
            <w:pPr>
              <w:jc w:val="center"/>
              <w:ind w:left="1233"/>
              <w:spacing w:after="0"/>
              <w:rPr>
                <w:sz w:val="20"/>
                <w:szCs w:val="20"/>
                <w:color w:val="auto"/>
              </w:rPr>
            </w:pPr>
            <w:r>
              <w:rPr>
                <w:rFonts w:ascii="Arial" w:cs="Arial" w:eastAsia="Arial" w:hAnsi="Arial"/>
                <w:sz w:val="13"/>
                <w:szCs w:val="13"/>
                <w:color w:val="auto"/>
                <w:w w:val="95"/>
              </w:rPr>
              <w:t>72,000</w:t>
            </w:r>
          </w:p>
        </w:tc>
        <w:tc>
          <w:tcPr>
            <w:tcW w:w="1180" w:type="dxa"/>
            <w:vAlign w:val="bottom"/>
          </w:tcPr>
          <w:p>
            <w:pPr>
              <w:jc w:val="center"/>
              <w:spacing w:after="0"/>
              <w:rPr>
                <w:sz w:val="20"/>
                <w:szCs w:val="20"/>
                <w:color w:val="auto"/>
              </w:rPr>
            </w:pPr>
            <w:r>
              <w:rPr>
                <w:rFonts w:ascii="Arial" w:cs="Arial" w:eastAsia="Arial" w:hAnsi="Arial"/>
                <w:sz w:val="13"/>
                <w:szCs w:val="13"/>
                <w:color w:val="auto"/>
                <w:w w:val="90"/>
              </w:rPr>
              <w:t>81,360</w:t>
            </w: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1/4/2021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110,208</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119,792</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2.99</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4"/>
              </w:rPr>
              <w:t>1/3/2031</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1/4/2021</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40" w:type="dxa"/>
            <w:vAlign w:val="bottom"/>
          </w:tcPr>
          <w:p>
            <w:pPr>
              <w:jc w:val="center"/>
              <w:ind w:left="1233"/>
              <w:spacing w:after="0"/>
              <w:rPr>
                <w:sz w:val="20"/>
                <w:szCs w:val="20"/>
                <w:color w:val="auto"/>
              </w:rPr>
            </w:pPr>
            <w:r>
              <w:rPr>
                <w:rFonts w:ascii="Arial" w:cs="Arial" w:eastAsia="Arial" w:hAnsi="Arial"/>
                <w:sz w:val="13"/>
                <w:szCs w:val="13"/>
                <w:color w:val="auto"/>
                <w:w w:val="95"/>
              </w:rPr>
              <w:t>28,500</w:t>
            </w:r>
          </w:p>
        </w:tc>
        <w:tc>
          <w:tcPr>
            <w:tcW w:w="1180" w:type="dxa"/>
            <w:vAlign w:val="bottom"/>
          </w:tcPr>
          <w:p>
            <w:pPr>
              <w:jc w:val="center"/>
              <w:spacing w:after="0"/>
              <w:rPr>
                <w:sz w:val="20"/>
                <w:szCs w:val="20"/>
                <w:color w:val="auto"/>
              </w:rPr>
            </w:pPr>
            <w:r>
              <w:rPr>
                <w:rFonts w:ascii="Arial" w:cs="Arial" w:eastAsia="Arial" w:hAnsi="Arial"/>
                <w:sz w:val="13"/>
                <w:szCs w:val="13"/>
                <w:color w:val="auto"/>
                <w:w w:val="90"/>
              </w:rPr>
              <w:t>32,205</w:t>
            </w: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1/2/2020</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1/2/2020</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102,083</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37,917</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2.30</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4"/>
              </w:rPr>
              <w:t>1/1/2030</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6"/>
              </w:rPr>
              <w:t>10/7/2019</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10/7/2019</w:t>
            </w: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180,000</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1.75</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6"/>
              </w:rPr>
              <w:t>10/6/2029</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1/7/2019</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1/7/2019</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97,916</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2,084</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2.60</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4"/>
              </w:rPr>
              <w:t>1/6/2029</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6"/>
              </w:rPr>
              <w:t>6/15/2018</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6/15/2018</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50,000</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2"/>
              </w:rPr>
              <w:t>12.75</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6"/>
              </w:rPr>
              <w:t>6/14/2028</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7/7/2017</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6/16/2017</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19.33</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4"/>
              </w:rPr>
              <w:t>7/6/2027</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6"/>
              </w:rPr>
              <w:t>6/21/2016</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6/21/2016</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24,512</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2"/>
              </w:rPr>
              <w:t>14.00</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6"/>
              </w:rPr>
              <w:t>6/20/2026</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3/9/2016</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2/1/2016</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20,511</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7.02</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4"/>
              </w:rPr>
              <w:t>3/8/2026</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6"/>
              </w:rPr>
              <w:t>2/21/2015</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1/1/2015</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12,819</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9.36</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6"/>
              </w:rPr>
              <w:t>2/20/2025</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4/8/2014</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1/1/2014</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12,820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8.97</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4"/>
              </w:rPr>
              <w:t>4/7/2024</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w w:val="96"/>
              </w:rPr>
              <w:t>6/14/2013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1/1/2013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6,410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2.77</w:t>
            </w:r>
          </w:p>
        </w:tc>
        <w:tc>
          <w:tcPr>
            <w:tcW w:w="2440" w:type="dxa"/>
            <w:vAlign w:val="bottom"/>
            <w:tcBorders>
              <w:bottom w:val="single" w:sz="8" w:color="auto"/>
            </w:tcBorders>
          </w:tcPr>
          <w:p>
            <w:pPr>
              <w:jc w:val="center"/>
              <w:ind w:right="1053"/>
              <w:spacing w:after="0"/>
              <w:rPr>
                <w:sz w:val="20"/>
                <w:szCs w:val="20"/>
                <w:color w:val="auto"/>
              </w:rPr>
            </w:pPr>
            <w:r>
              <w:rPr>
                <w:rFonts w:ascii="Arial" w:cs="Arial" w:eastAsia="Arial" w:hAnsi="Arial"/>
                <w:sz w:val="13"/>
                <w:szCs w:val="13"/>
                <w:color w:val="auto"/>
                <w:w w:val="96"/>
              </w:rPr>
              <w:t>6/13/2023</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Lloyd Johnston,</w:t>
            </w:r>
          </w:p>
        </w:tc>
        <w:tc>
          <w:tcPr>
            <w:tcW w:w="1120" w:type="dxa"/>
            <w:vAlign w:val="bottom"/>
            <w:vMerge w:val="restart"/>
            <w:shd w:val="clear" w:color="auto" w:fill="CCEEFF"/>
          </w:tcPr>
          <w:p>
            <w:pPr>
              <w:jc w:val="center"/>
              <w:ind w:right="93"/>
              <w:spacing w:after="0"/>
              <w:rPr>
                <w:sz w:val="20"/>
                <w:szCs w:val="20"/>
                <w:color w:val="auto"/>
              </w:rPr>
            </w:pPr>
            <w:r>
              <w:rPr>
                <w:rFonts w:ascii="Arial" w:cs="Arial" w:eastAsia="Arial" w:hAnsi="Arial"/>
                <w:sz w:val="13"/>
                <w:szCs w:val="13"/>
                <w:color w:val="auto"/>
                <w:w w:val="94"/>
              </w:rPr>
              <w:t>1/3/2022</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1/3/2022</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340,000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3.31</w:t>
            </w:r>
          </w:p>
        </w:tc>
        <w:tc>
          <w:tcPr>
            <w:tcW w:w="2440" w:type="dxa"/>
            <w:vAlign w:val="bottom"/>
            <w:vMerge w:val="restart"/>
            <w:shd w:val="clear" w:color="auto" w:fill="CCEEFF"/>
          </w:tcPr>
          <w:p>
            <w:pPr>
              <w:jc w:val="center"/>
              <w:ind w:right="1053"/>
              <w:spacing w:after="0"/>
              <w:rPr>
                <w:sz w:val="20"/>
                <w:szCs w:val="20"/>
                <w:color w:val="auto"/>
              </w:rPr>
            </w:pPr>
            <w:r>
              <w:rPr>
                <w:rFonts w:ascii="Arial" w:cs="Arial" w:eastAsia="Arial" w:hAnsi="Arial"/>
                <w:sz w:val="13"/>
                <w:szCs w:val="13"/>
                <w:color w:val="auto"/>
                <w:w w:val="94"/>
              </w:rPr>
              <w:t>1/2/2032</w:t>
            </w: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Ph.D.</w:t>
            </w:r>
          </w:p>
        </w:tc>
        <w:tc>
          <w:tcPr>
            <w:tcW w:w="112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40" w:type="dxa"/>
            <w:vAlign w:val="bottom"/>
            <w:vMerge w:val="continue"/>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1/3/2022</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1/3/2022</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40" w:type="dxa"/>
            <w:vAlign w:val="bottom"/>
          </w:tcPr>
          <w:p>
            <w:pPr>
              <w:jc w:val="center"/>
              <w:ind w:left="1233"/>
              <w:spacing w:after="0"/>
              <w:rPr>
                <w:sz w:val="20"/>
                <w:szCs w:val="20"/>
                <w:color w:val="auto"/>
              </w:rPr>
            </w:pPr>
            <w:r>
              <w:rPr>
                <w:rFonts w:ascii="Arial" w:cs="Arial" w:eastAsia="Arial" w:hAnsi="Arial"/>
                <w:sz w:val="13"/>
                <w:szCs w:val="13"/>
                <w:color w:val="auto"/>
                <w:w w:val="95"/>
              </w:rPr>
              <w:t>72,000</w:t>
            </w:r>
          </w:p>
        </w:tc>
        <w:tc>
          <w:tcPr>
            <w:tcW w:w="1180" w:type="dxa"/>
            <w:vAlign w:val="bottom"/>
          </w:tcPr>
          <w:p>
            <w:pPr>
              <w:jc w:val="center"/>
              <w:spacing w:after="0"/>
              <w:rPr>
                <w:sz w:val="20"/>
                <w:szCs w:val="20"/>
                <w:color w:val="auto"/>
              </w:rPr>
            </w:pPr>
            <w:r>
              <w:rPr>
                <w:rFonts w:ascii="Arial" w:cs="Arial" w:eastAsia="Arial" w:hAnsi="Arial"/>
                <w:sz w:val="13"/>
                <w:szCs w:val="13"/>
                <w:color w:val="auto"/>
                <w:w w:val="90"/>
              </w:rPr>
              <w:t>81,360</w:t>
            </w: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1/4/2021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1/4/2021</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110,208</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119,792</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2.99</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4"/>
              </w:rPr>
              <w:t>1/3/2031</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1/4/2021</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1/4/2021</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40" w:type="dxa"/>
            <w:vAlign w:val="bottom"/>
          </w:tcPr>
          <w:p>
            <w:pPr>
              <w:jc w:val="center"/>
              <w:ind w:left="1233"/>
              <w:spacing w:after="0"/>
              <w:rPr>
                <w:sz w:val="20"/>
                <w:szCs w:val="20"/>
                <w:color w:val="auto"/>
              </w:rPr>
            </w:pPr>
            <w:r>
              <w:rPr>
                <w:rFonts w:ascii="Arial" w:cs="Arial" w:eastAsia="Arial" w:hAnsi="Arial"/>
                <w:sz w:val="13"/>
                <w:szCs w:val="13"/>
                <w:color w:val="auto"/>
                <w:w w:val="95"/>
              </w:rPr>
              <w:t>28,500</w:t>
            </w:r>
          </w:p>
        </w:tc>
        <w:tc>
          <w:tcPr>
            <w:tcW w:w="1180" w:type="dxa"/>
            <w:vAlign w:val="bottom"/>
          </w:tcPr>
          <w:p>
            <w:pPr>
              <w:jc w:val="center"/>
              <w:spacing w:after="0"/>
              <w:rPr>
                <w:sz w:val="20"/>
                <w:szCs w:val="20"/>
                <w:color w:val="auto"/>
              </w:rPr>
            </w:pPr>
            <w:r>
              <w:rPr>
                <w:rFonts w:ascii="Arial" w:cs="Arial" w:eastAsia="Arial" w:hAnsi="Arial"/>
                <w:sz w:val="13"/>
                <w:szCs w:val="13"/>
                <w:color w:val="auto"/>
                <w:w w:val="90"/>
              </w:rPr>
              <w:t>32,205</w:t>
            </w: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4"/>
              </w:rPr>
              <w:t>7/1/2020</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24,166</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15,834</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2.84</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6"/>
              </w:rPr>
              <w:t>6/30/2030</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1/2/2020</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102,083</w:t>
            </w:r>
          </w:p>
        </w:tc>
        <w:tc>
          <w:tcPr>
            <w:tcW w:w="1320" w:type="dxa"/>
            <w:vAlign w:val="bottom"/>
          </w:tcPr>
          <w:p>
            <w:pPr>
              <w:jc w:val="center"/>
              <w:spacing w:after="0"/>
              <w:rPr>
                <w:sz w:val="20"/>
                <w:szCs w:val="20"/>
                <w:color w:val="auto"/>
              </w:rPr>
            </w:pPr>
            <w:r>
              <w:rPr>
                <w:rFonts w:ascii="Arial" w:cs="Arial" w:eastAsia="Arial" w:hAnsi="Arial"/>
                <w:sz w:val="13"/>
                <w:szCs w:val="13"/>
                <w:color w:val="auto"/>
                <w:w w:val="95"/>
              </w:rPr>
              <w:t>37,917</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2.30</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4"/>
              </w:rPr>
              <w:t>1/1/2030</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6"/>
              </w:rPr>
              <w:t>10/7/2019</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10/7/2019</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180,000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1.75</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6"/>
              </w:rPr>
              <w:t>10/6/2029</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1/7/2019</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1/7/2019</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97,916</w:t>
            </w:r>
          </w:p>
        </w:tc>
        <w:tc>
          <w:tcPr>
            <w:tcW w:w="1320" w:type="dxa"/>
            <w:vAlign w:val="bottom"/>
          </w:tcPr>
          <w:p>
            <w:pPr>
              <w:jc w:val="center"/>
              <w:spacing w:after="0"/>
              <w:rPr>
                <w:sz w:val="20"/>
                <w:szCs w:val="20"/>
                <w:color w:val="auto"/>
              </w:rPr>
            </w:pPr>
            <w:r>
              <w:rPr>
                <w:rFonts w:ascii="Arial" w:cs="Arial" w:eastAsia="Arial" w:hAnsi="Arial"/>
                <w:sz w:val="13"/>
                <w:szCs w:val="13"/>
                <w:color w:val="auto"/>
                <w:w w:val="92"/>
              </w:rPr>
              <w:t>2,084</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2.60</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4"/>
              </w:rPr>
              <w:t>1/6/2029</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6"/>
              </w:rPr>
              <w:t>6/15/2018</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6/15/2018</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12.75</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6"/>
              </w:rPr>
              <w:t>6/14/2028</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7/7/2017</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6/16/2017</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45,000</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92"/>
              </w:rPr>
              <w:t>19.33</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4"/>
              </w:rPr>
              <w:t>7/6/2027</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6"/>
              </w:rPr>
              <w:t>6/21/2016</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6/21/2016</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27,617</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14.00</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6"/>
              </w:rPr>
              <w:t>6/20/2026</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3/9/2016</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2/1/2016</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20,511</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7.02</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4"/>
              </w:rPr>
              <w:t>3/8/2026</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6"/>
              </w:rPr>
              <w:t>2/21/2015</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1/1/2015</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11,537</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9.36</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6"/>
              </w:rPr>
              <w:t>2/20/2025</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120" w:type="dxa"/>
            <w:vAlign w:val="bottom"/>
          </w:tcPr>
          <w:p>
            <w:pPr>
              <w:jc w:val="center"/>
              <w:ind w:right="93"/>
              <w:spacing w:after="0"/>
              <w:rPr>
                <w:sz w:val="20"/>
                <w:szCs w:val="20"/>
                <w:color w:val="auto"/>
              </w:rPr>
            </w:pPr>
            <w:r>
              <w:rPr>
                <w:rFonts w:ascii="Arial" w:cs="Arial" w:eastAsia="Arial" w:hAnsi="Arial"/>
                <w:sz w:val="13"/>
                <w:szCs w:val="13"/>
                <w:color w:val="auto"/>
                <w:w w:val="94"/>
              </w:rPr>
              <w:t>4/8/2014</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1/1/2014</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7,692</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8.97</w:t>
            </w:r>
          </w:p>
        </w:tc>
        <w:tc>
          <w:tcPr>
            <w:tcW w:w="2440" w:type="dxa"/>
            <w:vAlign w:val="bottom"/>
          </w:tcPr>
          <w:p>
            <w:pPr>
              <w:jc w:val="center"/>
              <w:ind w:right="1053"/>
              <w:spacing w:after="0"/>
              <w:rPr>
                <w:sz w:val="20"/>
                <w:szCs w:val="20"/>
                <w:color w:val="auto"/>
              </w:rPr>
            </w:pPr>
            <w:r>
              <w:rPr>
                <w:rFonts w:ascii="Arial" w:cs="Arial" w:eastAsia="Arial" w:hAnsi="Arial"/>
                <w:sz w:val="13"/>
                <w:szCs w:val="13"/>
                <w:color w:val="auto"/>
                <w:w w:val="94"/>
              </w:rPr>
              <w:t>4/7/2024</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3"/>
              <w:spacing w:after="0"/>
              <w:rPr>
                <w:sz w:val="20"/>
                <w:szCs w:val="20"/>
                <w:color w:val="auto"/>
              </w:rPr>
            </w:pPr>
            <w:r>
              <w:rPr>
                <w:rFonts w:ascii="Arial" w:cs="Arial" w:eastAsia="Arial" w:hAnsi="Arial"/>
                <w:sz w:val="13"/>
                <w:szCs w:val="13"/>
                <w:color w:val="auto"/>
                <w:w w:val="96"/>
              </w:rPr>
              <w:t>6/14/2013</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1/1/2013</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126</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2.77</w:t>
            </w:r>
          </w:p>
        </w:tc>
        <w:tc>
          <w:tcPr>
            <w:tcW w:w="2440" w:type="dxa"/>
            <w:vAlign w:val="bottom"/>
            <w:shd w:val="clear" w:color="auto" w:fill="CCEEFF"/>
          </w:tcPr>
          <w:p>
            <w:pPr>
              <w:jc w:val="center"/>
              <w:ind w:right="1053"/>
              <w:spacing w:after="0"/>
              <w:rPr>
                <w:sz w:val="20"/>
                <w:szCs w:val="20"/>
                <w:color w:val="auto"/>
              </w:rPr>
            </w:pPr>
            <w:r>
              <w:rPr>
                <w:rFonts w:ascii="Arial" w:cs="Arial" w:eastAsia="Arial" w:hAnsi="Arial"/>
                <w:sz w:val="13"/>
                <w:szCs w:val="13"/>
                <w:color w:val="auto"/>
                <w:w w:val="96"/>
              </w:rPr>
              <w:t>6/13/2023</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500" w:hanging="332"/>
        <w:spacing w:after="0" w:line="277"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62" w:lineRule="exact"/>
        <w:rPr>
          <w:rFonts w:ascii="Arial" w:cs="Arial" w:eastAsia="Arial" w:hAnsi="Arial"/>
          <w:sz w:val="18"/>
          <w:szCs w:val="18"/>
          <w:color w:val="auto"/>
        </w:rPr>
      </w:pPr>
    </w:p>
    <w:p>
      <w:pPr>
        <w:ind w:left="340" w:hanging="332"/>
        <w:spacing w:after="0" w:line="275" w:lineRule="auto"/>
        <w:tabs>
          <w:tab w:leader="none" w:pos="334"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vested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w:t>
      </w:r>
    </w:p>
    <w:p>
      <w:pPr>
        <w:spacing w:after="0" w:line="68" w:lineRule="exact"/>
        <w:rPr>
          <w:rFonts w:ascii="Arial" w:cs="Arial" w:eastAsia="Arial" w:hAnsi="Arial"/>
          <w:sz w:val="17"/>
          <w:szCs w:val="17"/>
          <w:color w:val="auto"/>
        </w:rPr>
      </w:pPr>
    </w:p>
    <w:p>
      <w:pPr>
        <w:ind w:left="340" w:right="520" w:hanging="332"/>
        <w:spacing w:after="0" w:line="277"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restricted stock units vest in four equal annual installments beginning on the first anniversary of the vesting commencement date, subject to employees continued employment with us through the applicable vesting date.</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the closing price of our Common Stock of $1.13 on December 30, 2022, the last trading day of the fiscal year ended December 31, 2022.</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Davis was appointed Chief Financial Officer on November 28, 2022.</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Tan ceased service as Chief Financial Officer effective as of November 28, 2022; as of March 31, 2023 his awards have all expired, following their continued vesting through January 4,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7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6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2" w:lineRule="exact"/>
        <w:rPr>
          <w:sz w:val="20"/>
          <w:szCs w:val="20"/>
          <w:color w:val="auto"/>
        </w:rPr>
      </w:pPr>
    </w:p>
    <w:p>
      <w:pPr>
        <w:ind w:right="40" w:firstLine="8"/>
        <w:spacing w:after="0" w:line="288"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breach of any material provision of the employment agreement or any other written agreement with our Company; or (vi) for Mr. Davis and Dr. Traber,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 (i) a material reduction in his or her base salary or bonus opportunity; (ii) a material diminution in his or her authority, title, duties or areas of responsibility; (iii) the requirement that he or she report to someone other than the Board with respect to our Chief Executive Officer or the Chief Executive Officer with respect to our other Named Executive Officers; (iv) the relocation of his or her primary office to a location more than 40 miles from the Boston metropolitan area; or (v) a material breach by us of the employment agreement or any other written agreement with the Named Executive Officer.</w:t>
      </w:r>
    </w:p>
    <w:p>
      <w:pPr>
        <w:spacing w:after="0" w:line="6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12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the Company must annually disclose in its proxy statement the relationship between Company performance and the “compensation actually paid” to the Principal Executive Officer (“PEO”) and its non-PEO Named Executive Officers (collectively, the “Non-PEO NEOs”).</w:t>
      </w:r>
    </w:p>
    <w:p>
      <w:pPr>
        <w:spacing w:after="0" w:line="7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sets forth additional compensation information of our PEO and our Non-PEO NEOs along with our total shareholder return and our net income (loss) for the fiscal years ended December 31, 2021 and 2022.</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Summary Compensation</w:t>
            </w:r>
          </w:p>
        </w:tc>
        <w:tc>
          <w:tcPr>
            <w:tcW w:w="100" w:type="dxa"/>
            <w:vAlign w:val="bottom"/>
          </w:tcPr>
          <w:p>
            <w:pPr>
              <w:spacing w:after="0"/>
              <w:rPr>
                <w:sz w:val="14"/>
                <w:szCs w:val="14"/>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Compensation Actually</w:t>
            </w:r>
          </w:p>
        </w:tc>
        <w:tc>
          <w:tcPr>
            <w:tcW w:w="12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Average Summary</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Average Compensation</w:t>
            </w: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 of Initial Fixed $100</w:t>
            </w:r>
          </w:p>
        </w:tc>
        <w:tc>
          <w:tcPr>
            <w:tcW w:w="120" w:type="dxa"/>
            <w:vAlign w:val="bottom"/>
          </w:tcPr>
          <w:p>
            <w:pPr>
              <w:spacing w:after="0"/>
              <w:rPr>
                <w:sz w:val="14"/>
                <w:szCs w:val="14"/>
                <w:color w:val="auto"/>
              </w:rPr>
            </w:pPr>
          </w:p>
        </w:tc>
        <w:tc>
          <w:tcPr>
            <w:tcW w:w="1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0"/>
              </w:rPr>
              <w:t>Net Income (Loss)</w:t>
            </w:r>
            <w:r>
              <w:rPr>
                <w:rFonts w:ascii="Arial" w:cs="Arial" w:eastAsia="Arial" w:hAnsi="Arial"/>
                <w:sz w:val="18"/>
                <w:szCs w:val="18"/>
                <w:b w:val="1"/>
                <w:bCs w:val="1"/>
                <w:color w:val="auto"/>
                <w:w w:val="90"/>
                <w:vertAlign w:val="superscript"/>
              </w:rPr>
              <w:t>(4)</w:t>
            </w:r>
            <w:r>
              <w:rPr>
                <w:rFonts w:ascii="Arial" w:cs="Arial" w:eastAsia="Arial" w:hAnsi="Arial"/>
                <w:sz w:val="14"/>
                <w:szCs w:val="14"/>
                <w:b w:val="1"/>
                <w:bCs w:val="1"/>
                <w:color w:val="auto"/>
                <w:w w:val="90"/>
              </w:rPr>
              <w:t xml:space="preserve"> ($</w:t>
            </w:r>
          </w:p>
        </w:tc>
        <w:tc>
          <w:tcPr>
            <w:tcW w:w="0" w:type="dxa"/>
            <w:vAlign w:val="bottom"/>
          </w:tcPr>
          <w:p>
            <w:pPr>
              <w:spacing w:after="0"/>
              <w:rPr>
                <w:sz w:val="1"/>
                <w:szCs w:val="1"/>
                <w:color w:val="auto"/>
              </w:rPr>
            </w:pPr>
          </w:p>
        </w:tc>
      </w:tr>
      <w:tr>
        <w:trPr>
          <w:trHeight w:val="144"/>
        </w:trPr>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Compensation Table Total</w:t>
            </w:r>
          </w:p>
        </w:tc>
        <w:tc>
          <w:tcPr>
            <w:tcW w:w="17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Actually Paid to Non-PEO</w:t>
            </w:r>
          </w:p>
        </w:tc>
        <w:tc>
          <w:tcPr>
            <w:tcW w:w="176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6"/>
              </w:rPr>
              <w:t>Investment Based on Total</w:t>
            </w: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20"/>
              <w:spacing w:after="0" w:line="194" w:lineRule="exact"/>
              <w:rPr>
                <w:sz w:val="20"/>
                <w:szCs w:val="20"/>
                <w:color w:val="auto"/>
              </w:rPr>
            </w:pPr>
            <w:r>
              <w:rPr>
                <w:rFonts w:ascii="Arial" w:cs="Arial" w:eastAsia="Arial" w:hAnsi="Arial"/>
                <w:sz w:val="14"/>
                <w:szCs w:val="14"/>
                <w:b w:val="1"/>
                <w:bCs w:val="1"/>
                <w:color w:val="auto"/>
                <w:w w:val="92"/>
              </w:rPr>
              <w:t>Table Total for PEO</w:t>
            </w:r>
            <w:r>
              <w:rPr>
                <w:rFonts w:ascii="Arial" w:cs="Arial" w:eastAsia="Arial" w:hAnsi="Arial"/>
                <w:sz w:val="18"/>
                <w:szCs w:val="18"/>
                <w:b w:val="1"/>
                <w:bCs w:val="1"/>
                <w:color w:val="auto"/>
                <w:w w:val="92"/>
                <w:vertAlign w:val="superscript"/>
              </w:rPr>
              <w:t>(1)</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line="194" w:lineRule="exact"/>
              <w:rPr>
                <w:sz w:val="20"/>
                <w:szCs w:val="20"/>
                <w:color w:val="auto"/>
              </w:rPr>
            </w:pPr>
            <w:r>
              <w:rPr>
                <w:rFonts w:ascii="Arial" w:cs="Arial" w:eastAsia="Arial" w:hAnsi="Arial"/>
                <w:sz w:val="14"/>
                <w:szCs w:val="14"/>
                <w:b w:val="1"/>
                <w:bCs w:val="1"/>
                <w:color w:val="auto"/>
                <w:w w:val="92"/>
              </w:rPr>
              <w:t>Paid to PEO</w:t>
            </w:r>
            <w:r>
              <w:rPr>
                <w:rFonts w:ascii="Arial" w:cs="Arial" w:eastAsia="Arial" w:hAnsi="Arial"/>
                <w:sz w:val="18"/>
                <w:szCs w:val="18"/>
                <w:b w:val="1"/>
                <w:bCs w:val="1"/>
                <w:color w:val="auto"/>
                <w:w w:val="92"/>
                <w:vertAlign w:val="superscript"/>
              </w:rPr>
              <w:t>(2)</w:t>
            </w:r>
          </w:p>
        </w:tc>
        <w:tc>
          <w:tcPr>
            <w:tcW w:w="1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for Non-PEO NEOs</w:t>
            </w:r>
            <w:r>
              <w:rPr>
                <w:rFonts w:ascii="Arial" w:cs="Arial" w:eastAsia="Arial" w:hAnsi="Arial"/>
                <w:sz w:val="9"/>
                <w:szCs w:val="9"/>
                <w:b w:val="1"/>
                <w:bCs w:val="1"/>
                <w:color w:val="auto"/>
                <w:w w:val="96"/>
              </w:rPr>
              <w:t>(1)</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NEOs</w:t>
            </w:r>
            <w:r>
              <w:rPr>
                <w:rFonts w:ascii="Arial" w:cs="Arial" w:eastAsia="Arial" w:hAnsi="Arial"/>
                <w:sz w:val="9"/>
                <w:szCs w:val="9"/>
                <w:b w:val="1"/>
                <w:bCs w:val="1"/>
                <w:color w:val="auto"/>
                <w:w w:val="97"/>
              </w:rPr>
              <w:t>(2)</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Shareholder Return</w:t>
            </w:r>
            <w:r>
              <w:rPr>
                <w:rFonts w:ascii="Arial" w:cs="Arial" w:eastAsia="Arial" w:hAnsi="Arial"/>
                <w:sz w:val="9"/>
                <w:szCs w:val="9"/>
                <w:b w:val="1"/>
                <w:bCs w:val="1"/>
                <w:color w:val="auto"/>
                <w:w w:val="94"/>
              </w:rPr>
              <w:t>(3)</w:t>
            </w:r>
          </w:p>
        </w:tc>
        <w:tc>
          <w:tcPr>
            <w:tcW w:w="120" w:type="dxa"/>
            <w:vAlign w:val="bottom"/>
          </w:tcPr>
          <w:p>
            <w:pPr>
              <w:spacing w:after="0"/>
              <w:rPr>
                <w:sz w:val="16"/>
                <w:szCs w:val="16"/>
                <w:color w:val="auto"/>
              </w:rPr>
            </w:pPr>
          </w:p>
        </w:tc>
        <w:tc>
          <w:tcPr>
            <w:tcW w:w="152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86"/>
        </w:trPr>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(f)</w:t>
            </w:r>
          </w:p>
        </w:tc>
        <w:tc>
          <w:tcPr>
            <w:tcW w:w="120" w:type="dxa"/>
            <w:vAlign w:val="bottom"/>
          </w:tcPr>
          <w:p>
            <w:pPr>
              <w:spacing w:after="0"/>
              <w:rPr>
                <w:sz w:val="16"/>
                <w:szCs w:val="16"/>
                <w:color w:val="auto"/>
              </w:rPr>
            </w:pPr>
          </w:p>
        </w:tc>
        <w:tc>
          <w:tcPr>
            <w:tcW w:w="15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(g)</w:t>
            </w:r>
          </w:p>
        </w:tc>
        <w:tc>
          <w:tcPr>
            <w:tcW w:w="0" w:type="dxa"/>
            <w:vAlign w:val="bottom"/>
          </w:tcPr>
          <w:p>
            <w:pPr>
              <w:spacing w:after="0"/>
              <w:rPr>
                <w:sz w:val="1"/>
                <w:szCs w:val="1"/>
                <w:color w:val="auto"/>
              </w:rPr>
            </w:pPr>
          </w:p>
        </w:tc>
      </w:tr>
      <w:tr>
        <w:trPr>
          <w:trHeight w:val="26"/>
        </w:trPr>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4,292,242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(588,622)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1,662,966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164,883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35,379</w:t>
            </w:r>
          </w:p>
        </w:tc>
        <w:tc>
          <w:tcPr>
            <w:tcW w:w="0" w:type="dxa"/>
            <w:vAlign w:val="bottom"/>
          </w:tcPr>
          <w:p>
            <w:pPr>
              <w:spacing w:after="0"/>
              <w:rPr>
                <w:sz w:val="1"/>
                <w:szCs w:val="1"/>
                <w:color w:val="auto"/>
              </w:rPr>
            </w:pPr>
          </w:p>
        </w:tc>
      </w:tr>
      <w:tr>
        <w:trPr>
          <w:trHeight w:val="182"/>
        </w:trPr>
        <w:tc>
          <w:tcPr>
            <w:tcW w:w="6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3,671,395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4,275,744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1,340,562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1,079,921</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107.59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(25,687)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right="140" w:hanging="332"/>
        <w:spacing w:after="0" w:line="273" w:lineRule="auto"/>
        <w:tabs>
          <w:tab w:leader="none" w:pos="40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dollar amounts reported in column (b) are the amounts of total compensation reported for Dr. Brunn for each corresponding year in the “Total” column of the Summary Compensation Table. The dollar amounts reported in column (d) represent the average of the amounts reported for our Company’s Non-PEO NEOs as a group in the “Total” column of the Summary Compensation Table in each applicable year. The names of the Non-PEO NEOs included for purposes of calculating the average amounts in each applicable year are as follows: for 2022, Blaine Davis, Kevin Tan, Peter G. Traber, M.D., Takashi Kei Kishimoto, Ph.D. and Lloyd Johnston, Ph.D. and for 2021, Kevin Tan, Ann K. Donohue, Bradford D. Dahms, Peter G. Traber, M.D., Takashi Kei Kishimoto, Ph.D. and Lloyd Johnston, Ph.D.</w:t>
      </w:r>
    </w:p>
    <w:p>
      <w:pPr>
        <w:spacing w:after="0" w:line="69" w:lineRule="exact"/>
        <w:rPr>
          <w:rFonts w:ascii="Arial" w:cs="Arial" w:eastAsia="Arial" w:hAnsi="Arial"/>
          <w:sz w:val="17"/>
          <w:szCs w:val="17"/>
          <w:color w:val="auto"/>
        </w:rPr>
      </w:pPr>
    </w:p>
    <w:p>
      <w:pPr>
        <w:ind w:left="340" w:right="560" w:hanging="332"/>
        <w:spacing w:after="0" w:line="277" w:lineRule="auto"/>
        <w:tabs>
          <w:tab w:leader="none" w:pos="4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table below describes the adjustments, each of which is required by SEC rules, to calculate Compensation Actually Paid amounts from the Summary Compensation Total:</w:t>
      </w:r>
    </w:p>
    <w:p>
      <w:pPr>
        <w:spacing w:after="0" w:line="84" w:lineRule="exact"/>
        <w:rPr>
          <w:sz w:val="20"/>
          <w:szCs w:val="20"/>
          <w:color w:val="auto"/>
        </w:rPr>
      </w:pPr>
    </w:p>
    <w:tbl>
      <w:tblPr>
        <w:tblLayout w:type="fixed"/>
        <w:tblInd w:w="430" w:type="dxa"/>
        <w:tblCellMar>
          <w:top w:w="0" w:type="dxa"/>
          <w:left w:w="0" w:type="dxa"/>
          <w:bottom w:w="0" w:type="dxa"/>
          <w:right w:w="0" w:type="dxa"/>
        </w:tblCellMar>
      </w:tblPr>
      <w:tr>
        <w:trPr>
          <w:trHeight w:val="151"/>
        </w:trPr>
        <w:tc>
          <w:tcPr>
            <w:tcW w:w="520" w:type="dxa"/>
            <w:vAlign w:val="bottom"/>
            <w:tcBorders>
              <w:top w:val="single" w:sz="8" w:color="auto"/>
              <w:left w:val="single" w:sz="8" w:color="auto"/>
              <w:right w:val="single" w:sz="8" w:color="auto"/>
            </w:tcBorders>
          </w:tcPr>
          <w:p>
            <w:pPr>
              <w:spacing w:after="0"/>
              <w:rPr>
                <w:sz w:val="13"/>
                <w:szCs w:val="13"/>
                <w:color w:val="auto"/>
              </w:rPr>
            </w:pPr>
          </w:p>
        </w:tc>
        <w:tc>
          <w:tcPr>
            <w:tcW w:w="126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w w:val="94"/>
              </w:rPr>
              <w:t>Add Year-End Fair</w:t>
            </w:r>
          </w:p>
        </w:tc>
        <w:tc>
          <w:tcPr>
            <w:tcW w:w="112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3"/>
                <w:szCs w:val="13"/>
                <w:color w:val="auto"/>
                <w:w w:val="94"/>
              </w:rPr>
              <w:t>Add Fair Value as</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jc w:val="center"/>
              <w:ind w:right="13"/>
              <w:spacing w:after="0"/>
              <w:rPr>
                <w:sz w:val="20"/>
                <w:szCs w:val="20"/>
                <w:color w:val="auto"/>
              </w:rPr>
            </w:pPr>
            <w:r>
              <w:rPr>
                <w:rFonts w:ascii="Arial" w:cs="Arial" w:eastAsia="Arial" w:hAnsi="Arial"/>
                <w:sz w:val="13"/>
                <w:szCs w:val="13"/>
                <w:color w:val="auto"/>
                <w:w w:val="95"/>
              </w:rPr>
              <w:t>Deduct Value of</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Arial" w:cs="Arial" w:eastAsia="Arial" w:hAnsi="Arial"/>
                <w:sz w:val="13"/>
                <w:szCs w:val="13"/>
                <w:color w:val="auto"/>
                <w:w w:val="93"/>
              </w:rPr>
              <w:t>Deduct Reported</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Arial" w:cs="Arial" w:eastAsia="Arial" w:hAnsi="Arial"/>
                <w:sz w:val="13"/>
                <w:szCs w:val="13"/>
                <w:color w:val="auto"/>
                <w:w w:val="96"/>
              </w:rPr>
              <w:t>Value of</w:t>
            </w:r>
          </w:p>
        </w:tc>
        <w:tc>
          <w:tcPr>
            <w:tcW w:w="112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93"/>
              <w:spacing w:after="0"/>
              <w:rPr>
                <w:sz w:val="20"/>
                <w:szCs w:val="20"/>
                <w:color w:val="auto"/>
              </w:rPr>
            </w:pPr>
            <w:r>
              <w:rPr>
                <w:rFonts w:ascii="Arial" w:cs="Arial" w:eastAsia="Arial" w:hAnsi="Arial"/>
                <w:sz w:val="13"/>
                <w:szCs w:val="13"/>
                <w:color w:val="auto"/>
                <w:w w:val="93"/>
              </w:rPr>
              <w:t>Year over Year</w:t>
            </w: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93"/>
              <w:spacing w:after="0"/>
              <w:rPr>
                <w:sz w:val="20"/>
                <w:szCs w:val="20"/>
                <w:color w:val="auto"/>
              </w:rPr>
            </w:pPr>
            <w:r>
              <w:rPr>
                <w:rFonts w:ascii="Arial" w:cs="Arial" w:eastAsia="Arial" w:hAnsi="Arial"/>
                <w:sz w:val="13"/>
                <w:szCs w:val="13"/>
                <w:color w:val="auto"/>
                <w:w w:val="93"/>
              </w:rPr>
              <w:t>Year over Year</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Arial" w:cs="Arial" w:eastAsia="Arial" w:hAnsi="Arial"/>
                <w:sz w:val="13"/>
                <w:szCs w:val="13"/>
                <w:color w:val="auto"/>
                <w:w w:val="98"/>
              </w:rPr>
              <w:t>Prior Equity</w:t>
            </w: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center"/>
              <w:ind w:right="73"/>
              <w:spacing w:after="0"/>
              <w:rPr>
                <w:sz w:val="20"/>
                <w:szCs w:val="20"/>
                <w:color w:val="auto"/>
              </w:rPr>
            </w:pPr>
            <w:r>
              <w:rPr>
                <w:rFonts w:ascii="Arial" w:cs="Arial" w:eastAsia="Arial" w:hAnsi="Arial"/>
                <w:sz w:val="13"/>
                <w:szCs w:val="13"/>
                <w:color w:val="auto"/>
                <w:w w:val="97"/>
              </w:rPr>
              <w:t>Summary</w:t>
            </w:r>
          </w:p>
        </w:tc>
        <w:tc>
          <w:tcPr>
            <w:tcW w:w="8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Arial" w:cs="Arial" w:eastAsia="Arial" w:hAnsi="Arial"/>
                <w:sz w:val="13"/>
                <w:szCs w:val="13"/>
                <w:color w:val="auto"/>
                <w:w w:val="94"/>
              </w:rPr>
              <w:t>Outstanding and</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94"/>
              </w:rPr>
              <w:t>of Vesting Date of</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94"/>
              </w:rPr>
              <w:t>Awards that Failed</w:t>
            </w: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color w:val="auto"/>
              </w:rPr>
              <w:t>Named Executive</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Arial" w:cs="Arial" w:eastAsia="Arial" w:hAnsi="Arial"/>
                <w:sz w:val="13"/>
                <w:szCs w:val="13"/>
                <w:color w:val="auto"/>
                <w:w w:val="98"/>
              </w:rPr>
              <w:t>Value of Equity</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Arial" w:cs="Arial" w:eastAsia="Arial" w:hAnsi="Arial"/>
                <w:sz w:val="13"/>
                <w:szCs w:val="13"/>
                <w:color w:val="auto"/>
                <w:w w:val="95"/>
              </w:rPr>
              <w:t>Unvested Equity</w:t>
            </w:r>
          </w:p>
        </w:tc>
        <w:tc>
          <w:tcPr>
            <w:tcW w:w="120" w:type="dxa"/>
            <w:vAlign w:val="bottom"/>
          </w:tcPr>
          <w:p>
            <w:pPr>
              <w:spacing w:after="0"/>
              <w:rPr>
                <w:sz w:val="11"/>
                <w:szCs w:val="11"/>
                <w:color w:val="auto"/>
              </w:rPr>
            </w:pPr>
          </w:p>
        </w:tc>
        <w:tc>
          <w:tcPr>
            <w:tcW w:w="1000" w:type="dxa"/>
            <w:vAlign w:val="bottom"/>
            <w:tcBorders>
              <w:right w:val="single" w:sz="8" w:color="auto"/>
            </w:tcBorders>
          </w:tcPr>
          <w:p>
            <w:pPr>
              <w:jc w:val="center"/>
              <w:ind w:right="73"/>
              <w:spacing w:after="0" w:line="135" w:lineRule="exact"/>
              <w:rPr>
                <w:sz w:val="20"/>
                <w:szCs w:val="20"/>
                <w:color w:val="auto"/>
              </w:rPr>
            </w:pPr>
            <w:r>
              <w:rPr>
                <w:rFonts w:ascii="Arial" w:cs="Arial" w:eastAsia="Arial" w:hAnsi="Arial"/>
                <w:sz w:val="13"/>
                <w:szCs w:val="13"/>
                <w:color w:val="auto"/>
                <w:w w:val="98"/>
              </w:rPr>
              <w:t>Equity Awards</w:t>
            </w:r>
          </w:p>
        </w:tc>
        <w:tc>
          <w:tcPr>
            <w:tcW w:w="11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w w:val="94"/>
              </w:rPr>
              <w:t>Change in Value of</w:t>
            </w:r>
          </w:p>
        </w:tc>
        <w:tc>
          <w:tcPr>
            <w:tcW w:w="112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w w:val="94"/>
              </w:rPr>
              <w:t>Change in Value of</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Arial" w:cs="Arial" w:eastAsia="Arial" w:hAnsi="Arial"/>
                <w:sz w:val="13"/>
                <w:szCs w:val="13"/>
                <w:color w:val="auto"/>
                <w:w w:val="95"/>
              </w:rPr>
              <w:t>to Meet Vesting</w:t>
            </w: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113"/>
              <w:spacing w:after="0"/>
              <w:rPr>
                <w:sz w:val="20"/>
                <w:szCs w:val="20"/>
                <w:color w:val="auto"/>
              </w:rPr>
            </w:pPr>
            <w:r>
              <w:rPr>
                <w:rFonts w:ascii="Arial" w:cs="Arial" w:eastAsia="Arial" w:hAnsi="Arial"/>
                <w:sz w:val="13"/>
                <w:szCs w:val="13"/>
                <w:color w:val="auto"/>
                <w:w w:val="95"/>
              </w:rPr>
              <w:t>Compensation</w:t>
            </w: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color w:val="auto"/>
              </w:rPr>
              <w:t>Year</w:t>
            </w:r>
          </w:p>
        </w:tc>
        <w:tc>
          <w:tcPr>
            <w:tcW w:w="126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tcPr>
          <w:p>
            <w:pPr>
              <w:jc w:val="center"/>
              <w:ind w:right="73"/>
              <w:spacing w:after="0" w:line="135" w:lineRule="exact"/>
              <w:rPr>
                <w:sz w:val="20"/>
                <w:szCs w:val="20"/>
                <w:color w:val="auto"/>
              </w:rPr>
            </w:pPr>
            <w:r>
              <w:rPr>
                <w:rFonts w:ascii="Arial" w:cs="Arial" w:eastAsia="Arial" w:hAnsi="Arial"/>
                <w:sz w:val="13"/>
                <w:szCs w:val="13"/>
                <w:color w:val="auto"/>
                <w:w w:val="93"/>
              </w:rPr>
              <w:t>Compensation</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94"/>
              </w:rPr>
              <w:t>Awards Granted in</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94"/>
              </w:rPr>
              <w:t>Awards Granted in</w:t>
            </w:r>
          </w:p>
        </w:tc>
        <w:tc>
          <w:tcPr>
            <w:tcW w:w="112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3"/>
                <w:szCs w:val="13"/>
                <w:color w:val="auto"/>
                <w:w w:val="91"/>
              </w:rPr>
              <w:t>Granted and Vested</w:t>
            </w:r>
          </w:p>
        </w:tc>
        <w:tc>
          <w:tcPr>
            <w:tcW w:w="120" w:type="dxa"/>
            <w:vAlign w:val="bottom"/>
          </w:tcPr>
          <w:p>
            <w:pPr>
              <w:spacing w:after="0"/>
              <w:rPr>
                <w:sz w:val="11"/>
                <w:szCs w:val="11"/>
                <w:color w:val="auto"/>
              </w:rPr>
            </w:pPr>
          </w:p>
        </w:tc>
        <w:tc>
          <w:tcPr>
            <w:tcW w:w="1000" w:type="dxa"/>
            <w:vAlign w:val="bottom"/>
            <w:tcBorders>
              <w:right w:val="single" w:sz="8" w:color="auto"/>
            </w:tcBorders>
          </w:tcPr>
          <w:p>
            <w:pPr>
              <w:jc w:val="right"/>
              <w:ind w:right="93"/>
              <w:spacing w:after="0" w:line="135" w:lineRule="exact"/>
              <w:rPr>
                <w:sz w:val="20"/>
                <w:szCs w:val="20"/>
                <w:color w:val="auto"/>
              </w:rPr>
            </w:pPr>
            <w:r>
              <w:rPr>
                <w:rFonts w:ascii="Arial" w:cs="Arial" w:eastAsia="Arial" w:hAnsi="Arial"/>
                <w:sz w:val="13"/>
                <w:szCs w:val="13"/>
                <w:color w:val="auto"/>
                <w:w w:val="95"/>
              </w:rPr>
              <w:t>Unvested Prior</w:t>
            </w:r>
          </w:p>
        </w:tc>
        <w:tc>
          <w:tcPr>
            <w:tcW w:w="112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3"/>
                <w:szCs w:val="13"/>
                <w:color w:val="auto"/>
                <w:w w:val="95"/>
              </w:rPr>
              <w:t>Vested Prior Equity</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Arial" w:cs="Arial" w:eastAsia="Arial" w:hAnsi="Arial"/>
                <w:sz w:val="13"/>
                <w:szCs w:val="13"/>
                <w:color w:val="auto"/>
                <w:w w:val="97"/>
              </w:rPr>
              <w:t>Conditions in the</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Officers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3"/>
                <w:szCs w:val="13"/>
                <w:color w:val="auto"/>
                <w:w w:val="95"/>
              </w:rPr>
              <w:t>Table Total</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3"/>
                <w:szCs w:val="13"/>
                <w:color w:val="auto"/>
                <w:w w:val="93"/>
              </w:rPr>
              <w:t>the Year</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3"/>
                <w:szCs w:val="13"/>
                <w:color w:val="auto"/>
                <w:w w:val="93"/>
              </w:rPr>
              <w:t>the 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3"/>
                <w:szCs w:val="13"/>
                <w:color w:val="auto"/>
                <w:w w:val="92"/>
              </w:rPr>
              <w:t>in the 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3"/>
                <w:szCs w:val="13"/>
                <w:color w:val="auto"/>
                <w:w w:val="98"/>
              </w:rPr>
              <w:t>Equity Awards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3"/>
                <w:szCs w:val="13"/>
                <w:color w:val="auto"/>
              </w:rPr>
              <w:t>Awards</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3"/>
                <w:szCs w:val="13"/>
                <w:color w:val="auto"/>
                <w:w w:val="94"/>
              </w:rPr>
              <w:t>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3"/>
                <w:szCs w:val="13"/>
                <w:color w:val="auto"/>
              </w:rPr>
              <w:t>Actually Paid</w:t>
            </w:r>
          </w:p>
        </w:tc>
        <w:tc>
          <w:tcPr>
            <w:tcW w:w="0" w:type="dxa"/>
            <w:vAlign w:val="bottom"/>
          </w:tcPr>
          <w:p>
            <w:pPr>
              <w:spacing w:after="0"/>
              <w:rPr>
                <w:sz w:val="1"/>
                <w:szCs w:val="1"/>
                <w:color w:val="auto"/>
              </w:rPr>
            </w:pPr>
          </w:p>
        </w:tc>
      </w:tr>
      <w:tr>
        <w:trPr>
          <w:trHeight w:val="202"/>
        </w:trPr>
        <w:tc>
          <w:tcPr>
            <w:tcW w:w="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2022</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PEO</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4,292,242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(3,377,578)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934,511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(1,415,406)</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(1,022,391)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(588,622)</w:t>
            </w:r>
          </w:p>
        </w:tc>
        <w:tc>
          <w:tcPr>
            <w:tcW w:w="0" w:type="dxa"/>
            <w:vAlign w:val="bottom"/>
          </w:tcPr>
          <w:p>
            <w:pPr>
              <w:spacing w:after="0"/>
              <w:rPr>
                <w:sz w:val="1"/>
                <w:szCs w:val="1"/>
                <w:color w:val="auto"/>
              </w:rPr>
            </w:pPr>
          </w:p>
        </w:tc>
      </w:tr>
      <w:tr>
        <w:trPr>
          <w:trHeight w:val="54"/>
        </w:trPr>
        <w:tc>
          <w:tcPr>
            <w:tcW w:w="520" w:type="dxa"/>
            <w:vAlign w:val="bottom"/>
            <w:tcBorders>
              <w:left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line="131" w:lineRule="exact"/>
              <w:rPr>
                <w:sz w:val="20"/>
                <w:szCs w:val="20"/>
                <w:color w:val="auto"/>
              </w:rPr>
            </w:pPr>
            <w:r>
              <w:rPr>
                <w:rFonts w:ascii="Arial" w:cs="Arial" w:eastAsia="Arial" w:hAnsi="Arial"/>
                <w:sz w:val="13"/>
                <w:szCs w:val="13"/>
                <w:color w:val="auto"/>
              </w:rPr>
              <w:t>Non-PEO NEOs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1,662,966</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(1,163,216)</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414,344</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(322,827)</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(196,484)</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(229,900)</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164,883</w:t>
            </w:r>
          </w:p>
        </w:tc>
        <w:tc>
          <w:tcPr>
            <w:tcW w:w="0" w:type="dxa"/>
            <w:vAlign w:val="bottom"/>
          </w:tcPr>
          <w:p>
            <w:pPr>
              <w:spacing w:after="0"/>
              <w:rPr>
                <w:sz w:val="1"/>
                <w:szCs w:val="1"/>
                <w:color w:val="auto"/>
              </w:rPr>
            </w:pPr>
          </w:p>
        </w:tc>
      </w:tr>
      <w:tr>
        <w:trPr>
          <w:trHeight w:val="105"/>
        </w:trPr>
        <w:tc>
          <w:tcPr>
            <w:tcW w:w="52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Average</w:t>
            </w: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2021</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PEO</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3,671,395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(2,788,311)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2,430,089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276,000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63,955</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622,616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4,275,744</w:t>
            </w:r>
          </w:p>
        </w:tc>
        <w:tc>
          <w:tcPr>
            <w:tcW w:w="0" w:type="dxa"/>
            <w:vAlign w:val="bottom"/>
          </w:tcPr>
          <w:p>
            <w:pPr>
              <w:spacing w:after="0"/>
              <w:rPr>
                <w:sz w:val="1"/>
                <w:szCs w:val="1"/>
                <w:color w:val="auto"/>
              </w:rPr>
            </w:pPr>
          </w:p>
        </w:tc>
      </w:tr>
      <w:tr>
        <w:trPr>
          <w:trHeight w:val="54"/>
        </w:trPr>
        <w:tc>
          <w:tcPr>
            <w:tcW w:w="520" w:type="dxa"/>
            <w:vAlign w:val="bottom"/>
            <w:tcBorders>
              <w:left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line="131" w:lineRule="exact"/>
              <w:rPr>
                <w:sz w:val="20"/>
                <w:szCs w:val="20"/>
                <w:color w:val="auto"/>
              </w:rPr>
            </w:pPr>
            <w:r>
              <w:rPr>
                <w:rFonts w:ascii="Arial" w:cs="Arial" w:eastAsia="Arial" w:hAnsi="Arial"/>
                <w:sz w:val="13"/>
                <w:szCs w:val="13"/>
                <w:color w:val="auto"/>
              </w:rPr>
              <w:t>Non-PEO NEOs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1,340,562</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(927,505)</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664,534</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50,600</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13,935</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81,433</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(143,638)</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1,079,921</w:t>
            </w:r>
          </w:p>
        </w:tc>
        <w:tc>
          <w:tcPr>
            <w:tcW w:w="0" w:type="dxa"/>
            <w:vAlign w:val="bottom"/>
          </w:tcPr>
          <w:p>
            <w:pPr>
              <w:spacing w:after="0"/>
              <w:rPr>
                <w:sz w:val="1"/>
                <w:szCs w:val="1"/>
                <w:color w:val="auto"/>
              </w:rPr>
            </w:pPr>
          </w:p>
        </w:tc>
      </w:tr>
      <w:tr>
        <w:trPr>
          <w:trHeight w:val="105"/>
        </w:trPr>
        <w:tc>
          <w:tcPr>
            <w:tcW w:w="52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Average</w:t>
            </w: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40" w:hanging="332"/>
        <w:spacing w:after="0" w:line="277" w:lineRule="auto"/>
        <w:tabs>
          <w:tab w:leader="none" w:pos="4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Shareholder Return for each year reflects what the cumulative value of $100 would be if such amount were invested into our Company for that applicable year on December 31, 2020.</w:t>
      </w:r>
    </w:p>
    <w:p>
      <w:pPr>
        <w:spacing w:after="0" w:line="62" w:lineRule="exact"/>
        <w:rPr>
          <w:rFonts w:ascii="Arial" w:cs="Arial" w:eastAsia="Arial" w:hAnsi="Arial"/>
          <w:sz w:val="18"/>
          <w:szCs w:val="18"/>
          <w:color w:val="auto"/>
        </w:rPr>
      </w:pPr>
    </w:p>
    <w:p>
      <w:pPr>
        <w:ind w:left="340" w:right="200" w:hanging="332"/>
        <w:spacing w:after="0" w:line="277" w:lineRule="auto"/>
        <w:tabs>
          <w:tab w:leader="none" w:pos="4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income or (loss) as reported in the Company’s consolidated statements of operations and comprehensive income (loss) in our Annual Report on Form 10-K for the applicable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the Information Presented in the Pay Versus Performance Table</w:t>
      </w:r>
    </w:p>
    <w:p>
      <w:pPr>
        <w:spacing w:after="0" w:line="1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of Compensation Actually Paid to Our Non-PEO NEOs and the Company’s total shareholder return over the period covering fiscal years 2021 and 2022. A large component of our executive compensation is equity-based to align compensation with performance, but also includes other appropriate incentives such as cash bonuses that are designed to incentivize our executives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achieve annual corporate goals. We believe the equity-based compensation strongly aligns our PEO and Non-PEO NEOs’ interests with those of our shareholders to maximize long-term value and encourage long-term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5863590" cy="3034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359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maintain a compensation program for our non-employee directors. Under our non-employee director compensation program as in effect during 2022, each non-employee director received the following amounts for their services on our Board:</w:t>
      </w:r>
    </w:p>
    <w:p>
      <w:pPr>
        <w:spacing w:after="0" w:line="6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i w:val="1"/>
          <w:iCs w:val="1"/>
          <w:color w:val="auto"/>
        </w:rPr>
        <w:t>Initial Equity Award</w:t>
      </w:r>
      <w:r>
        <w:rPr>
          <w:rFonts w:ascii="Arial" w:cs="Arial" w:eastAsia="Arial" w:hAnsi="Arial"/>
          <w:sz w:val="18"/>
          <w:szCs w:val="18"/>
          <w:color w:val="auto"/>
        </w:rPr>
        <w:t>. Upon a director’s initial election or appointment to our Board, the director received an option to purchase 80,000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which award vests in substantially equal monthly installments over three years following the date of grant, subject to accelerated vesting upon a change in control.</w:t>
      </w:r>
    </w:p>
    <w:p>
      <w:pPr>
        <w:spacing w:after="0" w:line="7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Annual Equity Award</w:t>
      </w:r>
      <w:r>
        <w:rPr>
          <w:rFonts w:ascii="Arial" w:cs="Arial" w:eastAsia="Arial" w:hAnsi="Arial"/>
          <w:sz w:val="18"/>
          <w:szCs w:val="18"/>
          <w:color w:val="auto"/>
        </w:rPr>
        <w:t>. If a director has served on our Board for at least six months as of the first business day in January of each year, the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an option to purchase 40,000 shares of our Common Stock on the that date, which award vests in a single installment on the first anniversary of the date of grant, subject to accelerated vesting upon a change in control. If such non-employee director served as the Chairman of the Board as of the first business day in January of each year, that non-employee director received an option to purchase 60,000 shares of our Common Stock that date, subject to the same vesting terms.</w:t>
      </w:r>
    </w:p>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Annual Retainer Fees</w:t>
      </w:r>
      <w:r>
        <w:rPr>
          <w:rFonts w:ascii="Arial" w:cs="Arial" w:eastAsia="Arial" w:hAnsi="Arial"/>
          <w:sz w:val="18"/>
          <w:szCs w:val="18"/>
          <w:color w:val="auto"/>
        </w:rPr>
        <w:t>. In addition to option grants, each director received an annual retainer for service on our Board and additional fees for service on</w:t>
      </w:r>
      <w:r>
        <w:rPr>
          <w:rFonts w:ascii="Arial" w:cs="Arial" w:eastAsia="Arial" w:hAnsi="Arial"/>
          <w:sz w:val="18"/>
          <w:szCs w:val="18"/>
          <w:i w:val="1"/>
          <w:iCs w:val="1"/>
          <w:color w:val="auto"/>
        </w:rPr>
        <w:t xml:space="preserve"> </w:t>
      </w:r>
      <w:r>
        <w:rPr>
          <w:rFonts w:ascii="Arial" w:cs="Arial" w:eastAsia="Arial" w:hAnsi="Arial"/>
          <w:sz w:val="18"/>
          <w:szCs w:val="18"/>
          <w:color w:val="auto"/>
        </w:rPr>
        <w:t>a committee of our Board as follows:</w:t>
      </w:r>
    </w:p>
    <w:p>
      <w:pPr>
        <w:spacing w:after="0" w:line="6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director fee of $40,000;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chairman of the board, $30,000 and lead independent director, $20,000;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chairman of the Audit Committee, $15,000;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Audit Committee member other than the chairman, $7,500;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chairman of the Compensation Committee, $12,000;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 $6,000;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 $8,000;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 $4,000;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chairman of the Research and Development Committee, $12,000;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and Development Committee member other than the chairman, $6,000.</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serving on our Board. Each member of our Board is entitled to be reimbursed for reasonable travel and other expenses incurred in connection with attending meetings of the Board and any committee of the Board on which he or she serves.</w:t>
      </w:r>
    </w:p>
    <w:p>
      <w:pPr>
        <w:spacing w:after="0" w:line="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Following review of a competitive assessment performed by Compensia, effective December 8, 2022, the Board approved the following amendments to our non-employee director compensation program, which are intended to align our program with the median of market:</w:t>
      </w:r>
    </w:p>
    <w:p>
      <w:pPr>
        <w:spacing w:after="0" w:line="62" w:lineRule="exact"/>
        <w:rPr>
          <w:sz w:val="20"/>
          <w:szCs w:val="20"/>
          <w:color w:val="auto"/>
        </w:rPr>
      </w:pPr>
    </w:p>
    <w:p>
      <w:pPr>
        <w:ind w:left="660" w:right="18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the annual equity awards from options to purchase 60,000 shares of Common Stock to options to purchase 95,000 shares of Common Stock for the Chairman of the Board and from options to purchase 40,000 shares of Common Stock to options to purchase 75,000 shares of Common Stock for each other non-employee director.</w:t>
      </w:r>
    </w:p>
    <w:p>
      <w:pPr>
        <w:spacing w:after="0" w:line="75"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the annual retainer for service from $8,000 to $9,000 for the chairman of the Nominating and Corporate Governance Committee and from $4,000 to $4,500 for Nominating and Corporate Governance Committee members other than the chairman.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Dr. Brunn, our President and Chief Executive Officer, also serves on our Board but receives no additional compensation for this service.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compensation earned to our non-employee directors for their service on our Board during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Director Compensation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Fees earned or paid in</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560" w:type="dxa"/>
            <w:vAlign w:val="bottom"/>
            <w:gridSpan w:val="2"/>
          </w:tcPr>
          <w:p>
            <w:pPr>
              <w:ind w:left="460"/>
              <w:spacing w:after="0"/>
              <w:rPr>
                <w:sz w:val="20"/>
                <w:szCs w:val="20"/>
                <w:color w:val="auto"/>
              </w:rPr>
            </w:pPr>
            <w:r>
              <w:rPr>
                <w:rFonts w:ascii="Arial" w:cs="Arial" w:eastAsia="Arial" w:hAnsi="Arial"/>
                <w:sz w:val="14"/>
                <w:szCs w:val="14"/>
                <w:b w:val="1"/>
                <w:bCs w:val="1"/>
                <w:color w:val="auto"/>
              </w:rPr>
              <w:t>All other</w:t>
            </w:r>
          </w:p>
        </w:tc>
        <w:tc>
          <w:tcPr>
            <w:tcW w:w="14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1"/>
        </w:trPr>
        <w:tc>
          <w:tcPr>
            <w:tcW w:w="5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line="201" w:lineRule="exact"/>
              <w:rPr>
                <w:sz w:val="20"/>
                <w:szCs w:val="20"/>
                <w:color w:val="auto"/>
              </w:rPr>
            </w:pPr>
            <w:r>
              <w:rPr>
                <w:rFonts w:ascii="Arial" w:cs="Arial" w:eastAsia="Arial" w:hAnsi="Arial"/>
                <w:sz w:val="14"/>
                <w:szCs w:val="14"/>
                <w:b w:val="1"/>
                <w:bCs w:val="1"/>
                <w:color w:val="auto"/>
                <w:w w:val="88"/>
              </w:rPr>
              <w:t>cash ($)</w:t>
            </w:r>
            <w:r>
              <w:rPr>
                <w:rFonts w:ascii="Arial" w:cs="Arial" w:eastAsia="Arial" w:hAnsi="Arial"/>
                <w:sz w:val="18"/>
                <w:szCs w:val="18"/>
                <w:b w:val="1"/>
                <w:bCs w:val="1"/>
                <w:color w:val="auto"/>
                <w:w w:val="88"/>
                <w:vertAlign w:val="superscript"/>
              </w:rPr>
              <w:t>(1)</w:t>
            </w:r>
          </w:p>
        </w:tc>
        <w:tc>
          <w:tcPr>
            <w:tcW w:w="1560" w:type="dxa"/>
            <w:vAlign w:val="bottom"/>
            <w:gridSpan w:val="2"/>
            <w:vMerge w:val="continue"/>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compensation ($)</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4"/>
                <w:szCs w:val="14"/>
                <w:color w:val="auto"/>
              </w:rPr>
              <w:t xml:space="preserve">Göran Ando, M.D. </w:t>
            </w:r>
            <w:r>
              <w:rPr>
                <w:rFonts w:ascii="Arial" w:cs="Arial" w:eastAsia="Arial" w:hAnsi="Arial"/>
                <w:sz w:val="18"/>
                <w:szCs w:val="18"/>
                <w:color w:val="auto"/>
                <w:vertAlign w:val="superscript"/>
              </w:rPr>
              <w:t>(3)</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99,556</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157,556</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Timothy C. Barabe</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99,556</w:t>
            </w:r>
          </w:p>
        </w:tc>
        <w:tc>
          <w:tcPr>
            <w:tcW w:w="100" w:type="dxa"/>
            <w:vAlign w:val="bottom"/>
          </w:tcPr>
          <w:p>
            <w:pPr>
              <w:spacing w:after="0"/>
              <w:rPr>
                <w:sz w:val="15"/>
                <w:szCs w:val="15"/>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154,556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83,500</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149,334</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232,834</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Nishan de Silva, M.D., M.B.A.</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58,500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99,556</w:t>
            </w:r>
          </w:p>
        </w:tc>
        <w:tc>
          <w:tcPr>
            <w:tcW w:w="100" w:type="dxa"/>
            <w:vAlign w:val="bottom"/>
          </w:tcPr>
          <w:p>
            <w:pPr>
              <w:spacing w:after="0"/>
              <w:rPr>
                <w:sz w:val="15"/>
                <w:szCs w:val="15"/>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158,056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Scott D. Myers</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56,034</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99,556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155,590</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Aymeric Sallin</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46,000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99,556</w:t>
            </w:r>
          </w:p>
        </w:tc>
        <w:tc>
          <w:tcPr>
            <w:tcW w:w="100" w:type="dxa"/>
            <w:vAlign w:val="bottom"/>
          </w:tcPr>
          <w:p>
            <w:pPr>
              <w:spacing w:after="0"/>
              <w:rPr>
                <w:sz w:val="15"/>
                <w:szCs w:val="15"/>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145,556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Timothy A. Springer, Ph.D.</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63,034</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99,556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162,590</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Patrick Zenner</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55,568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99,556</w:t>
            </w:r>
          </w:p>
        </w:tc>
        <w:tc>
          <w:tcPr>
            <w:tcW w:w="100" w:type="dxa"/>
            <w:vAlign w:val="bottom"/>
          </w:tcPr>
          <w:p>
            <w:pPr>
              <w:spacing w:after="0"/>
              <w:rPr>
                <w:sz w:val="15"/>
                <w:szCs w:val="15"/>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155,124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cash retainers earned for services rendered as members of the Board and related committees.</w:t>
      </w:r>
    </w:p>
    <w:p>
      <w:pPr>
        <w:spacing w:after="0" w:line="117" w:lineRule="exact"/>
        <w:rPr>
          <w:rFonts w:ascii="Arial" w:cs="Arial" w:eastAsia="Arial" w:hAnsi="Arial"/>
          <w:sz w:val="18"/>
          <w:szCs w:val="18"/>
          <w:color w:val="auto"/>
        </w:rPr>
      </w:pPr>
    </w:p>
    <w:p>
      <w:pPr>
        <w:jc w:val="both"/>
        <w:ind w:left="340" w:right="100" w:hanging="332"/>
        <w:spacing w:after="0" w:line="263"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financial statements included in our 2022 Annual Report.</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Dr. Ando retired from the Board on January 4, 2023.</w:t>
      </w:r>
    </w:p>
    <w:p>
      <w:pPr>
        <w:spacing w:after="0" w:line="200" w:lineRule="exact"/>
        <w:rPr>
          <w:sz w:val="20"/>
          <w:szCs w:val="20"/>
          <w:color w:val="auto"/>
        </w:rPr>
      </w:pPr>
    </w:p>
    <w:p>
      <w:pPr>
        <w:spacing w:after="0" w:line="2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shows the aggregate number of option awards (exercisable and unexercisable) held by each non-employee director as of December 31, 2022. None of our non-employee directors held unvested stock awards in the Company as of that date.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8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Options outstanding</w:t>
            </w:r>
          </w:p>
        </w:tc>
        <w:tc>
          <w:tcPr>
            <w:tcW w:w="0" w:type="dxa"/>
            <w:vAlign w:val="bottom"/>
          </w:tcPr>
          <w:p>
            <w:pPr>
              <w:spacing w:after="0"/>
              <w:rPr>
                <w:sz w:val="1"/>
                <w:szCs w:val="1"/>
                <w:color w:val="auto"/>
              </w:rPr>
            </w:pPr>
          </w:p>
        </w:tc>
      </w:tr>
      <w:tr>
        <w:trPr>
          <w:trHeight w:val="192"/>
        </w:trPr>
        <w:tc>
          <w:tcPr>
            <w:tcW w:w="9760" w:type="dxa"/>
            <w:vAlign w:val="bottom"/>
            <w:gridSpan w:val="2"/>
            <w:vMerge w:val="continue"/>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rPr>
              <w:t>at fiscal year end</w:t>
            </w:r>
          </w:p>
        </w:tc>
        <w:tc>
          <w:tcPr>
            <w:tcW w:w="0" w:type="dxa"/>
            <w:vAlign w:val="bottom"/>
          </w:tcPr>
          <w:p>
            <w:pPr>
              <w:spacing w:after="0"/>
              <w:rPr>
                <w:sz w:val="1"/>
                <w:szCs w:val="1"/>
                <w:color w:val="auto"/>
              </w:rPr>
            </w:pPr>
          </w:p>
        </w:tc>
      </w:tr>
      <w:tr>
        <w:trPr>
          <w:trHeight w:val="182"/>
        </w:trPr>
        <w:tc>
          <w:tcPr>
            <w:tcW w:w="9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Göran Ando, M.D.</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Timothy C. Barabe</w:t>
            </w:r>
          </w:p>
        </w:tc>
        <w:tc>
          <w:tcPr>
            <w:tcW w:w="1480" w:type="dxa"/>
            <w:vAlign w:val="bottom"/>
          </w:tcPr>
          <w:p>
            <w:pPr>
              <w:jc w:val="right"/>
              <w:spacing w:after="0"/>
              <w:rPr>
                <w:sz w:val="20"/>
                <w:szCs w:val="20"/>
                <w:color w:val="auto"/>
              </w:rPr>
            </w:pPr>
            <w:r>
              <w:rPr>
                <w:rFonts w:ascii="Arial" w:cs="Arial" w:eastAsia="Arial" w:hAnsi="Arial"/>
                <w:sz w:val="14"/>
                <w:szCs w:val="14"/>
                <w:color w:val="auto"/>
              </w:rPr>
              <w:t>126,738</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0" w:type="dxa"/>
            <w:vAlign w:val="bottom"/>
          </w:tcPr>
          <w:p>
            <w:pPr>
              <w:spacing w:after="0"/>
              <w:rPr>
                <w:sz w:val="1"/>
                <w:szCs w:val="1"/>
                <w:color w:val="auto"/>
              </w:rPr>
            </w:pPr>
          </w:p>
        </w:tc>
      </w:t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Nishan de Silva, M.D., M.B.A.</w:t>
            </w:r>
          </w:p>
        </w:tc>
        <w:tc>
          <w:tcPr>
            <w:tcW w:w="1480" w:type="dxa"/>
            <w:vAlign w:val="bottom"/>
          </w:tcPr>
          <w:p>
            <w:pPr>
              <w:jc w:val="right"/>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Scott D. Myers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Aymeric Sallin</w:t>
            </w:r>
          </w:p>
        </w:tc>
        <w:tc>
          <w:tcPr>
            <w:tcW w:w="1480" w:type="dxa"/>
            <w:vAlign w:val="bottom"/>
          </w:tcPr>
          <w:p>
            <w:pPr>
              <w:jc w:val="right"/>
              <w:spacing w:after="0"/>
              <w:rPr>
                <w:sz w:val="20"/>
                <w:szCs w:val="20"/>
                <w:color w:val="auto"/>
              </w:rPr>
            </w:pPr>
            <w:r>
              <w:rPr>
                <w:rFonts w:ascii="Arial" w:cs="Arial" w:eastAsia="Arial" w:hAnsi="Arial"/>
                <w:sz w:val="14"/>
                <w:szCs w:val="14"/>
                <w:color w:val="auto"/>
              </w:rPr>
              <w:t>126,410</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Timothy A. Springer, Ph.D.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126,410</w:t>
            </w:r>
          </w:p>
        </w:tc>
        <w:tc>
          <w:tcPr>
            <w:tcW w:w="0" w:type="dxa"/>
            <w:vAlign w:val="bottom"/>
          </w:tcPr>
          <w:p>
            <w:pPr>
              <w:spacing w:after="0"/>
              <w:rPr>
                <w:sz w:val="1"/>
                <w:szCs w:val="1"/>
                <w:color w:val="auto"/>
              </w:rPr>
            </w:pPr>
          </w:p>
        </w:tc>
      </w:t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Patrick Zenner</w:t>
            </w:r>
          </w:p>
        </w:tc>
        <w:tc>
          <w:tcPr>
            <w:tcW w:w="1480" w:type="dxa"/>
            <w:vAlign w:val="bottom"/>
          </w:tcPr>
          <w:p>
            <w:pPr>
              <w:jc w:val="right"/>
              <w:spacing w:after="0"/>
              <w:rPr>
                <w:sz w:val="20"/>
                <w:szCs w:val="20"/>
                <w:color w:val="auto"/>
              </w:rPr>
            </w:pPr>
            <w:r>
              <w:rPr>
                <w:rFonts w:ascii="Arial" w:cs="Arial" w:eastAsia="Arial" w:hAnsi="Arial"/>
                <w:sz w:val="14"/>
                <w:szCs w:val="14"/>
                <w:color w:val="auto"/>
              </w:rPr>
              <w:t>132,820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Number of securities</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to be issued upon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Weighted-average</w:t>
            </w: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remaining available for</w:t>
            </w:r>
          </w:p>
        </w:tc>
      </w:tr>
      <w:tr>
        <w:trPr>
          <w:trHeight w:val="202"/>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of outstanding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exercise price of</w:t>
            </w: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future issuance under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stock options, warrants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outstanding options,</w:t>
            </w:r>
          </w:p>
        </w:tc>
        <w:tc>
          <w:tcPr>
            <w:tcW w:w="2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equity compensation</w:t>
            </w:r>
          </w:p>
        </w:tc>
      </w:tr>
      <w:tr>
        <w:trPr>
          <w:trHeight w:val="228"/>
        </w:trPr>
        <w:tc>
          <w:tcPr>
            <w:tcW w:w="3940" w:type="dxa"/>
            <w:vAlign w:val="bottom"/>
            <w:gridSpan w:val="2"/>
          </w:tcPr>
          <w:p>
            <w:pPr>
              <w:ind w:left="1500"/>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warrants and rights</w:t>
            </w:r>
            <w:r>
              <w:rPr>
                <w:rFonts w:ascii="Arial" w:cs="Arial" w:eastAsia="Arial" w:hAnsi="Arial"/>
                <w:sz w:val="18"/>
                <w:szCs w:val="18"/>
                <w:b w:val="1"/>
                <w:bCs w:val="1"/>
                <w:color w:val="auto"/>
                <w:w w:val="92"/>
                <w:vertAlign w:val="superscript"/>
              </w:rPr>
              <w:t>(1)</w:t>
            </w: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plans</w:t>
            </w:r>
            <w:r>
              <w:rPr>
                <w:rFonts w:ascii="Arial" w:cs="Arial" w:eastAsia="Arial" w:hAnsi="Arial"/>
                <w:sz w:val="18"/>
                <w:szCs w:val="18"/>
                <w:b w:val="1"/>
                <w:bCs w:val="1"/>
                <w:color w:val="auto"/>
                <w:w w:val="85"/>
                <w:vertAlign w:val="superscript"/>
              </w:rPr>
              <w:t>(2)</w:t>
            </w:r>
          </w:p>
        </w:tc>
      </w:tr>
      <w:tr>
        <w:trPr>
          <w:trHeight w:val="188"/>
        </w:trPr>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(b)</w:t>
            </w:r>
          </w:p>
        </w:tc>
        <w:tc>
          <w:tcPr>
            <w:tcW w:w="3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6"/>
                <w:szCs w:val="16"/>
                <w:color w:val="auto"/>
              </w:rPr>
            </w:pPr>
          </w:p>
        </w:tc>
      </w:tr>
      <w:tr>
        <w:trPr>
          <w:trHeight w:val="211"/>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Equity compensation plans approved by security holders </w:t>
            </w:r>
            <w:r>
              <w:rPr>
                <w:rFonts w:ascii="Arial" w:cs="Arial" w:eastAsia="Arial" w:hAnsi="Arial"/>
                <w:sz w:val="18"/>
                <w:szCs w:val="18"/>
                <w:color w:val="auto"/>
                <w:vertAlign w:val="superscript"/>
              </w:rPr>
              <w:t>(3)</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15,300,209</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90"/>
              </w:rPr>
              <w:t>(4)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ind w:left="1540"/>
              <w:spacing w:after="0"/>
              <w:rPr>
                <w:sz w:val="20"/>
                <w:szCs w:val="20"/>
                <w:color w:val="auto"/>
              </w:rPr>
            </w:pPr>
            <w:r>
              <w:rPr>
                <w:rFonts w:ascii="Arial" w:cs="Arial" w:eastAsia="Arial" w:hAnsi="Arial"/>
                <w:sz w:val="14"/>
                <w:szCs w:val="14"/>
                <w:color w:val="auto"/>
              </w:rPr>
              <w:t xml:space="preserve">3.54 </w:t>
            </w:r>
            <w:r>
              <w:rPr>
                <w:rFonts w:ascii="Arial" w:cs="Arial" w:eastAsia="Arial" w:hAnsi="Arial"/>
                <w:sz w:val="9"/>
                <w:szCs w:val="9"/>
                <w:color w:val="auto"/>
              </w:rPr>
              <w:t>(5)</w:t>
            </w:r>
          </w:p>
        </w:tc>
        <w:tc>
          <w:tcPr>
            <w:tcW w:w="2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xml:space="preserve">5,356,733 </w:t>
            </w:r>
            <w:r>
              <w:rPr>
                <w:rFonts w:ascii="Arial" w:cs="Arial" w:eastAsia="Arial" w:hAnsi="Arial"/>
                <w:sz w:val="9"/>
                <w:szCs w:val="9"/>
                <w:color w:val="auto"/>
              </w:rPr>
              <w:t>(6)</w:t>
            </w:r>
          </w:p>
        </w:tc>
      </w:tr>
      <w:tr>
        <w:trPr>
          <w:trHeight w:val="203"/>
        </w:trPr>
        <w:tc>
          <w:tcPr>
            <w:tcW w:w="394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4"/>
                <w:szCs w:val="14"/>
                <w:color w:val="auto"/>
                <w:w w:val="99"/>
              </w:rPr>
              <w:t xml:space="preserve">Equity compensation plans not approved by security holders </w:t>
            </w:r>
            <w:r>
              <w:rPr>
                <w:rFonts w:ascii="Arial" w:cs="Arial" w:eastAsia="Arial" w:hAnsi="Arial"/>
                <w:sz w:val="18"/>
                <w:szCs w:val="18"/>
                <w:color w:val="auto"/>
                <w:w w:val="99"/>
                <w:vertAlign w:val="superscript"/>
              </w:rPr>
              <w:t>(7)</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2,250,000</w:t>
            </w:r>
          </w:p>
        </w:tc>
        <w:tc>
          <w:tcPr>
            <w:tcW w:w="340" w:type="dxa"/>
            <w:vAlign w:val="bottom"/>
            <w:tcBorders>
              <w:bottom w:val="single" w:sz="8" w:color="CCEEFF"/>
            </w:tcBorders>
          </w:tcPr>
          <w:p>
            <w:pPr>
              <w:jc w:val="right"/>
              <w:ind w:right="173"/>
              <w:spacing w:after="0"/>
              <w:rPr>
                <w:sz w:val="20"/>
                <w:szCs w:val="20"/>
                <w:color w:val="auto"/>
              </w:rPr>
            </w:pPr>
            <w:r>
              <w:rPr>
                <w:rFonts w:ascii="Arial" w:cs="Arial" w:eastAsia="Arial" w:hAnsi="Arial"/>
                <w:sz w:val="9"/>
                <w:szCs w:val="9"/>
                <w:color w:val="auto"/>
                <w:w w:val="90"/>
              </w:rPr>
              <w:t>(8)</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3.39</w:t>
            </w:r>
          </w:p>
        </w:tc>
        <w:tc>
          <w:tcPr>
            <w:tcW w:w="3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425,858</w:t>
            </w:r>
          </w:p>
        </w:tc>
        <w:tc>
          <w:tcPr>
            <w:tcW w:w="340" w:type="dxa"/>
            <w:vAlign w:val="bottom"/>
            <w:tcBorders>
              <w:bottom w:val="single" w:sz="8" w:color="CCEEFF"/>
            </w:tcBorders>
          </w:tcPr>
          <w:p>
            <w:pPr>
              <w:spacing w:after="0"/>
              <w:rPr>
                <w:sz w:val="17"/>
                <w:szCs w:val="17"/>
                <w:color w:val="auto"/>
              </w:rPr>
            </w:pPr>
          </w:p>
        </w:tc>
      </w:tr>
      <w:tr>
        <w:trPr>
          <w:trHeight w:val="22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17,550,209</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color w:val="auto"/>
              </w:rPr>
              <w:t>3.52</w:t>
            </w:r>
          </w:p>
        </w:tc>
        <w:tc>
          <w:tcPr>
            <w:tcW w:w="3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5,782,591</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options and is calculated without taking into account outstanding restricted stock units.</w:t>
      </w:r>
    </w:p>
    <w:p>
      <w:pPr>
        <w:spacing w:after="0" w:line="140" w:lineRule="exact"/>
        <w:rPr>
          <w:rFonts w:ascii="Arial" w:cs="Arial" w:eastAsia="Arial" w:hAnsi="Arial"/>
          <w:sz w:val="16"/>
          <w:szCs w:val="16"/>
          <w:color w:val="auto"/>
        </w:rPr>
      </w:pPr>
    </w:p>
    <w:p>
      <w:pPr>
        <w:ind w:left="340" w:right="160" w:hanging="332"/>
        <w:spacing w:after="0" w:line="287" w:lineRule="auto"/>
        <w:tabs>
          <w:tab w:leader="none" w:pos="334" w:val="left"/>
        </w:tabs>
        <w:numPr>
          <w:ilvl w:val="0"/>
          <w:numId w:val="45"/>
        </w:numPr>
        <w:rPr>
          <w:rFonts w:ascii="Arial" w:cs="Arial" w:eastAsia="Arial" w:hAnsi="Arial"/>
          <w:sz w:val="16"/>
          <w:szCs w:val="16"/>
          <w:color w:val="auto"/>
        </w:rPr>
      </w:pPr>
      <w:r>
        <w:rPr>
          <w:rFonts w:ascii="Arial" w:cs="Arial" w:eastAsia="Arial" w:hAnsi="Arial"/>
          <w:sz w:val="16"/>
          <w:szCs w:val="16"/>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w:t>
      </w:r>
    </w:p>
    <w:p>
      <w:pPr>
        <w:spacing w:after="0" w:line="2" w:lineRule="exact"/>
        <w:rPr>
          <w:rFonts w:ascii="Arial" w:cs="Arial" w:eastAsia="Arial" w:hAnsi="Arial"/>
          <w:sz w:val="16"/>
          <w:szCs w:val="16"/>
          <w:color w:val="auto"/>
        </w:rPr>
      </w:pPr>
    </w:p>
    <w:p>
      <w:pPr>
        <w:ind w:left="340" w:right="20"/>
        <w:spacing w:after="0" w:line="253" w:lineRule="auto"/>
        <w:rPr>
          <w:rFonts w:ascii="Arial" w:cs="Arial" w:eastAsia="Arial" w:hAnsi="Arial"/>
          <w:sz w:val="16"/>
          <w:szCs w:val="16"/>
          <w:color w:val="auto"/>
        </w:rPr>
      </w:pPr>
      <w:r>
        <w:rPr>
          <w:rFonts w:ascii="Arial" w:cs="Arial" w:eastAsia="Arial" w:hAnsi="Arial"/>
          <w:sz w:val="18"/>
          <w:szCs w:val="18"/>
          <w:color w:val="auto"/>
        </w:rPr>
        <w:t>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w:t>
      </w:r>
    </w:p>
    <w:p>
      <w:pPr>
        <w:spacing w:after="0" w:line="84"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the 2016 Plan, the 2008 Plan and the 2016 ESPP.</w:t>
      </w:r>
    </w:p>
    <w:p>
      <w:pPr>
        <w:spacing w:after="0" w:line="117" w:lineRule="exact"/>
        <w:rPr>
          <w:rFonts w:ascii="Arial" w:cs="Arial" w:eastAsia="Arial" w:hAnsi="Arial"/>
          <w:sz w:val="18"/>
          <w:szCs w:val="18"/>
          <w:color w:val="auto"/>
        </w:rPr>
      </w:pPr>
    </w:p>
    <w:p>
      <w:pPr>
        <w:ind w:left="340" w:right="220" w:hanging="332"/>
        <w:spacing w:after="0" w:line="308" w:lineRule="auto"/>
        <w:tabs>
          <w:tab w:leader="none" w:pos="334"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outstanding options to purchase 13,382,096 shares of Common Stock and 1,705,558 outstanding restricted stock units to purchase shares of Common Stock under the 2016 Plan and outstanding options to purchase 212,555 shares of Common Stock under the 2008 Plan.</w:t>
      </w:r>
    </w:p>
    <w:p>
      <w:pPr>
        <w:spacing w:after="0" w:line="38" w:lineRule="exact"/>
        <w:rPr>
          <w:rFonts w:ascii="Arial" w:cs="Arial" w:eastAsia="Arial" w:hAnsi="Arial"/>
          <w:sz w:val="17"/>
          <w:szCs w:val="17"/>
          <w:color w:val="auto"/>
        </w:rPr>
      </w:pPr>
    </w:p>
    <w:p>
      <w:pPr>
        <w:ind w:left="340" w:right="580" w:hanging="332"/>
        <w:spacing w:after="0" w:line="277"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of December 31, 2022, the weighted-average exercise price of outstanding options under the 2016 Plan was $3.48 and the weighted-average exercise price of outstanding options under the 2008 Plan was $7.46.</w:t>
      </w:r>
    </w:p>
    <w:p>
      <w:pPr>
        <w:spacing w:after="0" w:line="62" w:lineRule="exact"/>
        <w:rPr>
          <w:rFonts w:ascii="Arial" w:cs="Arial" w:eastAsia="Arial" w:hAnsi="Arial"/>
          <w:sz w:val="18"/>
          <w:szCs w:val="18"/>
          <w:color w:val="auto"/>
        </w:rPr>
      </w:pPr>
    </w:p>
    <w:p>
      <w:pPr>
        <w:ind w:left="340" w:hanging="332"/>
        <w:spacing w:after="0" w:line="259"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1,719,015 shares available for issuance under the 2016 Plan and 3,637,718 shares available for issuance under the 2016 ESPP (of which 108,068 shares were issued with respect to the purchase period in effect as of December 31, 2022, which purchase period ended on February 28, 2023). To the extent outstanding stock options under the 2008 Plan are forfeited or lapse unexercised, the shares of Common Stock subject to such stock option awards will be available for issuance under the 2016 Plan.</w:t>
      </w:r>
    </w:p>
    <w:p>
      <w:pPr>
        <w:spacing w:after="0" w:line="78" w:lineRule="exact"/>
        <w:rPr>
          <w:rFonts w:ascii="Arial" w:cs="Arial" w:eastAsia="Arial" w:hAnsi="Arial"/>
          <w:sz w:val="18"/>
          <w:szCs w:val="18"/>
          <w:color w:val="auto"/>
        </w:rPr>
      </w:pPr>
    </w:p>
    <w:p>
      <w:pPr>
        <w:ind w:left="340" w:right="440" w:hanging="332"/>
        <w:spacing w:after="0" w:line="277"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the 2018 Plan. See Note 11 to our consolidated financial statements included in our 2022 Annual Report for a description of the material features of the 2018 Plan.</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outstanding options to purchase 2,250,000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17, 2023,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153,426,983 shares of Common Stock outstanding as of April 17, 2023.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17, 2023 are considered outstanding, although these shares are not considered outstanding for purposes of computing the percentage ownership of any other person.</w:t>
      </w:r>
    </w:p>
    <w:p>
      <w:pPr>
        <w:spacing w:after="0" w:line="7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8"/>
              </w:rPr>
              <w:t>shares</w:t>
            </w:r>
          </w:p>
        </w:tc>
        <w:tc>
          <w:tcPr>
            <w:tcW w:w="2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of shares</w:t>
            </w:r>
          </w:p>
        </w:tc>
        <w:tc>
          <w:tcPr>
            <w:tcW w:w="0" w:type="dxa"/>
            <w:vAlign w:val="bottom"/>
          </w:tcPr>
          <w:p>
            <w:pPr>
              <w:spacing w:after="0"/>
              <w:rPr>
                <w:sz w:val="1"/>
                <w:szCs w:val="1"/>
                <w:color w:val="auto"/>
              </w:rPr>
            </w:pPr>
          </w:p>
        </w:tc>
      </w:tr>
      <w:tr>
        <w:trPr>
          <w:trHeight w:val="139"/>
        </w:trPr>
        <w:tc>
          <w:tcPr>
            <w:tcW w:w="7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0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beneficially</w:t>
            </w:r>
          </w:p>
        </w:tc>
        <w:tc>
          <w:tcPr>
            <w:tcW w:w="20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beneficially</w:t>
            </w:r>
          </w:p>
        </w:tc>
        <w:tc>
          <w:tcPr>
            <w:tcW w:w="0" w:type="dxa"/>
            <w:vAlign w:val="bottom"/>
          </w:tcPr>
          <w:p>
            <w:pPr>
              <w:spacing w:after="0"/>
              <w:rPr>
                <w:sz w:val="1"/>
                <w:szCs w:val="1"/>
                <w:color w:val="auto"/>
              </w:rPr>
            </w:pPr>
          </w:p>
        </w:tc>
      </w:tr>
      <w:tr>
        <w:trPr>
          <w:trHeight w:val="186"/>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owned</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26"/>
        </w:trPr>
        <w:tc>
          <w:tcPr>
            <w:tcW w:w="6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5% 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Entities affiliated with Timothy A. Springer, Ph.D. </w:t>
            </w:r>
            <w:r>
              <w:rPr>
                <w:rFonts w:ascii="Arial" w:cs="Arial" w:eastAsia="Arial" w:hAnsi="Arial"/>
                <w:sz w:val="18"/>
                <w:szCs w:val="18"/>
                <w:color w:val="auto"/>
                <w:vertAlign w:val="superscript"/>
              </w:rPr>
              <w:t>(1)</w:t>
            </w:r>
          </w:p>
        </w:tc>
        <w:tc>
          <w:tcPr>
            <w:tcW w:w="1960" w:type="dxa"/>
            <w:vAlign w:val="bottom"/>
          </w:tcPr>
          <w:p>
            <w:pPr>
              <w:jc w:val="right"/>
              <w:spacing w:after="0"/>
              <w:rPr>
                <w:sz w:val="20"/>
                <w:szCs w:val="20"/>
                <w:color w:val="auto"/>
              </w:rPr>
            </w:pPr>
            <w:r>
              <w:rPr>
                <w:rFonts w:ascii="Arial" w:cs="Arial" w:eastAsia="Arial" w:hAnsi="Arial"/>
                <w:sz w:val="14"/>
                <w:szCs w:val="14"/>
                <w:color w:val="auto"/>
              </w:rPr>
              <w:t>44,356,586</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27.6 %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Entities affiliated with Armistice Capital, LLC </w:t>
            </w:r>
            <w:r>
              <w:rPr>
                <w:rFonts w:ascii="Arial" w:cs="Arial" w:eastAsia="Arial" w:hAnsi="Arial"/>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21,875,000</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Entities affiliated with EcoR1 </w:t>
            </w:r>
            <w:r>
              <w:rPr>
                <w:rFonts w:ascii="Arial" w:cs="Arial" w:eastAsia="Arial" w:hAnsi="Arial"/>
                <w:sz w:val="18"/>
                <w:szCs w:val="18"/>
                <w:color w:val="auto"/>
                <w:vertAlign w:val="superscript"/>
              </w:rPr>
              <w:t>(3)</w:t>
            </w:r>
          </w:p>
        </w:tc>
        <w:tc>
          <w:tcPr>
            <w:tcW w:w="1960" w:type="dxa"/>
            <w:vAlign w:val="bottom"/>
          </w:tcPr>
          <w:p>
            <w:pPr>
              <w:jc w:val="right"/>
              <w:spacing w:after="0"/>
              <w:rPr>
                <w:sz w:val="20"/>
                <w:szCs w:val="20"/>
                <w:color w:val="auto"/>
              </w:rPr>
            </w:pPr>
            <w:r>
              <w:rPr>
                <w:rFonts w:ascii="Arial" w:cs="Arial" w:eastAsia="Arial" w:hAnsi="Arial"/>
                <w:sz w:val="14"/>
                <w:szCs w:val="14"/>
                <w:color w:val="auto"/>
              </w:rPr>
              <w:t>12,668,251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Entities affiliated with Mangrove Partners </w:t>
            </w:r>
            <w:r>
              <w:rPr>
                <w:rFonts w:ascii="Arial" w:cs="Arial" w:eastAsia="Arial" w:hAnsi="Arial"/>
                <w:sz w:val="18"/>
                <w:szCs w:val="18"/>
                <w:color w:val="auto"/>
                <w:vertAlign w:val="superscript"/>
              </w:rPr>
              <w:t>(4)</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9,387,677</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56"/>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Named Executive Officers, Directors and Nominees</w:t>
            </w:r>
          </w:p>
        </w:tc>
        <w:tc>
          <w:tcPr>
            <w:tcW w:w="1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Carsten Brunn, Ph.D. </w:t>
            </w:r>
            <w:r>
              <w:rPr>
                <w:rFonts w:ascii="Arial" w:cs="Arial" w:eastAsia="Arial" w:hAnsi="Arial"/>
                <w:sz w:val="18"/>
                <w:szCs w:val="18"/>
                <w:color w:val="auto"/>
                <w:vertAlign w:val="superscript"/>
              </w:rPr>
              <w:t>(5)</w:t>
            </w:r>
          </w:p>
        </w:tc>
        <w:tc>
          <w:tcPr>
            <w:tcW w:w="1960" w:type="dxa"/>
            <w:vAlign w:val="bottom"/>
          </w:tcPr>
          <w:p>
            <w:pPr>
              <w:jc w:val="right"/>
              <w:spacing w:after="0"/>
              <w:rPr>
                <w:sz w:val="20"/>
                <w:szCs w:val="20"/>
                <w:color w:val="auto"/>
              </w:rPr>
            </w:pPr>
            <w:r>
              <w:rPr>
                <w:rFonts w:ascii="Arial" w:cs="Arial" w:eastAsia="Arial" w:hAnsi="Arial"/>
                <w:sz w:val="14"/>
                <w:szCs w:val="14"/>
                <w:color w:val="auto"/>
              </w:rPr>
              <w:t>3,405,434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Blaine Davis</w:t>
            </w:r>
          </w:p>
        </w:tc>
        <w:tc>
          <w:tcPr>
            <w:tcW w:w="20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Kevin Tan </w:t>
            </w:r>
            <w:r>
              <w:rPr>
                <w:rFonts w:ascii="Arial" w:cs="Arial" w:eastAsia="Arial" w:hAnsi="Arial"/>
                <w:sz w:val="18"/>
                <w:szCs w:val="18"/>
                <w:color w:val="auto"/>
                <w:vertAlign w:val="superscript"/>
              </w:rPr>
              <w:t>(6)</w:t>
            </w:r>
          </w:p>
        </w:tc>
        <w:tc>
          <w:tcPr>
            <w:tcW w:w="1960" w:type="dxa"/>
            <w:vAlign w:val="bottom"/>
          </w:tcPr>
          <w:p>
            <w:pPr>
              <w:jc w:val="right"/>
              <w:spacing w:after="0"/>
              <w:rPr>
                <w:sz w:val="20"/>
                <w:szCs w:val="20"/>
                <w:color w:val="auto"/>
              </w:rPr>
            </w:pPr>
            <w:r>
              <w:rPr>
                <w:rFonts w:ascii="Arial" w:cs="Arial" w:eastAsia="Arial" w:hAnsi="Arial"/>
                <w:sz w:val="14"/>
                <w:szCs w:val="14"/>
                <w:color w:val="auto"/>
              </w:rPr>
              <w:t>20,774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Peter G. Traber, M.D. </w:t>
            </w:r>
            <w:r>
              <w:rPr>
                <w:rFonts w:ascii="Arial" w:cs="Arial" w:eastAsia="Arial" w:hAnsi="Arial"/>
                <w:sz w:val="18"/>
                <w:szCs w:val="18"/>
                <w:color w:val="auto"/>
                <w:vertAlign w:val="superscript"/>
              </w:rPr>
              <w:t>(7)</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927,214</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Takashi Kei Kishimoto, Ph.D. </w:t>
            </w:r>
            <w:r>
              <w:rPr>
                <w:rFonts w:ascii="Arial" w:cs="Arial" w:eastAsia="Arial" w:hAnsi="Arial"/>
                <w:sz w:val="18"/>
                <w:szCs w:val="18"/>
                <w:color w:val="auto"/>
                <w:vertAlign w:val="superscript"/>
              </w:rPr>
              <w:t>(8)</w:t>
            </w:r>
          </w:p>
        </w:tc>
        <w:tc>
          <w:tcPr>
            <w:tcW w:w="1960" w:type="dxa"/>
            <w:vAlign w:val="bottom"/>
          </w:tcPr>
          <w:p>
            <w:pPr>
              <w:jc w:val="right"/>
              <w:spacing w:after="0"/>
              <w:rPr>
                <w:sz w:val="20"/>
                <w:szCs w:val="20"/>
                <w:color w:val="auto"/>
              </w:rPr>
            </w:pPr>
            <w:r>
              <w:rPr>
                <w:rFonts w:ascii="Arial" w:cs="Arial" w:eastAsia="Arial" w:hAnsi="Arial"/>
                <w:sz w:val="14"/>
                <w:szCs w:val="14"/>
                <w:color w:val="auto"/>
              </w:rPr>
              <w:t>1,028,432</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Lloyd Johnston, Ph.D. </w:t>
            </w:r>
            <w:r>
              <w:rPr>
                <w:rFonts w:ascii="Arial" w:cs="Arial" w:eastAsia="Arial" w:hAnsi="Arial"/>
                <w:sz w:val="18"/>
                <w:szCs w:val="18"/>
                <w:color w:val="auto"/>
                <w:vertAlign w:val="superscript"/>
              </w:rPr>
              <w:t>(9)</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940,121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Carrie S. Cox </w:t>
            </w:r>
            <w:r>
              <w:rPr>
                <w:rFonts w:ascii="Arial" w:cs="Arial" w:eastAsia="Arial" w:hAnsi="Arial"/>
                <w:sz w:val="18"/>
                <w:szCs w:val="18"/>
                <w:color w:val="auto"/>
                <w:vertAlign w:val="superscript"/>
              </w:rPr>
              <w:t>(10)</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415,721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Göran Ando, M.D. </w:t>
            </w:r>
            <w:r>
              <w:rPr>
                <w:rFonts w:ascii="Arial" w:cs="Arial" w:eastAsia="Arial" w:hAnsi="Arial"/>
                <w:sz w:val="18"/>
                <w:szCs w:val="18"/>
                <w:color w:val="auto"/>
                <w:vertAlign w:val="superscript"/>
              </w:rPr>
              <w:t>(11)</w:t>
            </w:r>
          </w:p>
        </w:tc>
        <w:tc>
          <w:tcPr>
            <w:tcW w:w="2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Timothy C. Barabe </w:t>
            </w:r>
            <w:r>
              <w:rPr>
                <w:rFonts w:ascii="Arial" w:cs="Arial" w:eastAsia="Arial" w:hAnsi="Arial"/>
                <w:sz w:val="18"/>
                <w:szCs w:val="18"/>
                <w:color w:val="auto"/>
                <w:vertAlign w:val="superscript"/>
              </w:rPr>
              <w:t>(12)</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376,751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Nishan de Silva, M.D., M.B.A. </w:t>
            </w:r>
            <w:r>
              <w:rPr>
                <w:rFonts w:ascii="Arial" w:cs="Arial" w:eastAsia="Arial" w:hAnsi="Arial"/>
                <w:sz w:val="18"/>
                <w:szCs w:val="18"/>
                <w:color w:val="auto"/>
                <w:vertAlign w:val="superscript"/>
              </w:rPr>
              <w:t>(13)</w:t>
            </w:r>
          </w:p>
        </w:tc>
        <w:tc>
          <w:tcPr>
            <w:tcW w:w="1960" w:type="dxa"/>
            <w:vAlign w:val="bottom"/>
          </w:tcPr>
          <w:p>
            <w:pPr>
              <w:jc w:val="right"/>
              <w:spacing w:after="0"/>
              <w:rPr>
                <w:sz w:val="20"/>
                <w:szCs w:val="20"/>
                <w:color w:val="auto"/>
              </w:rPr>
            </w:pPr>
            <w:r>
              <w:rPr>
                <w:rFonts w:ascii="Arial" w:cs="Arial" w:eastAsia="Arial" w:hAnsi="Arial"/>
                <w:sz w:val="14"/>
                <w:szCs w:val="14"/>
                <w:color w:val="auto"/>
              </w:rPr>
              <w:t>98,111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Scott D. Myers </w:t>
            </w:r>
            <w:r>
              <w:rPr>
                <w:rFonts w:ascii="Arial" w:cs="Arial" w:eastAsia="Arial" w:hAnsi="Arial"/>
                <w:sz w:val="18"/>
                <w:szCs w:val="18"/>
                <w:color w:val="auto"/>
                <w:vertAlign w:val="superscript"/>
              </w:rPr>
              <w:t>(14)</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220,549</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Aymeric Sallin </w:t>
            </w:r>
            <w:r>
              <w:rPr>
                <w:rFonts w:ascii="Arial" w:cs="Arial" w:eastAsia="Arial" w:hAnsi="Arial"/>
                <w:sz w:val="18"/>
                <w:szCs w:val="18"/>
                <w:color w:val="auto"/>
                <w:vertAlign w:val="superscript"/>
              </w:rPr>
              <w:t>(15)</w:t>
            </w:r>
          </w:p>
        </w:tc>
        <w:tc>
          <w:tcPr>
            <w:tcW w:w="1960" w:type="dxa"/>
            <w:vAlign w:val="bottom"/>
          </w:tcPr>
          <w:p>
            <w:pPr>
              <w:jc w:val="right"/>
              <w:spacing w:after="0"/>
              <w:rPr>
                <w:sz w:val="20"/>
                <w:szCs w:val="20"/>
                <w:color w:val="auto"/>
              </w:rPr>
            </w:pPr>
            <w:r>
              <w:rPr>
                <w:rFonts w:ascii="Arial" w:cs="Arial" w:eastAsia="Arial" w:hAnsi="Arial"/>
                <w:sz w:val="14"/>
                <w:szCs w:val="14"/>
                <w:color w:val="auto"/>
              </w:rPr>
              <w:t>126,410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Timothy A. Springer, Ph.D. </w:t>
            </w:r>
            <w:r>
              <w:rPr>
                <w:rFonts w:ascii="Arial" w:cs="Arial" w:eastAsia="Arial" w:hAnsi="Arial"/>
                <w:sz w:val="18"/>
                <w:szCs w:val="18"/>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44,356,586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Patrick Zenner </w:t>
            </w:r>
            <w:r>
              <w:rPr>
                <w:rFonts w:ascii="Arial" w:cs="Arial" w:eastAsia="Arial" w:hAnsi="Arial"/>
                <w:sz w:val="18"/>
                <w:szCs w:val="18"/>
                <w:color w:val="auto"/>
                <w:vertAlign w:val="superscript"/>
              </w:rPr>
              <w:t>(16)</w:t>
            </w:r>
          </w:p>
        </w:tc>
        <w:tc>
          <w:tcPr>
            <w:tcW w:w="1960" w:type="dxa"/>
            <w:vAlign w:val="bottom"/>
          </w:tcPr>
          <w:p>
            <w:pPr>
              <w:jc w:val="right"/>
              <w:spacing w:after="0"/>
              <w:rPr>
                <w:sz w:val="20"/>
                <w:szCs w:val="20"/>
                <w:color w:val="auto"/>
              </w:rPr>
            </w:pPr>
            <w:r>
              <w:rPr>
                <w:rFonts w:ascii="Arial" w:cs="Arial" w:eastAsia="Arial" w:hAnsi="Arial"/>
                <w:sz w:val="14"/>
                <w:szCs w:val="14"/>
                <w:color w:val="auto"/>
              </w:rPr>
              <w:t>188,068</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 xml:space="preserve">All executive officers, directors and director nominees as a group (14 persons) </w:t>
            </w:r>
            <w:r>
              <w:rPr>
                <w:rFonts w:ascii="Arial" w:cs="Arial" w:eastAsia="Arial" w:hAnsi="Arial"/>
                <w:sz w:val="18"/>
                <w:szCs w:val="18"/>
                <w:color w:val="auto"/>
                <w:vertAlign w:val="superscript"/>
              </w:rPr>
              <w:t>(17)</w:t>
            </w:r>
          </w:p>
        </w:tc>
        <w:tc>
          <w:tcPr>
            <w:tcW w:w="1960" w:type="dxa"/>
            <w:vAlign w:val="bottom"/>
          </w:tcPr>
          <w:p>
            <w:pPr>
              <w:jc w:val="right"/>
              <w:spacing w:after="0"/>
              <w:rPr>
                <w:sz w:val="20"/>
                <w:szCs w:val="20"/>
                <w:color w:val="auto"/>
              </w:rPr>
            </w:pPr>
            <w:r>
              <w:rPr>
                <w:rFonts w:ascii="Arial" w:cs="Arial" w:eastAsia="Arial" w:hAnsi="Arial"/>
                <w:sz w:val="14"/>
                <w:szCs w:val="14"/>
                <w:color w:val="auto"/>
              </w:rPr>
              <w:t>52,104,171</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31.2 %</w:t>
            </w:r>
          </w:p>
        </w:tc>
        <w:tc>
          <w:tcPr>
            <w:tcW w:w="0" w:type="dxa"/>
            <w:vAlign w:val="bottom"/>
          </w:tcPr>
          <w:p>
            <w:pPr>
              <w:spacing w:after="0"/>
              <w:rPr>
                <w:sz w:val="1"/>
                <w:szCs w:val="1"/>
                <w:color w:val="auto"/>
              </w:rPr>
            </w:pPr>
          </w:p>
        </w:tc>
      </w:tr>
      <w:tr>
        <w:trPr>
          <w:trHeight w:val="323"/>
        </w:trPr>
        <w:tc>
          <w:tcPr>
            <w:tcW w:w="7020" w:type="dxa"/>
            <w:vAlign w:val="bottom"/>
            <w:gridSpan w:val="2"/>
          </w:tcPr>
          <w:p>
            <w:pPr>
              <w:ind w:left="20"/>
              <w:spacing w:after="0"/>
              <w:rPr>
                <w:sz w:val="20"/>
                <w:szCs w:val="20"/>
                <w:color w:val="auto"/>
              </w:rPr>
            </w:pPr>
            <w:r>
              <w:rPr>
                <w:rFonts w:ascii="Arial" w:cs="Arial" w:eastAsia="Arial" w:hAnsi="Arial"/>
                <w:sz w:val="18"/>
                <w:szCs w:val="18"/>
                <w:color w:val="auto"/>
                <w:w w:val="92"/>
              </w:rPr>
              <w:t>* Represents beneficial ownership of less than one percent of our outstanding Common Stock.</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120" w:hanging="492"/>
        <w:spacing w:after="0" w:line="296" w:lineRule="auto"/>
        <w:tabs>
          <w:tab w:leader="none" w:pos="494"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a Schedule 13D/A filed with the SEC on December 27, 2021 and other information known to us, consists of (i) 7,293,625 shares of Common Stock held directly by Timothy A. Springer, Ph.D., a member of our Board, (ii) 126,410 shares of Common Stock issuable upon exercise of outstanding options within 60 days of April 17, 2023 and held directly by Timothy A. Springer, Ph.D., (iii) 29,868,490 shares of Common Stock held by TAS Partners LLC (“TAS”) directly, (iv) 6,981,643 shares of Common Stock issuable upon exercise of underlying warrants exercisable within 60 days of April 17, 2023 held by TAS directly, and (vi) 86,418 shares of Common Stock held by Dr. Chafen Lu, Dr.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79" w:lineRule="exact"/>
        <w:rPr>
          <w:sz w:val="20"/>
          <w:szCs w:val="20"/>
          <w:color w:val="auto"/>
        </w:rPr>
      </w:pPr>
    </w:p>
    <w:p>
      <w:pPr>
        <w:ind w:left="500" w:right="160" w:hanging="492"/>
        <w:spacing w:after="0" w:line="259" w:lineRule="auto"/>
        <w:tabs>
          <w:tab w:leader="none" w:pos="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solely on information known to us, consists of (i) 12,500,000 shares of Common Stock held by Armistice Capital Master Fund Ltd., and (ii) 9,375,000 shares of Common Stock issuable upon exercise of underlying warrants exercisable within 60 days of April 17, 2023. Armistice Capital, LLC is the general partner of Armistice Capital Master Fund Ltd. The principal business address of Armistice Capital Master Fund Ltd. is 510 Madison Avenue, New York, NY 10022.</w:t>
      </w:r>
    </w:p>
    <w:p>
      <w:pPr>
        <w:spacing w:after="0" w:line="78" w:lineRule="exact"/>
        <w:rPr>
          <w:rFonts w:ascii="Arial" w:cs="Arial" w:eastAsia="Arial" w:hAnsi="Arial"/>
          <w:sz w:val="18"/>
          <w:szCs w:val="18"/>
          <w:color w:val="auto"/>
        </w:rPr>
      </w:pPr>
    </w:p>
    <w:p>
      <w:pPr>
        <w:ind w:left="500" w:right="20" w:hanging="492"/>
        <w:spacing w:after="0" w:line="269" w:lineRule="auto"/>
        <w:tabs>
          <w:tab w:leader="none" w:pos="4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12, 2021 by EcoR1 Capital, LLC, and other information known to us, consists of (i) 2,541,050 shares of Common Stock held by EcoR1 Capital, LLC, (ii) 567,857 shares of Common Stock issuable upon exercise of underlying warrants exercisable within 60 days of April 17, 2023 held by EcoR1 Capital Fund, LP, (iii) 5,203,351 shares of Common Stock held by EcoR1 Capital Fund Qualified, LP (together with EcoR1 Capital Fund, LP, the “EcoR1 Funds”), and (iv) 4,355,993 shares of Common Stock issuable upon exercise of underlying warrants exercisable within 60 days of April 17, 2023 held by EcoR1 Capital Fund Qualified, LP. Certain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The principal business address of the EcoR1 Funds and Oleg Nodelman is 357 Tehama Street, #3, San Francisco, California, 94103.</w:t>
      </w:r>
    </w:p>
    <w:p>
      <w:pPr>
        <w:spacing w:after="0" w:line="77" w:lineRule="exact"/>
        <w:rPr>
          <w:rFonts w:ascii="Arial" w:cs="Arial" w:eastAsia="Arial" w:hAnsi="Arial"/>
          <w:sz w:val="17"/>
          <w:szCs w:val="17"/>
          <w:color w:val="auto"/>
        </w:rPr>
      </w:pPr>
    </w:p>
    <w:p>
      <w:pPr>
        <w:ind w:left="500" w:right="40" w:hanging="492"/>
        <w:spacing w:after="0" w:line="273" w:lineRule="auto"/>
        <w:tabs>
          <w:tab w:leader="none" w:pos="4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a Schedule 13G/A filed with the SEC on February 14, 2023 by Mangrove Partners, consists of (i) 5,260,419 shares of Common Stock over which Mangrove Partners Master Fund, Ltd., Mangrove Partners, and Nathaniel August (the “Mangrove Entities”) all share voting and dispositive power, and (ii) 4,127,258 shares of Common Stock issuable upon exercise of underlying warrants exercisable within 60 days of April 17, 2023 held by the Mangrove Entities. The principal address for Mangrove Partners Master Fund, Ltd. and Mangrove Partners is c/o Maples Corporate Services, Ltd., PO Box 309, Ugland House, South Church Street, George Town, Grand Cayman, Cayman Islands KY1-1104, and for Nathaniel August is 645 Madison Avenue, 14th Floor, New York, New York 10022.</w:t>
      </w:r>
    </w:p>
    <w:p>
      <w:pPr>
        <w:spacing w:after="0" w:line="69" w:lineRule="exact"/>
        <w:rPr>
          <w:rFonts w:ascii="Arial" w:cs="Arial" w:eastAsia="Arial" w:hAnsi="Arial"/>
          <w:sz w:val="17"/>
          <w:szCs w:val="17"/>
          <w:color w:val="auto"/>
        </w:rPr>
      </w:pPr>
    </w:p>
    <w:p>
      <w:pPr>
        <w:ind w:left="500" w:right="400" w:hanging="492"/>
        <w:spacing w:after="0" w:line="277" w:lineRule="auto"/>
        <w:tabs>
          <w:tab w:leader="none" w:pos="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258,088 shares of Common Stock held by Dr. Brunn directly and (ii) 3,147,346 shares of Common Stock underlying outstanding stock options exercisable within 60 days of April 17, 2023.</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20,774 shares of Common Stock held by Mr. Tan directly. Mr. Tan departed the Company effective December 31, 2022.</w:t>
      </w:r>
    </w:p>
    <w:p>
      <w:pPr>
        <w:spacing w:after="0" w:line="117" w:lineRule="exact"/>
        <w:rPr>
          <w:rFonts w:ascii="Arial" w:cs="Arial" w:eastAsia="Arial" w:hAnsi="Arial"/>
          <w:sz w:val="18"/>
          <w:szCs w:val="18"/>
          <w:color w:val="auto"/>
        </w:rPr>
      </w:pPr>
    </w:p>
    <w:p>
      <w:pPr>
        <w:ind w:left="500" w:right="80" w:hanging="492"/>
        <w:spacing w:after="0" w:line="277" w:lineRule="auto"/>
        <w:tabs>
          <w:tab w:leader="none" w:pos="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156,731 shares of Common Stock held by Dr. Traber directly and (ii) 770,483 shares of Common Stock underlying outstanding stock options exercisable within 60 days of April 17, 2023.</w:t>
      </w:r>
    </w:p>
    <w:p>
      <w:pPr>
        <w:spacing w:after="0" w:line="62" w:lineRule="exact"/>
        <w:rPr>
          <w:rFonts w:ascii="Arial" w:cs="Arial" w:eastAsia="Arial" w:hAnsi="Arial"/>
          <w:sz w:val="18"/>
          <w:szCs w:val="18"/>
          <w:color w:val="auto"/>
        </w:rPr>
      </w:pPr>
    </w:p>
    <w:p>
      <w:pPr>
        <w:ind w:left="500" w:right="220" w:hanging="492"/>
        <w:spacing w:after="0" w:line="277" w:lineRule="auto"/>
        <w:tabs>
          <w:tab w:leader="none" w:pos="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202,403 shares of Common Stock held by Dr. Kishimoto directly and (ii) 826,029 shares of Common Stock underlying outstanding stock options exercisable within 60 days of April 17, 2023.</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89,515 shares of Common Stock held by Dr. Johnston directly and (ii) 850,606 shares of Common Stock underlying outstanding stock options exercisable within 60 days of April 17, 2023.</w:t>
      </w:r>
    </w:p>
    <w:p>
      <w:pPr>
        <w:spacing w:after="0" w:line="62" w:lineRule="exact"/>
        <w:rPr>
          <w:rFonts w:ascii="Arial" w:cs="Arial" w:eastAsia="Arial" w:hAnsi="Arial"/>
          <w:sz w:val="18"/>
          <w:szCs w:val="18"/>
          <w:color w:val="auto"/>
        </w:rPr>
      </w:pPr>
    </w:p>
    <w:p>
      <w:pPr>
        <w:ind w:left="500" w:right="60" w:hanging="492"/>
        <w:spacing w:after="0" w:line="263" w:lineRule="auto"/>
        <w:tabs>
          <w:tab w:leader="none" w:pos="4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212,881 shares of Common Stock held by Ms. Cox directly (ii) 32,840 shares of Common Stock issuable upon exercise of underlying warrants exercisable within 60 days of April 17, 2023, and (iii) 170,000 shares of Common Stock underlying outstanding stock options exercisable within 60 days of April 17, 2023.</w:t>
      </w:r>
    </w:p>
    <w:p>
      <w:pPr>
        <w:spacing w:after="0" w:line="75" w:lineRule="exact"/>
        <w:rPr>
          <w:rFonts w:ascii="Arial" w:cs="Arial" w:eastAsia="Arial" w:hAnsi="Arial"/>
          <w:sz w:val="18"/>
          <w:szCs w:val="18"/>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not aware of any beneficial ownership of Common Stock by Dr. Ando, who retired from the Board on January 4, 2023.</w:t>
      </w:r>
    </w:p>
    <w:p>
      <w:pPr>
        <w:spacing w:after="0" w:line="117" w:lineRule="exact"/>
        <w:rPr>
          <w:rFonts w:ascii="Arial" w:cs="Arial" w:eastAsia="Arial" w:hAnsi="Arial"/>
          <w:sz w:val="18"/>
          <w:szCs w:val="18"/>
          <w:color w:val="auto"/>
        </w:rPr>
      </w:pPr>
    </w:p>
    <w:p>
      <w:pPr>
        <w:ind w:left="500" w:right="20" w:hanging="492"/>
        <w:spacing w:after="0" w:line="277" w:lineRule="auto"/>
        <w:tabs>
          <w:tab w:leader="none" w:pos="4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250,013 shares of Common Stock held by Mr. Barabe directly and (ii) 126,738 shares of Common Stock underlying outstanding stock options exercisable within 60 days of April 17, 2023.</w:t>
      </w:r>
    </w:p>
    <w:p>
      <w:pPr>
        <w:spacing w:after="0" w:line="62" w:lineRule="exact"/>
        <w:rPr>
          <w:rFonts w:ascii="Arial" w:cs="Arial" w:eastAsia="Arial" w:hAnsi="Arial"/>
          <w:sz w:val="18"/>
          <w:szCs w:val="18"/>
          <w:color w:val="auto"/>
        </w:rPr>
      </w:pPr>
    </w:p>
    <w:p>
      <w:pPr>
        <w:ind w:left="500" w:right="260" w:hanging="492"/>
        <w:spacing w:after="0" w:line="277" w:lineRule="auto"/>
        <w:tabs>
          <w:tab w:leader="none" w:pos="4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7,000 shares of Common Stock held by Dr. de Silva directly and (ii) 91,111 shares of Common Stock underlying outstanding stock options exercisable within 60 days of April 17, 2023.</w:t>
      </w:r>
    </w:p>
    <w:p>
      <w:pPr>
        <w:spacing w:after="0" w:line="62" w:lineRule="exact"/>
        <w:rPr>
          <w:rFonts w:ascii="Arial" w:cs="Arial" w:eastAsia="Arial" w:hAnsi="Arial"/>
          <w:sz w:val="18"/>
          <w:szCs w:val="18"/>
          <w:color w:val="auto"/>
        </w:rPr>
      </w:pPr>
    </w:p>
    <w:p>
      <w:pPr>
        <w:ind w:left="500" w:right="180" w:hanging="492"/>
        <w:spacing w:after="0" w:line="263" w:lineRule="auto"/>
        <w:tabs>
          <w:tab w:leader="none" w:pos="4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80,845 shares of Common Stock held by Mr. Myers directly, (ii) 19,704 shares of Common Stock issuable upon exercise of underlying warrants exercisable within 60 days of April 17, 2023, and (iii) 120,000 shares of Common Stock underlying outstanding stock options exercisable within 60 days of April 17, 2023.</w:t>
      </w:r>
    </w:p>
    <w:p>
      <w:pPr>
        <w:spacing w:after="0" w:line="75" w:lineRule="exact"/>
        <w:rPr>
          <w:rFonts w:ascii="Arial" w:cs="Arial" w:eastAsia="Arial" w:hAnsi="Arial"/>
          <w:sz w:val="18"/>
          <w:szCs w:val="18"/>
          <w:color w:val="auto"/>
        </w:rPr>
      </w:pPr>
    </w:p>
    <w:p>
      <w:pPr>
        <w:ind w:left="500" w:right="160" w:hanging="492"/>
        <w:spacing w:after="0" w:line="277" w:lineRule="auto"/>
        <w:tabs>
          <w:tab w:leader="none" w:pos="4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126,410 shares of Common Stock underlying outstanding stock options exercisable within 60 days of April 17, 2023 held by Mr. Sallin directly.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hanging="492"/>
        <w:spacing w:after="0" w:line="277" w:lineRule="auto"/>
        <w:tabs>
          <w:tab w:leader="none" w:pos="4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55,248 shares of Common Stock held by Mr. Zenner directly, and (ii) 132,820 shares of Common Stock underlying outstanding stock options exercisable within 60 days of April 17, 2023.</w:t>
      </w:r>
    </w:p>
    <w:p>
      <w:pPr>
        <w:spacing w:after="0" w:line="62" w:lineRule="exact"/>
        <w:rPr>
          <w:rFonts w:ascii="Arial" w:cs="Arial" w:eastAsia="Arial" w:hAnsi="Arial"/>
          <w:sz w:val="18"/>
          <w:szCs w:val="18"/>
          <w:color w:val="auto"/>
        </w:rPr>
      </w:pPr>
    </w:p>
    <w:p>
      <w:pPr>
        <w:ind w:left="500" w:right="440" w:hanging="492"/>
        <w:spacing w:after="0" w:line="342" w:lineRule="auto"/>
        <w:tabs>
          <w:tab w:leader="none" w:pos="4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(i) 38,582,031 shares of Common Stock owned directly or beneficially by our executive officers or members of our Board and (ii) 13,522,140 shares of Common Stock underlying outstanding stock options and warrants exercisable within 60 days of April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since January 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2022 Offering</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April 2022, we completed an SEC-registered securities offering pursuant to which we issued and sold an aggregate of 27,428,572 shares of our Common Stock and accompanying warrants to purchase 20,571,429 shares of our Common Stock, at a combined purchase price of $1.41, for aggregate net proceeds to us of approximately $36.9 million. The following table sets forth the number of shares of Common Stock and accompanying warrants to purchase Common Stock purchased in our private placement offering by executive officers, as of the time of the offering, directors and related parties thereto:</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Shares of Common Stock</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of Common Stock</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5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7"/>
              </w:rPr>
              <w:t>Underlying Warrants</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Purchased</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202"/>
        </w:trPr>
        <w:tc>
          <w:tcPr>
            <w:tcW w:w="524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4"/>
                <w:szCs w:val="14"/>
                <w:b w:val="1"/>
                <w:bCs w:val="1"/>
                <w:i w:val="1"/>
                <w:iCs w:val="1"/>
                <w:color w:val="auto"/>
              </w:rPr>
              <w:t>5% Stockholders</w:t>
            </w:r>
            <w:r>
              <w:rPr>
                <w:rFonts w:ascii="Arial" w:cs="Arial" w:eastAsia="Arial" w:hAnsi="Arial"/>
                <w:sz w:val="18"/>
                <w:szCs w:val="18"/>
                <w:b w:val="1"/>
                <w:bCs w:val="1"/>
                <w:i w:val="1"/>
                <w:iCs w:val="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TAS Partners, LLC (affiliate of Timothy A. Springer, Ph.D.)</w:t>
            </w:r>
          </w:p>
        </w:tc>
        <w:tc>
          <w:tcPr>
            <w:tcW w:w="1980" w:type="dxa"/>
            <w:vAlign w:val="bottom"/>
          </w:tcPr>
          <w:p>
            <w:pPr>
              <w:jc w:val="right"/>
              <w:spacing w:after="0"/>
              <w:rPr>
                <w:sz w:val="20"/>
                <w:szCs w:val="20"/>
                <w:color w:val="auto"/>
              </w:rPr>
            </w:pPr>
            <w:r>
              <w:rPr>
                <w:rFonts w:ascii="Arial" w:cs="Arial" w:eastAsia="Arial" w:hAnsi="Arial"/>
                <w:sz w:val="14"/>
                <w:szCs w:val="14"/>
                <w:color w:val="auto"/>
              </w:rPr>
              <w:t>6,681,600</w:t>
            </w: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5,011,200</w:t>
            </w:r>
          </w:p>
        </w:tc>
        <w:tc>
          <w:tcPr>
            <w:tcW w:w="1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$9,421,056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right="340" w:hanging="332"/>
        <w:spacing w:after="0" w:line="277"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details regarding this stockholder and its equity holdings are provided in this proxy statement under the caption “Security Ownership of Certain Beneficial Owners and Management.”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the section in this proxy statement entitled “Executive and Director Compensation Employment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Proposals</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Requirements for Stockholder Proposals or Nominations to be Brought Before the Annual Meeting. </w:t>
      </w:r>
      <w:r>
        <w:rPr>
          <w:rFonts w:ascii="Arial" w:cs="Arial" w:eastAsia="Arial" w:hAnsi="Arial"/>
          <w:sz w:val="18"/>
          <w:szCs w:val="18"/>
          <w:color w:val="auto"/>
        </w:rPr>
        <w:t>Stockholders intending to present a proposal at the</w:t>
      </w:r>
      <w:r>
        <w:rPr>
          <w:rFonts w:ascii="Arial" w:cs="Arial" w:eastAsia="Arial" w:hAnsi="Arial"/>
          <w:sz w:val="18"/>
          <w:szCs w:val="18"/>
          <w:i w:val="1"/>
          <w:iCs w:val="1"/>
          <w:color w:val="auto"/>
        </w:rPr>
        <w:t xml:space="preserve"> </w:t>
      </w:r>
      <w:r>
        <w:rPr>
          <w:rFonts w:ascii="Arial" w:cs="Arial" w:eastAsia="Arial" w:hAnsi="Arial"/>
          <w:sz w:val="18"/>
          <w:szCs w:val="18"/>
          <w:color w:val="auto"/>
        </w:rPr>
        <w:t>2024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90th day prior to the anniversary of the preceding year’s annual meeting. Therefore, the Company must receive notice of such a proposal or nomination for the 2024 Annual Meeting of Stockholders no earlier than the close of business on February 16, 2024 and no later than the close of business on March 18, 2024. The notice must contain the information required by the Bylaws, a copy of which is available upon request to our Secretary. In the event that the date of the 2024 Annual Meeting of Stockholders is more than 30 days before or more than 60 days after June 16, 2024, then our Secretary must receive such written notice not earlier than the close of business on the 120th day prior to the 2024 Annual Meeting of Stockholders and not later than the close of business on the 90th day prior to the 2024 Annual Meeting of Stockholders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 the 2024 Annual Meeting of Stockholders must also comply with all applicable requirements of Rule 14a-19 under the Exchange Act. The advance notice requirement under Rule 14a-19 does not override or supersede the longer advance notice requirement under our Bylaws.</w:t>
      </w:r>
    </w:p>
    <w:p>
      <w:pPr>
        <w:spacing w:after="0" w:line="6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6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Requirements for Stockholder Proposals to be Considered for Inclusion in the Company’s Proxy Materials for the 2024 Annual Meeting of Stockholders</w:t>
      </w:r>
      <w:r>
        <w:rPr>
          <w:rFonts w:ascii="Arial" w:cs="Arial" w:eastAsia="Arial" w:hAnsi="Arial"/>
          <w:sz w:val="18"/>
          <w:szCs w:val="18"/>
          <w:color w:val="auto"/>
        </w:rPr>
        <w:t>. Any stockholder who wishes to submit a proposal for inclusion in our proxy materials must comply with Rule 14a-8 promulgated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For such proposals to be included in our proxy materials for presentation at our 2024 Annual Meeting of Stockholders, all applicable requirements of Rule 14a-8 must be satisfied, and we must receive such proposals no later than December 29, 2023 at our offices at 65 Grove Street, Watertown, Massachusetts 02472, Attn: Secretary.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8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Selecta’s Annual Report on Form 10-K</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 copy of Selecta’s Annual Report on Form 10-K for the fiscal year ended December 31, 2022, including financial statements and schedules thereto but not including exhibits, as filed with the SEC, will be sent to any stockholder of record on April 17, 2023 without charge upon written request addressed to:</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Watertown, MA 02472</w:t>
      </w:r>
    </w:p>
    <w:p>
      <w:pPr>
        <w:spacing w:after="0" w:line="10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You also may access our Annual Report on Form 10-K for the year ended December 31, 2022 on the “Financial Information”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“Investors &amp; Media” page of our website at </w:t>
      </w:r>
      <w:r>
        <w:rPr>
          <w:rFonts w:ascii="Arial" w:cs="Arial" w:eastAsia="Arial" w:hAnsi="Arial"/>
          <w:sz w:val="18"/>
          <w:szCs w:val="18"/>
          <w:i w:val="1"/>
          <w:iCs w:val="1"/>
          <w:color w:val="auto"/>
        </w:rPr>
        <w:t>www.selectabio.com</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518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 Director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8276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82765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303530</wp:posOffset>
            </wp:positionV>
            <wp:extent cx="5863590" cy="7586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lvl w:ilvl="1">
      <w:lvlJc w:val="left"/>
      <w:lvlText w:val="(%2)"/>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bullet"/>
      <w:start w:val="1"/>
    </w:lvl>
  </w:abstractNum>
  <w:abstractNum w:abstractNumId="10">
    <w:nsid w:val="8138641"/>
    <w:multiLevelType w:val="hybridMultilevel"/>
    <w:lvl w:ilvl="0">
      <w:lvlJc w:val="left"/>
      <w:lvlText w:val="2"/>
      <w:numFmt w:val="bullet"/>
      <w:start w:val="1"/>
    </w:lvl>
  </w:abstractNum>
  <w:abstractNum w:abstractNumId="11">
    <w:nsid w:val="1E7FF521"/>
    <w:multiLevelType w:val="hybridMultilevel"/>
    <w:lvl w:ilvl="0">
      <w:lvlJc w:val="left"/>
      <w:lvlText w:val="3"/>
      <w:numFmt w:val="bullet"/>
      <w:start w:val="1"/>
    </w:lvl>
  </w:abstractNum>
  <w:abstractNum w:abstractNumId="12">
    <w:nsid w:val="7C3DBD3D"/>
    <w:multiLevelType w:val="hybridMultilevel"/>
    <w:lvl w:ilvl="0">
      <w:lvlJc w:val="left"/>
      <w:lvlText w:val="4"/>
      <w:numFmt w:val="bullet"/>
      <w:start w:val="1"/>
    </w:lvl>
  </w:abstractNum>
  <w:abstractNum w:abstractNumId="13">
    <w:nsid w:val="737B8DDC"/>
    <w:multiLevelType w:val="hybridMultilevel"/>
    <w:lvl w:ilvl="0">
      <w:lvlJc w:val="left"/>
      <w:lvlText w:val="5"/>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ü"/>
      <w:numFmt w:val="bullet"/>
      <w:start w:val="1"/>
    </w:lvl>
  </w:abstractNum>
  <w:abstractNum w:abstractNumId="24">
    <w:nsid w:val="77465F01"/>
    <w:multiLevelType w:val="hybridMultilevel"/>
    <w:lvl w:ilvl="0">
      <w:lvlJc w:val="left"/>
      <w:lvlText w:val="X"/>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966"/>
    </w:lvl>
  </w:abstractNum>
  <w:abstractNum w:abstractNumId="33">
    <w:nsid w:val="3855585C"/>
    <w:multiLevelType w:val="hybridMultilevel"/>
    <w:lvl w:ilvl="0">
      <w:lvlJc w:val="left"/>
      <w:lvlText w:val="%1"/>
      <w:numFmt w:val="decimal"/>
      <w:start w:val="966"/>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5"/>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4"/>
    </w:lvl>
  </w:abstractNum>
  <w:abstractNum w:abstractNumId="38">
    <w:nsid w:val="725A06FB"/>
    <w:multiLevelType w:val="hybridMultilevel"/>
    <w:lvl w:ilvl="0">
      <w:lvlJc w:val="left"/>
      <w:lvlText w:val="(%1)"/>
      <w:numFmt w:val="lowerRoman"/>
      <w:start w:val="5"/>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3"/>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2"/>
    </w:lvl>
  </w:abstractNum>
  <w:abstractNum w:abstractNumId="47">
    <w:nsid w:val="32FFF902"/>
    <w:multiLevelType w:val="hybridMultilevel"/>
    <w:lvl w:ilvl="0">
      <w:lvlJc w:val="left"/>
      <w:lvlText w:val="(%1)"/>
      <w:numFmt w:val="decimal"/>
      <w:start w:val="16"/>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2023-04-28T16:38:38Z</dcterms:created>
  <dcterms:modified xsi:type="dcterms:W3CDTF">2023-04-28T16:38:38Z</dcterms:modified>
</cp:coreProperties>
</file>