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Johnston Lloyd 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12/08/2021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5"/>
        <w:spacing w:after="0"/>
        <w:rPr>
          <w:sz w:val="20"/>
          <w:szCs w:val="20"/>
          <w:color w:val="auto"/>
        </w:rPr>
      </w:pPr>
      <w:r>
        <w:rPr>
          <w:rFonts w:ascii="Arial" w:cs="Arial" w:eastAsia="Arial" w:hAnsi="Arial"/>
          <w:sz w:val="17"/>
          <w:szCs w:val="17"/>
          <w:color w:val="0000FF"/>
        </w:rPr>
        <w:t>Chief Operations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12/08/2021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111,085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4, 2021, the reporting person was granted performance based restricted stock units for an aggregate of 27,500 shares of the Issuer's common stock (the "Performance RSUs"), which were earned based on the achievement of two separate performance conditions related to the Issuer's operating and research and development activities. The compensation committee of the board of directors of the Issuer has determined that the second of the performance conditions has been met, and accordingly 13,750 Performance RSUs vested on December 8, 2021.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Lloyd P.</w:t>
      </w:r>
      <w:r>
        <w:rPr>
          <w:sz w:val="20"/>
          <w:szCs w:val="20"/>
          <w:color w:val="auto"/>
        </w:rPr>
        <w:tab/>
      </w: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05"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2021-12-10T16:08:37Z</dcterms:created>
  <dcterms:modified xsi:type="dcterms:W3CDTF">2021-12-10T16:08:37Z</dcterms:modified>
</cp:coreProperties>
</file>