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333-241692</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14, 2020)</w:t>
      </w:r>
    </w:p>
    <w:p>
      <w:pPr>
        <w:spacing w:after="0" w:line="7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Up to $75,000,000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178435</wp:posOffset>
            </wp:positionV>
            <wp:extent cx="230568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entered into a Sales Agreement, or the sales agreement, with SVB Leerink LLC, or SVB Leerink, dated October 25, 2021, relating to the sale of shares of our common stock offered by this prospectus supplement. In accordance with the terms of the sales agreement, under this prospectus supplement we may offer and sell shares of our common stock, $0.0001 par value per share, having an aggregate offering price of up to $75,000,000 from time to time through SVB Leerink, acting as our agent.</w:t>
      </w:r>
    </w:p>
    <w:p>
      <w:pPr>
        <w:spacing w:after="0" w:line="187" w:lineRule="exact"/>
        <w:rPr>
          <w:sz w:val="24"/>
          <w:szCs w:val="24"/>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Sales of our common stock, if any, under this prospectus supplement will be made by any method permitted that is deemed an “at the market offering” as defined in Rule 415(a)(4) under the Securities Act of 1933, as amended, or the Securities Act. SVB Leerink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87" w:lineRule="exact"/>
        <w:rPr>
          <w:sz w:val="24"/>
          <w:szCs w:val="24"/>
          <w:color w:val="auto"/>
        </w:rPr>
      </w:pPr>
    </w:p>
    <w:p>
      <w:pPr>
        <w:ind w:left="120" w:firstLine="440"/>
        <w:spacing w:after="0" w:line="275" w:lineRule="auto"/>
        <w:rPr>
          <w:sz w:val="20"/>
          <w:szCs w:val="20"/>
          <w:color w:val="auto"/>
        </w:rPr>
      </w:pPr>
      <w:r>
        <w:rPr>
          <w:rFonts w:ascii="Arial" w:cs="Arial" w:eastAsia="Arial" w:hAnsi="Arial"/>
          <w:sz w:val="17"/>
          <w:szCs w:val="17"/>
          <w:color w:val="auto"/>
        </w:rPr>
        <w:t>SVB Leerink will be entitled to compensation at a commission rate of up to 3.0% of the gross sales price per share sold under the sales agreement. See “Plan of Distribution” beginning on page S-13 for additional information regarding the compensation to be paid to SVB Leerink. In connection with the sale of the common stock on our behalf, SVB Leerink will be deemed to be an “underwriter” within the meaning of the Securities Act and the compensation of SVB Leerink will be deemed to be underwriting commissions or discounts. We have also agreed to provide indemnification and contribution to SVB Leerink with respect to certain liabilities, including liabilities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206375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right="40" w:firstLine="4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SIGNIFICANT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S-6 OF THIS PROSPECTUS SUPPLEMENT AND IN THE DOCUMENTS INCORPORATED BY REFERENCE IN THIS PROSPECTUS SUPPLEMENT CONCERNING FACTORS YOU SHOULD CONSIDER BEFORE INVESTING IN OUR COMMON STOCK.</w:t>
      </w:r>
    </w:p>
    <w:p>
      <w:pPr>
        <w:spacing w:after="0" w:line="193" w:lineRule="exact"/>
        <w:rPr>
          <w:sz w:val="24"/>
          <w:szCs w:val="24"/>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Market, or Nasdaq, under the symbol “SELB.” On October 22, 2021, the last reported sale price of our common stock on Nasdaq was $3.95 per share.</w:t>
      </w:r>
    </w:p>
    <w:p>
      <w:pPr>
        <w:spacing w:after="0" w:line="166" w:lineRule="exact"/>
        <w:rPr>
          <w:sz w:val="24"/>
          <w:szCs w:val="24"/>
          <w:color w:val="auto"/>
        </w:rPr>
      </w:pPr>
    </w:p>
    <w:p>
      <w:pPr>
        <w:ind w:left="120" w:right="12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170815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SVB Leerink</w:t>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supplement is October 25, 2021.</w:t>
      </w:r>
    </w:p>
    <w:p>
      <w:pPr>
        <w:sectPr>
          <w:pgSz w:w="11900" w:h="16838" w:orient="portrait"/>
          <w:cols w:equalWidth="0" w:num="1">
            <w:col w:w="11100"/>
          </w:cols>
          <w:pgMar w:left="320" w:top="230"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84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2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8"/>
              </w:rPr>
              <w:t>TABLE OF CONTENTS</w:t>
            </w:r>
          </w:p>
        </w:tc>
        <w:tc>
          <w:tcPr>
            <w:tcW w:w="42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2"/>
          </w:tcPr>
          <w:p>
            <w:pPr>
              <w:jc w:val="center"/>
              <w:ind w:left="750"/>
              <w:spacing w:after="0"/>
              <w:rPr>
                <w:sz w:val="20"/>
                <w:szCs w:val="20"/>
                <w:color w:val="auto"/>
              </w:rPr>
            </w:pPr>
            <w:r>
              <w:rPr>
                <w:rFonts w:ascii="Arial" w:cs="Arial" w:eastAsia="Arial" w:hAnsi="Arial"/>
                <w:sz w:val="18"/>
                <w:szCs w:val="18"/>
                <w:color w:val="auto"/>
                <w:w w:val="92"/>
              </w:rPr>
              <w:t>PROSPECTUS SUPPLEMENT</w:t>
            </w:r>
          </w:p>
        </w:tc>
        <w:tc>
          <w:tcPr>
            <w:tcW w:w="424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344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3280" w:type="dxa"/>
            <w:vAlign w:val="bottom"/>
            <w:gridSpan w:val="2"/>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WHERE YOU CAN FIND MORE INFORMATION; INCORPORATION BY REFERENCE</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THE COMPANY</w:t>
              </w:r>
            </w:hyperlink>
          </w:p>
        </w:tc>
        <w:tc>
          <w:tcPr>
            <w:tcW w:w="5440" w:type="dxa"/>
            <w:vAlign w:val="bottom"/>
            <w:gridSpan w:val="12"/>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120" w:type="dxa"/>
            <w:vAlign w:val="bottom"/>
          </w:tcPr>
          <w:p>
            <w:pPr>
              <w:spacing w:after="0"/>
              <w:rPr>
                <w:sz w:val="17"/>
                <w:szCs w:val="17"/>
                <w:color w:val="auto"/>
              </w:rPr>
            </w:pPr>
          </w:p>
        </w:tc>
        <w:tc>
          <w:tcPr>
            <w:tcW w:w="672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CAUTIONARY NOTE REGARDING FORWARD-LOOKING STATEMENTS</w:t>
              </w:r>
            </w:hyperlink>
          </w:p>
        </w:tc>
        <w:tc>
          <w:tcPr>
            <w:tcW w:w="94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USE OF PROCEEDS</w:t>
              </w:r>
            </w:hyperlink>
          </w:p>
        </w:tc>
        <w:tc>
          <w:tcPr>
            <w:tcW w:w="51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DIVIDEND POLICY</w:t>
              </w:r>
            </w:hyperlink>
          </w:p>
        </w:tc>
        <w:tc>
          <w:tcPr>
            <w:tcW w:w="51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DILUTION</w:t>
              </w:r>
            </w:hyperlink>
          </w:p>
        </w:tc>
        <w:tc>
          <w:tcPr>
            <w:tcW w:w="5860" w:type="dxa"/>
            <w:vAlign w:val="bottom"/>
            <w:gridSpan w:val="14"/>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20" w:type="dxa"/>
            <w:vAlign w:val="bottom"/>
          </w:tcPr>
          <w:p>
            <w:pPr>
              <w:spacing w:after="0"/>
              <w:rPr>
                <w:sz w:val="17"/>
                <w:szCs w:val="17"/>
                <w:color w:val="auto"/>
              </w:rPr>
            </w:pPr>
          </w:p>
        </w:tc>
        <w:tc>
          <w:tcPr>
            <w:tcW w:w="6720" w:type="dxa"/>
            <w:vAlign w:val="bottom"/>
            <w:gridSpan w:val="1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468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20" w:type="dxa"/>
            <w:vAlign w:val="bottom"/>
          </w:tcPr>
          <w:p>
            <w:pPr>
              <w:spacing w:after="0"/>
              <w:rPr>
                <w:sz w:val="17"/>
                <w:szCs w:val="17"/>
                <w:color w:val="auto"/>
              </w:rPr>
            </w:pPr>
          </w:p>
        </w:tc>
        <w:tc>
          <w:tcPr>
            <w:tcW w:w="672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345"/>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2"/>
          </w:tcPr>
          <w:p>
            <w:pPr>
              <w:jc w:val="center"/>
              <w:ind w:left="710"/>
              <w:spacing w:after="0"/>
              <w:rPr>
                <w:sz w:val="20"/>
                <w:szCs w:val="20"/>
                <w:color w:val="auto"/>
              </w:rPr>
            </w:pPr>
            <w:r>
              <w:rPr>
                <w:rFonts w:ascii="Arial" w:cs="Arial" w:eastAsia="Arial" w:hAnsi="Arial"/>
                <w:sz w:val="18"/>
                <w:szCs w:val="18"/>
                <w:color w:val="auto"/>
                <w:w w:val="90"/>
              </w:rPr>
              <w:t>PROSPECTUS</w:t>
            </w:r>
          </w:p>
        </w:tc>
        <w:tc>
          <w:tcPr>
            <w:tcW w:w="424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672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WHERE YOU CAN FIND MORE INFORMATION; INCORPORATION BY REFERENCE</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THE COMPANY</w:t>
              </w:r>
            </w:hyperlink>
          </w:p>
        </w:tc>
        <w:tc>
          <w:tcPr>
            <w:tcW w:w="5440" w:type="dxa"/>
            <w:vAlign w:val="bottom"/>
            <w:gridSpan w:val="12"/>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672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USE OF PROCEEDS</w:t>
              </w:r>
            </w:hyperlink>
          </w:p>
        </w:tc>
        <w:tc>
          <w:tcPr>
            <w:tcW w:w="51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672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CAPITAL STOCK</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DESCRIPTION OF DEBT SECURITIES</w:t>
              </w:r>
            </w:hyperlink>
          </w:p>
        </w:tc>
        <w:tc>
          <w:tcPr>
            <w:tcW w:w="370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WARRANTS</w:t>
              </w:r>
            </w:hyperlink>
          </w:p>
        </w:tc>
        <w:tc>
          <w:tcPr>
            <w:tcW w:w="424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DESCRIPTION OF UNITS</w:t>
              </w:r>
            </w:hyperlink>
          </w:p>
        </w:tc>
        <w:tc>
          <w:tcPr>
            <w:tcW w:w="4700" w:type="dxa"/>
            <w:vAlign w:val="bottom"/>
            <w:gridSpan w:val="8"/>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GLOBAL SECURITIES</w:t>
              </w:r>
            </w:hyperlink>
          </w:p>
        </w:tc>
        <w:tc>
          <w:tcPr>
            <w:tcW w:w="4920" w:type="dxa"/>
            <w:vAlign w:val="bottom"/>
            <w:gridSpan w:val="9"/>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6720" w:type="dxa"/>
            <w:vAlign w:val="bottom"/>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468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672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40" w:firstLine="991"/>
        <w:spacing w:after="0" w:line="296" w:lineRule="auto"/>
        <w:rPr>
          <w:sz w:val="20"/>
          <w:szCs w:val="20"/>
          <w:color w:val="auto"/>
        </w:rPr>
      </w:pPr>
      <w:r>
        <w:rPr>
          <w:rFonts w:ascii="Arial" w:cs="Arial" w:eastAsia="Arial" w:hAnsi="Arial"/>
          <w:sz w:val="16"/>
          <w:szCs w:val="16"/>
          <w:color w:val="auto"/>
        </w:rPr>
        <w:t>This prospectus supplement is part of a registration statement that we have filed with the Securities and Exchange Commission, or the SEC, utilizing a “shelf” registration process, and relates to the offering of our common stock. Before buying any of the common stock that we are offering, we urge you to carefully read this prospectus supplement, the accompanying base prospectus and all of the information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w:t>
      </w:r>
    </w:p>
    <w:p>
      <w:pPr>
        <w:spacing w:after="0" w:line="161" w:lineRule="exact"/>
        <w:rPr>
          <w:sz w:val="20"/>
          <w:szCs w:val="20"/>
          <w:color w:val="auto"/>
        </w:rPr>
      </w:pPr>
    </w:p>
    <w:p>
      <w:pPr>
        <w:ind w:left="120" w:right="40" w:firstLine="991"/>
        <w:spacing w:after="0" w:line="253" w:lineRule="auto"/>
        <w:rPr>
          <w:sz w:val="20"/>
          <w:szCs w:val="20"/>
          <w:color w:val="auto"/>
        </w:rPr>
      </w:pPr>
      <w:r>
        <w:rPr>
          <w:rFonts w:ascii="Arial" w:cs="Arial" w:eastAsia="Arial" w:hAnsi="Arial"/>
          <w:sz w:val="18"/>
          <w:szCs w:val="18"/>
          <w:color w:val="auto"/>
        </w:rPr>
        <w:t>We provide information to you about this offering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96"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We have not, and SVB Leerink has not, authorized anyone to provide you with different information. We take no responsibility for, and can provide no assurance as to the reliability of, any information that others may give. We are not, and SVB Leerink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81" w:lineRule="exact"/>
        <w:rPr>
          <w:sz w:val="20"/>
          <w:szCs w:val="20"/>
          <w:color w:val="auto"/>
        </w:rPr>
      </w:pPr>
    </w:p>
    <w:p>
      <w:pPr>
        <w:ind w:left="120" w:right="540" w:firstLine="991"/>
        <w:spacing w:after="0" w:line="308" w:lineRule="auto"/>
        <w:rPr>
          <w:sz w:val="20"/>
          <w:szCs w:val="20"/>
          <w:color w:val="auto"/>
        </w:rPr>
      </w:pPr>
      <w:r>
        <w:rPr>
          <w:rFonts w:ascii="Arial" w:cs="Arial" w:eastAsia="Arial" w:hAnsi="Arial"/>
          <w:sz w:val="17"/>
          <w:szCs w:val="17"/>
          <w:color w:val="auto"/>
        </w:rPr>
        <w:t>When we refer to “Selecta,” “we,” “our,” “us,” the “Company” and “our company” in this prospectus supplement, we mean Selecta Biosciences, Inc., unless otherwise specified. When we refer to “you,” we mean the holders of the applicable series of securities.</w:t>
      </w:r>
    </w:p>
    <w:p>
      <w:pPr>
        <w:spacing w:after="0" w:line="146"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 xml:space="preserve">We use our registered trademark, Selecta Biosciences, Inc., in this prospectus supplement. This prospectus supplement may also include trademarks, tradenames and service marks that are the property of other organizations. Solely for convenience, trademarks and tradenames referred to in this prospectus supplement appear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440" w:firstLine="991"/>
        <w:spacing w:after="0" w:line="263"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www.sec.gov.</w:t>
      </w:r>
    </w:p>
    <w:p>
      <w:pPr>
        <w:spacing w:after="0" w:line="18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Our web site address is www.selectabiosciences.com. The information on our web site, however, is not, and should not be deemed to be, a part of this prospectus supplement.</w:t>
      </w:r>
    </w:p>
    <w:p>
      <w:pPr>
        <w:spacing w:after="0" w:line="170" w:lineRule="exact"/>
        <w:rPr>
          <w:sz w:val="20"/>
          <w:szCs w:val="20"/>
          <w:color w:val="auto"/>
        </w:rPr>
      </w:pPr>
    </w:p>
    <w:p>
      <w:pPr>
        <w:ind w:left="120" w:right="180" w:firstLine="991"/>
        <w:spacing w:after="0" w:line="273" w:lineRule="auto"/>
        <w:rPr>
          <w:sz w:val="20"/>
          <w:szCs w:val="20"/>
          <w:color w:val="auto"/>
        </w:rPr>
      </w:pPr>
      <w:r>
        <w:rPr>
          <w:rFonts w:ascii="Arial" w:cs="Arial" w:eastAsia="Arial" w:hAnsi="Arial"/>
          <w:sz w:val="17"/>
          <w:szCs w:val="17"/>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prospectus supplement incorporates by reference the documents set forth below that have previously been filed with the SEC:</w:t>
      </w:r>
    </w:p>
    <w:p>
      <w:pPr>
        <w:spacing w:after="0" w:line="142"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12, 2021.</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16">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7">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with the SEC on May 13, 2021 and August 12,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with the SEC on April 29, 2021.</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9">
        <w:r>
          <w:rPr>
            <w:rFonts w:ascii="Arial" w:cs="Arial" w:eastAsia="Arial" w:hAnsi="Arial"/>
            <w:sz w:val="18"/>
            <w:szCs w:val="18"/>
            <w:u w:val="single" w:color="auto"/>
            <w:color w:val="0000EE"/>
          </w:rPr>
          <w:t>January 6, 2021</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April 15,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May 13,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(only with respect to Item 5.02), </w:t>
      </w:r>
      <w:hyperlink r:id="rId23">
        <w:r>
          <w:rPr>
            <w:rFonts w:ascii="Arial" w:cs="Arial" w:eastAsia="Arial" w:hAnsi="Arial"/>
            <w:sz w:val="18"/>
            <w:szCs w:val="18"/>
            <w:u w:val="single" w:color="auto"/>
            <w:color w:val="0000EE"/>
          </w:rPr>
          <w:t>June 21, 2021</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June 24, 2021</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September 8, 2021</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September 20, 2021</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October 4, 2021</w:t>
        </w:r>
      </w:hyperlink>
      <w:r>
        <w:rPr>
          <w:rFonts w:ascii="Arial" w:cs="Arial" w:eastAsia="Arial" w:hAnsi="Arial"/>
          <w:sz w:val="18"/>
          <w:szCs w:val="18"/>
          <w:color w:val="auto"/>
        </w:rPr>
        <w:t xml:space="preserve">, and </w:t>
      </w:r>
      <w:hyperlink r:id="rId29">
        <w:r>
          <w:rPr>
            <w:rFonts w:ascii="Arial" w:cs="Arial" w:eastAsia="Arial" w:hAnsi="Arial"/>
            <w:sz w:val="18"/>
            <w:szCs w:val="18"/>
            <w:u w:val="single" w:color="auto"/>
            <w:color w:val="0000EE"/>
          </w:rPr>
          <w:t>October 21, 2021</w:t>
        </w:r>
      </w:hyperlink>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20" w:right="80" w:firstLine="991"/>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0">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June 8, 2016, and any amendment or report filed with the SEC for the purpose of updating the description.</w:t>
      </w:r>
    </w:p>
    <w:p>
      <w:pPr>
        <w:spacing w:after="0" w:line="170" w:lineRule="exact"/>
        <w:rPr>
          <w:rFonts w:ascii="Arial" w:cs="Arial" w:eastAsia="Arial" w:hAnsi="Arial"/>
          <w:sz w:val="18"/>
          <w:szCs w:val="18"/>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All reports and other documents we subsequently file pursuant to Section 13(a), 13(c), 14 or 15(d) of the Exchange Act prior to the termination of this offering, including all such documents we may file with the SEC after the date of the registration statement and prior to the effectiveness of the registration statement,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9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 the following address: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(617) 923-1400</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Exhibits to the filings will not be sent, however, unless those exhibits have specifically been incorporated by reference in this prospectus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240" w:firstLine="991"/>
        <w:spacing w:after="0" w:line="259" w:lineRule="auto"/>
        <w:rPr>
          <w:sz w:val="20"/>
          <w:szCs w:val="20"/>
          <w:color w:val="auto"/>
        </w:rPr>
      </w:pPr>
      <w:r>
        <w:rPr>
          <w:rFonts w:ascii="Arial" w:cs="Arial" w:eastAsia="Arial" w:hAnsi="Arial"/>
          <w:sz w:val="18"/>
          <w:szCs w:val="18"/>
          <w:color w:val="auto"/>
        </w:rPr>
        <w:t>We are a clinical-stage biopharmaceutical company leveraging our ImmTOR</w:t>
      </w:r>
      <w:r>
        <w:rPr>
          <w:rFonts w:ascii="Arial" w:cs="Arial" w:eastAsia="Arial" w:hAnsi="Arial"/>
          <w:sz w:val="15"/>
          <w:szCs w:val="15"/>
          <w:color w:val="auto"/>
        </w:rPr>
        <w:t>™</w:t>
      </w:r>
      <w:r>
        <w:rPr>
          <w:rFonts w:ascii="Arial" w:cs="Arial" w:eastAsia="Arial" w:hAnsi="Arial"/>
          <w:sz w:val="18"/>
          <w:szCs w:val="18"/>
          <w:color w:val="auto"/>
        </w:rPr>
        <w:t xml:space="preserve"> immune tolerance platform with the goals of amplifying the efficacy of biologics, including enabling the re-dosing of life-saving gene therapies, and restoring self-tolerance in autoimmune diseases. Our ImmTOR platform encapsulates rapamycin, also known as sirolimus, an immunomodulator, in biodegradable nanoparticles and is designed to induce antigen-specific immune tolerance.</w:t>
      </w:r>
    </w:p>
    <w:p>
      <w:pPr>
        <w:spacing w:after="0" w:line="187" w:lineRule="exact"/>
        <w:rPr>
          <w:sz w:val="20"/>
          <w:szCs w:val="20"/>
          <w:color w:val="auto"/>
        </w:rPr>
      </w:pPr>
    </w:p>
    <w:p>
      <w:pPr>
        <w:ind w:left="120" w:right="260" w:firstLine="991"/>
        <w:spacing w:after="0" w:line="279" w:lineRule="auto"/>
        <w:rPr>
          <w:sz w:val="20"/>
          <w:szCs w:val="20"/>
          <w:color w:val="auto"/>
        </w:rPr>
      </w:pPr>
      <w:r>
        <w:rPr>
          <w:rFonts w:ascii="Arial" w:cs="Arial" w:eastAsia="Arial" w:hAnsi="Arial"/>
          <w:sz w:val="17"/>
          <w:szCs w:val="17"/>
          <w:color w:val="auto"/>
        </w:rPr>
        <w:t>We believe ImmTOR has the potential to enhance the efficacy without compromising the safety of biologic therapies, improve product candidates under development, and enable novel therapeutic modalities. We have developed a portfolio of proprietary and collaboration-driven applications of ImmTOR, and we plan to continue to develop proprietary compounds and pursue collaboration-driven development in certain disease areas, which could include strategic collaborations, out-licensing, and in-licensing transactions.</w:t>
      </w:r>
    </w:p>
    <w:p>
      <w:pPr>
        <w:spacing w:after="0" w:line="171"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filed our certificate of incorporation with the Secretary of State of Delaware on December 10, 2007. Our principal executive offices are located at 65 Grove Street, Watertown, MA 02472, and our telephone number is (617) 923-1400.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offered by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-661670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$75,000,000.</w:t>
      </w:r>
    </w:p>
    <w:p>
      <w:pPr>
        <w:spacing w:after="0" w:line="27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the market offering” that may be made from time to time on Nasdaq or other existing trading market for our common stock through our agent, SVB Leerink LLC. See the section entitled “Plan of Distribution” on page S-13 of this prospectus supplement.</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intend to use the net proceeds of this offering for general corporate purposes, which may include research and development expenditures, acquisitions or in-licenses of complementary companies, medicines or technologies, expenditures to build our initial development, manufacturing and commercial capabilities, working capital and capital expenditures. See the section entitled “Use of Proceeds” on page S-10 of this prospectus supplement.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See “Risk Factors” beginning on page S-6 of this prospectus supplement and the other information included in, or incorporated by reference into, this prospectus supplement for a discussion of certain factors you should carefully consider before deciding to invest in shares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SELB</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S-5</w:t>
      </w:r>
    </w:p>
    <w:p>
      <w:pPr>
        <w:sectPr>
          <w:pgSz w:w="11900" w:h="16838" w:orient="portrait"/>
          <w:cols w:equalWidth="0" w:num="2">
            <w:col w:w="3580" w:space="720"/>
            <w:col w:w="6740"/>
          </w:cols>
          <w:pgMar w:left="32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Investment in any securities offered pursuant to this prospectus supplement and the accompanying base prospectus involves risks. You should carefully consider the risk factors described below and in our Quarterly Report on Form 10-Q for the quarterly period ended June 30, 2021 incorporated by reference in this prospectus supplement, any amendment or update thereto reflected in subsequent filings with the SEC, including in our Annual Reports on Form 10-K and Quarterly Reports on Form 10-Q, and all other information contained or incorporated by reference in this prospectus supplement, as updated by our subsequent filings under the Exchange Act. The occurrence of any of these risks might cause you to lose all or part of your investment in the offered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w:t>
      </w:r>
    </w:p>
    <w:p>
      <w:pPr>
        <w:spacing w:after="0" w:line="121"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b w:val="1"/>
          <w:bCs w:val="1"/>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you.</w:t>
      </w:r>
    </w:p>
    <w:p>
      <w:pPr>
        <w:spacing w:after="0" w:line="184"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outstanding common stock prior to this offering. Assuming that an aggregate of 18,987,341 shares of our common stock are sold at a price of $3.95 per share, the last reported sale price of our common stock on Nasdaq on October 22, 2021, for aggregate gross proceeds of approximately $75 million, and after deducting commissions and estimated offering expenses payable by us, investors in this offering would incur immediate dilution of $3.44 per share. For a more detailed discussion of the foregoing, see the section entitled “Dilution” below. To the extent outstanding stock options or warrants are exercised, there will be further dilution to investors in this offering.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78"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70"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Investors who purchase shares of common stock in this offering at different times will likely pay different prices. As a result, investors may experience different outcomes in their investment results. We will have discretion, subject to market demand, to vary the timing, prices and numbers of shares sold. Investors may experience a decline in the value of their shares as a result of share sales made at prices lower than the prices they paid.</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The actual number of shares of common stock we will issue under the sales agreement, at any one time or in total, is uncertain.</w:t>
      </w:r>
    </w:p>
    <w:p>
      <w:pPr>
        <w:spacing w:after="0" w:line="248"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sales notice to the sales agent at any time throughout the term of the sales agreement. The number of shares that are sold by SVB Leerink after we deliver a sales notice will fluctuate based on the market price of our common stock during the sales period and limits we set with the sales agent. Because the price per share of each share sold will fluctuate based on the market price of our common stock during the sales period, it is not possible at this stage to predict the number of shares that will be ultimately issued.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general corporate purposes, which may include research and development expenditures, acquisitions or in-licenses of complementary companies, medicines or technologies, expenditures to build our initial development, manufacturing and commercial capabilities, working capital and capital expenditures. The failure by our management to apply these funds effectively could harm our business. Pending their use, we plan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This prospectus supplement, the accompanying base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base prospectus and the documents incorporated by reference herein and therein and any free writing prospectus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base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In some cases, you can identify forward-looking statements by terms such as “may,” “will,” “should,” “expect,” “plan,” “anticipate,” “could,” “intend,” “target,” “project,” “contemplates,” “believes,” “estimates,” “predicts,” “potential” or “continue” or the negative of these terms or other similar expressions. These forward-looking statements include, but are not limited to, statements about:</w:t>
      </w:r>
    </w:p>
    <w:p>
      <w:pPr>
        <w:spacing w:after="0" w:line="79" w:lineRule="exact"/>
        <w:rPr>
          <w:sz w:val="20"/>
          <w:szCs w:val="20"/>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30" w:lineRule="exact"/>
        <w:rPr>
          <w:rFonts w:ascii="Arial" w:cs="Arial" w:eastAsia="Arial" w:hAnsi="Arial"/>
          <w:sz w:val="18"/>
          <w:szCs w:val="18"/>
          <w:color w:val="auto"/>
        </w:rPr>
      </w:pPr>
    </w:p>
    <w:p>
      <w:pPr>
        <w:ind w:left="1540" w:right="720" w:hanging="331"/>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75" w:lineRule="exact"/>
        <w:rPr>
          <w:rFonts w:ascii="Arial" w:cs="Arial" w:eastAsia="Arial" w:hAnsi="Arial"/>
          <w:sz w:val="18"/>
          <w:szCs w:val="18"/>
          <w:color w:val="auto"/>
        </w:rPr>
      </w:pPr>
    </w:p>
    <w:p>
      <w:pPr>
        <w:ind w:left="1540" w:right="340" w:hanging="331"/>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have continued access to manufacturing facilities and to receive or manufacture sufficient quantities of our product candidates;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130" w:lineRule="exact"/>
        <w:rPr>
          <w:rFonts w:ascii="Arial" w:cs="Arial" w:eastAsia="Arial" w:hAnsi="Arial"/>
          <w:sz w:val="18"/>
          <w:szCs w:val="18"/>
          <w:color w:val="auto"/>
        </w:rPr>
      </w:pPr>
    </w:p>
    <w:p>
      <w:pPr>
        <w:ind w:left="1540" w:right="540" w:hanging="331"/>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the continuity of our business, including our preclinical studies and clinical trials, and general economic conditions;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forward-looking statements in this prospectus supplement, the accompanying base prospectus and the documents incorporated by reference herein and therein and any free writing prospectus are only predictions. We have based these forward-looking statements largely on our current expectations and projections about future events and financial trends that we believe may affect our business, financial condition and results of operations. These forward- looking statements speak only as of the respective dates of this prospectus supplement, the accompanying base prospectus and the documents incorporated by reference herein and therein and any free writing prospectus, as applicable, and are subject to a number of risks, uncertainties and assumptions, including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those described under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base prospectus and the documents incorporated by reference herein and therein and any free writing prospectus, whether as a result of any new information, future events, changed circumstances or otherwise.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We may issue and sell shares of our common stock having aggregate sales proceeds of up to $75,000,000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left="120" w:right="560" w:firstLine="991"/>
        <w:spacing w:after="0" w:line="263" w:lineRule="auto"/>
        <w:rPr>
          <w:sz w:val="20"/>
          <w:szCs w:val="20"/>
          <w:color w:val="auto"/>
        </w:rPr>
      </w:pPr>
      <w:r>
        <w:rPr>
          <w:rFonts w:ascii="Arial" w:cs="Arial" w:eastAsia="Arial" w:hAnsi="Arial"/>
          <w:sz w:val="18"/>
          <w:szCs w:val="18"/>
          <w:color w:val="auto"/>
        </w:rPr>
        <w:t>We intend to use the net proceeds of this offering for general corporate purposes, which may include research and development expenditures, acquisitions or in-licenses of complementary companies, medicines or technologies, expenditures to build our initial development, manufacturing and commercial capabilities, working capital and capital expenditures.</w:t>
      </w:r>
    </w:p>
    <w:p>
      <w:pPr>
        <w:spacing w:after="0" w:line="184"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 with Silicon Valley Bank.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June 30, 2021 was approximately $(4.2) million, or approximately $(0.04) per share of common stock based upon 115,079,292 shares outstanding. Net tangible book value per share is equal to our total tangible assets, less our total liabilities, divided by the total number of shares outstanding as of June 30, 2021.</w:t>
      </w:r>
    </w:p>
    <w:p>
      <w:pPr>
        <w:spacing w:after="0" w:line="188"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After giving effect to the sale of our common stock in the aggregate amount of $75 million at an assumed offering price of $3.95 per share, the last reported sale price of our common stock on Nasdaq on October 22, 2021, and after deducting commissions and estimated offering expenses payable by us, our as adjusted net tangible book value as of June 30, 2021 would have been $68.3 million, or $0.51 per share of common stock. This represents an immediate increase in net tangible book value of $0.55 per share to our existing stockholders and an immediate dilution in net tangible book value of $3.44 per share to investors in this offering.</w:t>
      </w:r>
    </w:p>
    <w:p>
      <w:pPr>
        <w:spacing w:after="0" w:line="188"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$75 million is sold at the assumed offering price of $3.95 per share, the last reported sale price of our common stock on Nasdaq on October 22, 2021. The shares sold in this offering, if any, will be sold from time to time at various prices.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tangible book value per share as of June 30, 2021</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$(0.04)</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4"/>
        </w:trPr>
        <w:tc>
          <w:tcPr>
            <w:tcW w:w="6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0.55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6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r>
      <w:tr>
        <w:trPr>
          <w:trHeight w:val="27"/>
        </w:trPr>
        <w:tc>
          <w:tcPr>
            <w:tcW w:w="6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520" w:type="dxa"/>
            <w:vAlign w:val="bottom"/>
            <w:gridSpan w:val="3"/>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r>
      <w:tr>
        <w:trPr>
          <w:trHeight w:val="20"/>
        </w:trPr>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120" w:right="580" w:firstLine="991"/>
        <w:spacing w:after="0" w:line="276"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115,079,292 shares of our common stock outstanding as of June 30, 2021. The number of shares outstanding as of June 30, 2021 excludes:</w:t>
      </w:r>
    </w:p>
    <w:p>
      <w:pPr>
        <w:spacing w:after="0" w:line="77" w:lineRule="exact"/>
        <w:rPr>
          <w:sz w:val="20"/>
          <w:szCs w:val="20"/>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10,002,354 shares of common stock issuable upon exercise of stock options outstanding as of June 30, 2021, at a weighted average exercise price of $4.06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537,425 shares of common stock issuable upon vesting of restricted stock units outstanding as of June 30,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3,052,654 shares of common stock reserved for future issuance under our 2016 Incentive Award Plan as of June 30,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2,546,464 shares of common stock reserved for future issuance under our 2016 Employee Stock Purchase Plan as of June 30, 2021;</w:t>
      </w:r>
    </w:p>
    <w:p>
      <w:pPr>
        <w:spacing w:after="0" w:line="142"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1,591,661 shares of common stock reserved for future issuance under our 2018 Employment Inducement Incentive Award Plan as of June 30, 2021;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12,378,016 shares of common stock issuable upon exercise of warrants outstanding as of June 30, 2021, at a weighted average exercise price of $1.60 per share.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foregoing table does not give effect to the exercise of any outstanding options or warrants or the vesting of any restricted stock units.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extent options and warrants are exercised, or restricted stock units vest, there may be further dilution to investors in this offering.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have entered into the sales agreement with SVB Leerink, under which we may issue and sell shares of common stock from time to time through SVB Leerink. Sales of shares of common stock, if any, under this prospectus supplement will be made at market prices by any method that is deemed to be an “at the market offering,” as defined in Rule 415(a)(4) under the Securities Act, including sales made directly on Nasdaq or any other trading market for our common stock.</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Upon delivery of a placement notice to SVB Leerink, SVB Leerink will offer shares of our common stock subject to the terms and conditions of the sales agreement on a daily basis or as otherwise agreed upon by us and SVB Leerink. We will designate the maximum amount of common stock to be sold through SVB Leerink on a daily basis or otherwise determine such maximum amount together with SVB Leerink. Subject to the terms and conditions of the sales agreement, SVB Leerink will use its commercially reasonable efforts consistent with its normal trading and sales practices to sell on our behalf all of the shares of common stock requested to be sold by us. We may instruct SVB Leerink not to sell shares of common stock if the sales cannot be effected at or above the price designated by us in any such instruction. SVB Leerink or we may suspend the offering of shares of our common stock being made through SVB Leerink under the sales agreement upon proper notice to the other party. SVB Leerink and we each have the right, by giving written notice as specified in the sales agreement, to terminate the sales agreement in each party’s sole discretion at any time. The offering of shares of our common stock pursuant to the sales agreement will otherwise terminate upon the termination of the sales agreement as provided therein.</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aggregate compensation payable to SVB Leerink will be an amount up to 3.0% of the gross proceeds of any shares sold through it pursuant to the sales agreement. We have also agreed to reimburse SVB Leerink for up to $75,000 of SVB Leerink’s actual outside legal expenses incurred by SVB Leerink in connection with this offering. We have also agreed to reimburse SVB Leerink for certain ongoing fees of its legal counsel. We estimate that the total expenses of the offering payable by us, excluding commissions and expense reimbursement payable to SVB Leerink under the sales agreement, will be approximately $160,000.</w:t>
      </w:r>
    </w:p>
    <w:p>
      <w:pPr>
        <w:spacing w:after="0" w:line="188"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shares of common stock.</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SVB Leerink will provide written confirmation to us following the close of trading on Nasdaq on each day in which shares of common stock are sold through it as sales agent under the sales agreement. Each confirmation will include the number of shares of common stock sold through it as sales agent on that day, the volume weighted average price of the shares of common stock sold, the percentage of the daily trading volume and the net proceeds to us.</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Settlement for sales of shares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We will report at least quarterly the number of shares of common stock sold through SVB Leerink under the sales agreement, the net proceeds to us and the compensation paid by us to SVB Leerink in connection with the sales of shares of common stock during the relevant period.</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sales of shares of common stock on our behalf, SVB Leerink will be deemed to be an “underwriter” within the meaning of the Securities Act, and the compensation paid to SVB Leerink will be deemed to be underwriting commissions or discounts. We have agreed in the sales agreement to provide indemnification and contribution to SVB Leerink against certain liabilities, including liabilities under the Securities Act. As sales agent, SVB Leerink will not engage in any transactions that stabilize our common stock.</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Covington &amp; Burling LLP, New York, New York, will pass upon certain legal matters relating to the issuance and sale of the securities offered hereby on behalf of Selecta Biosciences, Inc. SVB Leerink LLC is being represented in connection with this offering by Goodwin Procter LLP, New York, New York.</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consolidated financial statements of Selecta Biosciences, Inc. appearing in Selecta Biosciences, Inc.’s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and audited consolidated financial statements to be included in subsequently filed documents will be, incorporated herein in reliance upon the report of Ernst &amp; Young LLP pertaining to such consolidated financial statements (to the extent covered by consents filed with the Securities and Exchange Commission) given on the authority of such firm as experts in accounting and auditing.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94615</wp:posOffset>
            </wp:positionV>
            <wp:extent cx="1945640"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19456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Selecta Biosciences, Inc.</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$200,000,000</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240" w:firstLine="4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2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xml:space="preserve">” ON PAGE </w:t>
      </w:r>
      <w:r>
        <w:rPr>
          <w:rFonts w:ascii="Arial" w:cs="Arial" w:eastAsia="Arial" w:hAnsi="Arial"/>
          <w:sz w:val="22"/>
          <w:szCs w:val="22"/>
          <w:b w:val="1"/>
          <w:bCs w:val="1"/>
          <w:u w:val="single" w:color="auto"/>
          <w:color w:val="auto"/>
        </w:rPr>
        <w:t>5</w:t>
      </w:r>
      <w:r>
        <w:rPr>
          <w:rFonts w:ascii="Arial" w:cs="Arial" w:eastAsia="Arial" w:hAnsi="Arial"/>
          <w:sz w:val="22"/>
          <w:szCs w:val="22"/>
          <w:b w:val="1"/>
          <w:bCs w:val="1"/>
          <w:color w:val="auto"/>
        </w:rPr>
        <w:t xml:space="preserve"> OF THIS PROSPECTUS AND ANY SIMILAR SECTION CONTAINED IN THE APPLICABLE PROSPECTUS SUPPLEMENT CONCERNING FACTORS YOU SHOULD CONSIDER BEFORE INVESTING IN OUR SECURITIES.</w:t>
      </w:r>
    </w:p>
    <w:p>
      <w:pPr>
        <w:spacing w:after="0" w:line="193"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w:t>
      </w:r>
      <w:r>
        <w:rPr>
          <w:rFonts w:ascii="Arial" w:cs="Arial" w:eastAsia="Arial" w:hAnsi="Arial"/>
          <w:sz w:val="18"/>
          <w:szCs w:val="18"/>
          <w:i w:val="1"/>
          <w:iCs w:val="1"/>
          <w:color w:val="auto"/>
        </w:rPr>
        <w:t>SELB</w:t>
      </w:r>
      <w:r>
        <w:rPr>
          <w:rFonts w:ascii="Arial" w:cs="Arial" w:eastAsia="Arial" w:hAnsi="Arial"/>
          <w:sz w:val="18"/>
          <w:szCs w:val="18"/>
          <w:color w:val="auto"/>
        </w:rPr>
        <w:t>.” On August 5, 2020, the last reported sale price of our common stock on the Nasdaq Global Market was $2.78 per share.</w:t>
      </w:r>
    </w:p>
    <w:p>
      <w:pPr>
        <w:spacing w:after="0" w:line="166"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August 14, 2020.</w:t>
      </w:r>
    </w:p>
    <w:p>
      <w:pPr>
        <w:sectPr>
          <w:pgSz w:w="11900" w:h="16838" w:orient="portrait"/>
          <w:cols w:equalWidth="0" w:num="1">
            <w:col w:w="11060"/>
          </w:cols>
          <w:pgMar w:left="320" w:top="459" w:right="5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84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2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TABLE OF CONTENTS</w:t>
            </w:r>
          </w:p>
        </w:tc>
        <w:tc>
          <w:tcPr>
            <w:tcW w:w="4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72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WHERE YOU CAN FIND MORE INFORMATION; INCORPORATION BY REFERENCE</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THE COMPANY</w:t>
              </w:r>
            </w:hyperlink>
          </w:p>
        </w:tc>
        <w:tc>
          <w:tcPr>
            <w:tcW w:w="544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USE OF PROCEEDS</w:t>
              </w:r>
            </w:hyperlink>
          </w:p>
        </w:tc>
        <w:tc>
          <w:tcPr>
            <w:tcW w:w="5140" w:type="dxa"/>
            <w:vAlign w:val="bottom"/>
            <w:gridSpan w:val="8"/>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CAPITAL STOCK</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DESCRIPTION OF DEBT SECURITIES</w:t>
              </w:r>
            </w:hyperlink>
          </w:p>
        </w:tc>
        <w:tc>
          <w:tcPr>
            <w:tcW w:w="370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WARRANTS</w:t>
              </w:r>
            </w:hyperlink>
          </w:p>
        </w:tc>
        <w:tc>
          <w:tcPr>
            <w:tcW w:w="424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DESCRIPTION OF UNITS</w:t>
              </w:r>
            </w:hyperlink>
          </w:p>
        </w:tc>
        <w:tc>
          <w:tcPr>
            <w:tcW w:w="4700" w:type="dxa"/>
            <w:vAlign w:val="bottom"/>
            <w:gridSpan w:val="6"/>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GLOBAL SECURITIES</w:t>
              </w:r>
            </w:hyperlink>
          </w:p>
        </w:tc>
        <w:tc>
          <w:tcPr>
            <w:tcW w:w="492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468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6720" w:type="dxa"/>
            <w:vAlign w:val="bottom"/>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8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When we refer to “Selecta,” “we,” “our,” “us” and the “Company” in this prospectus, we mean Selecta Biosciences, Inc. and its consolidated subsidiaries, unless otherwise specified. When we refer to “you,” we mean the potential holders of the applicable series of securities.</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use our registered trademark, Selecta Biosciences, Inc. in this prospectus. This prospectus, including the documents incorporated by reference into this prospectus, also includes trademarks, tradenames and service marks that are the property of other organizations. Solely for convenience, trademarks and tradenames referred to in this prospectus appear without the</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www.selectabiosciences.com</w:t>
      </w:r>
      <w:r>
        <w:rPr>
          <w:rFonts w:ascii="Arial" w:cs="Arial" w:eastAsia="Arial" w:hAnsi="Arial"/>
          <w:sz w:val="18"/>
          <w:szCs w:val="18"/>
          <w:color w:val="auto"/>
        </w:rPr>
        <w:t>. The information on our web site, however, is not, and should not be deemed to be, a part of this prospectus.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12, 2020.</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from our </w:t>
      </w:r>
      <w:hyperlink r:id="rId52">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with the SEC on April 28, 2020.</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53">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June 30, 2020</w:t>
        </w:r>
      </w:hyperlink>
      <w:r>
        <w:rPr>
          <w:rFonts w:ascii="Arial" w:cs="Arial" w:eastAsia="Arial" w:hAnsi="Arial"/>
          <w:sz w:val="18"/>
          <w:szCs w:val="18"/>
          <w:color w:val="auto"/>
        </w:rPr>
        <w:t>, filed with the SEC on May 7, 2020 and August 6, 2020, respectively.</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5">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April 27, 2020</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June 12, 2020</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June 18,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respect to Items 1.01 and 8.01), </w:t>
      </w:r>
      <w:hyperlink r:id="rId59">
        <w:r>
          <w:rPr>
            <w:rFonts w:ascii="Arial" w:cs="Arial" w:eastAsia="Arial" w:hAnsi="Arial"/>
            <w:sz w:val="18"/>
            <w:szCs w:val="18"/>
            <w:u w:val="single" w:color="auto"/>
            <w:color w:val="0000EE"/>
          </w:rPr>
          <w:t>June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0">
        <w:r>
          <w:rPr>
            <w:rFonts w:ascii="Arial" w:cs="Arial" w:eastAsia="Arial" w:hAnsi="Arial"/>
            <w:sz w:val="18"/>
            <w:szCs w:val="18"/>
            <w:u w:val="single" w:color="auto"/>
            <w:color w:val="0000EE"/>
          </w:rPr>
          <w:t>June 25,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0">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June 8, 2016 and any amendment or report filed with the SEC for the purpose of updating the description.</w:t>
      </w:r>
    </w:p>
    <w:p>
      <w:pPr>
        <w:spacing w:after="0" w:line="170" w:lineRule="exact"/>
        <w:rPr>
          <w:rFonts w:ascii="Arial" w:cs="Arial" w:eastAsia="Arial" w:hAnsi="Arial"/>
          <w:sz w:val="18"/>
          <w:szCs w:val="18"/>
          <w:color w:val="auto"/>
        </w:rPr>
      </w:pPr>
    </w:p>
    <w:p>
      <w:pPr>
        <w:ind w:left="120" w:firstLine="44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0"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(617) 923-1400</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We are a clinical-stage biopharmaceutical company using our ImmTOR platform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proprietary tolerogenic ImmTOR platform encapsulates an immunomodulator in biodegradable nanoparticles and is designed to mitigate the formation of anti-drug antibodies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filed our certificate of incorporation with the Secretary of State of Delaware on December 10, 2007.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principal executive offices are located at 65 Grove Street, Watertown, MA 02472, and our telephone number is (617) 923-1400.</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320" w:top="459" w:right="7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and our amended and restated bylaws, each of which has been publicly filed with the SEC. See “Where You Can Find More Information; Incorporation by Reference.”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200,000,000 shares of common stock, $0.0001 par value;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10,000,000 shares of preferred stock, $0.0001 par value.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“SELB.”</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common stock are entitled to one vote for each share held on all matters submitted to a vote of stockholders and do</w:t>
      </w:r>
      <w:r>
        <w:rPr>
          <w:rFonts w:ascii="Arial" w:cs="Arial" w:eastAsia="Arial" w:hAnsi="Arial"/>
          <w:sz w:val="17"/>
          <w:szCs w:val="17"/>
          <w:i w:val="1"/>
          <w:iCs w:val="1"/>
          <w:color w:val="auto"/>
        </w:rPr>
        <w:t xml:space="preserve"> </w:t>
      </w:r>
      <w:r>
        <w:rPr>
          <w:rFonts w:ascii="Arial" w:cs="Arial" w:eastAsia="Arial" w:hAnsi="Arial"/>
          <w:sz w:val="17"/>
          <w:szCs w:val="17"/>
          <w:color w:val="auto"/>
        </w:rPr>
        <w:t>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Rights upon Liquidation</w:t>
      </w:r>
      <w:r>
        <w:rPr>
          <w:rFonts w:ascii="Arial" w:cs="Arial" w:eastAsia="Arial" w:hAnsi="Arial"/>
          <w:sz w:val="18"/>
          <w:szCs w:val="18"/>
          <w:color w:val="auto"/>
        </w:rPr>
        <w:t>. In the event of our liquidation or dissolution, the holders of common stock are entitled to receive proportionately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the payment of all debts and other liabilities and subject to the prior rights of any outstanding preferred stock.</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common stock have no preemptive, subscription, redemption or conversion rights. The rights, preferences and privileges</w:t>
      </w:r>
      <w:r>
        <w:rPr>
          <w:rFonts w:ascii="Arial" w:cs="Arial" w:eastAsia="Arial" w:hAnsi="Arial"/>
          <w:sz w:val="18"/>
          <w:szCs w:val="18"/>
          <w:i w:val="1"/>
          <w:iCs w:val="1"/>
          <w:color w:val="auto"/>
        </w:rPr>
        <w:t xml:space="preserve"> </w:t>
      </w:r>
      <w:r>
        <w:rPr>
          <w:rFonts w:ascii="Arial" w:cs="Arial" w:eastAsia="Arial" w:hAnsi="Arial"/>
          <w:sz w:val="18"/>
          <w:szCs w:val="18"/>
          <w:color w:val="auto"/>
        </w:rPr>
        <w:t>of holders of common stock are subject to and may be adversely affected by the rights of the holders of shares of any series of preferred stock that we may designate and issue in the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Certain holders our common stock or their transferees are entitled to the following rights with respect to the registration of such shares for public resale under the Securities Act of 1933, as amended (the “Securities Act”).</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registration rights are granted pursuant to the (i) amended and restated investors’ rights agreement by and among us and certain of our stockholders, or the investors’ rights agreement and (ii) a registration rights agreement we entered into in connection with the private placement of 37,634,883 shares of our common stock and warrants to purchase 31,330,629 shares of our common stock, or the 2019 Private Placement, which closed on December 23, 2019.</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Holders of registrable securities under the investors’ rights agreement have registration rights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Any time we propose to register any shares of our common stock under the Securities Act,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Form S-3 Registration Rights</w:t>
      </w:r>
      <w:r>
        <w:rPr>
          <w:rFonts w:ascii="Arial" w:cs="Arial" w:eastAsia="Arial" w:hAnsi="Arial"/>
          <w:sz w:val="16"/>
          <w:szCs w:val="16"/>
          <w:color w:val="auto"/>
        </w:rPr>
        <w:t>. If the holders of registrable securities request in writing that we effect a registration with respect to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at an aggregate price to the public in the offering of at least $2,000,000, and we are entitled under the Securities Act to register our shares on a registration statement on Form S-3, we will be required to effect such registration. We will not be required to effect a registration pursuant to these Form S-3 registration rights if, within a given calendar year, we have already effected two registrations on Form S-3 for the holders of registrable securities.</w:t>
      </w:r>
    </w:p>
    <w:p>
      <w:pPr>
        <w:spacing w:after="0" w:line="15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Ordinarily, other than underwriting discounts and commissions, we will be required to pay all expenses incurred by us related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4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The registration rights terminate upon the earlier of June 27, 2021, or, with respect to the registration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individual holder, when the holder can sell all of such holder’s registrable securities in a three-month period without restriction under Rule 144 under the Securities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Registration Rights Agreement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shares of common stock underlying the warrants and the shares of common stock issued in connection with our 2019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December 23, 2024.</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of our board of directors, without action by the stockholders, to issue up to 10,000,000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i w:val="1"/>
          <w:iCs w:val="1"/>
          <w:color w:val="auto"/>
        </w:rPr>
        <w:t>Stockholder Meetings</w:t>
      </w:r>
      <w:r>
        <w:rPr>
          <w:rFonts w:ascii="Arial" w:cs="Arial" w:eastAsia="Arial" w:hAnsi="Arial"/>
          <w:sz w:val="16"/>
          <w:szCs w:val="16"/>
          <w:color w:val="auto"/>
        </w:rPr>
        <w:t>. Our amended and restated bylaws provide that a special meeting of stockholders may be called only by our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chief executive officer or president (in the absence of a chief executive officer), or by a resolution adopted by a majority of our board of directors.</w:t>
      </w:r>
    </w:p>
    <w:p>
      <w:pPr>
        <w:spacing w:after="0" w:line="12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i w:val="1"/>
          <w:iCs w:val="1"/>
          <w:color w:val="auto"/>
        </w:rPr>
        <w:t>Requirements for Advance Notification of Stockholder Nominations and Proposals</w:t>
      </w:r>
      <w:r>
        <w:rPr>
          <w:rFonts w:ascii="Arial" w:cs="Arial" w:eastAsia="Arial" w:hAnsi="Arial"/>
          <w:sz w:val="17"/>
          <w:szCs w:val="17"/>
          <w:color w:val="auto"/>
        </w:rPr>
        <w:t>. Our amended and restated bylaws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restated certificate of incorporation eliminates the right of stockholders to act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without a meeting.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Staggered Board</w:t>
      </w:r>
      <w:r>
        <w:rPr>
          <w:rFonts w:ascii="Arial" w:cs="Arial" w:eastAsia="Arial" w:hAnsi="Arial"/>
          <w:sz w:val="16"/>
          <w:szCs w:val="16"/>
          <w:color w:val="auto"/>
        </w:rPr>
        <w:t>. Our board of directors is divided into three classes. The directors in each class will serve for a three-year term, one class being</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Our restated certificate of incorporation provides that no member of our board of directors may be removed from office by</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stockholders except for cause and, in addition to any other vote required by law, upon the approval of the holders of at least two-thirds in voting power of the outstanding shares of stock entitled to vote in the election of directors.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Stockholders Not Entitled to Cumulative Voting</w:t>
      </w:r>
      <w:r>
        <w:rPr>
          <w:rFonts w:ascii="Arial" w:cs="Arial" w:eastAsia="Arial" w:hAnsi="Arial"/>
          <w:sz w:val="18"/>
          <w:szCs w:val="18"/>
          <w:color w:val="auto"/>
        </w:rPr>
        <w:t>. Our restated certificate of incorporation does not permit stockholders to cumulate their votes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General Corporation Law of the State of Delaware, which prohibits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92"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restated certificate of incorporation provides that, unless we consent in writing to the selection of an alternative form,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Court of Chancery of the State of Delaware will be the sole and exclusive forum for: (1) any derivative action or proceeding brought on our behalf;</w:t>
      </w:r>
    </w:p>
    <w:p>
      <w:pPr>
        <w:ind w:left="120" w:right="240" w:hanging="4"/>
        <w:spacing w:after="0" w:line="252"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92"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i w:val="1"/>
          <w:iCs w:val="1"/>
          <w:color w:val="auto"/>
        </w:rPr>
        <w:t>Amendment of Restated Certificate of Incorporation</w:t>
      </w:r>
      <w:r>
        <w:rPr>
          <w:rFonts w:ascii="Arial" w:cs="Arial" w:eastAsia="Arial" w:hAnsi="Arial"/>
          <w:sz w:val="16"/>
          <w:szCs w:val="16"/>
          <w:color w:val="auto"/>
        </w:rPr>
        <w:t>. The amendment of any of the above provisions in our restated certificate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used in this section only, “Selecta,” “we,” “our” or “us” refer to Selecta Biosciences, Inc. excluding our subsidiaries, unless expressly stated or the context otherwise requires.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4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i w:val="1"/>
          <w:iCs w:val="1"/>
          <w:color w:val="auto"/>
        </w:rPr>
        <w:t xml:space="preserve">Certificated Debt Securities. </w:t>
      </w:r>
      <w:r>
        <w:rPr>
          <w:rFonts w:ascii="Arial" w:cs="Arial" w:eastAsia="Arial" w:hAnsi="Arial"/>
          <w:sz w:val="16"/>
          <w:szCs w:val="16"/>
          <w:color w:val="auto"/>
        </w:rPr>
        <w:t>You may transfer or exchange certificated debt securities at any office we maintain for this purpose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i w:val="1"/>
          <w:iCs w:val="1"/>
          <w:color w:val="auto"/>
        </w:rPr>
        <w:t xml:space="preserve">Global Debt Securities and Book-Entry System. </w:t>
      </w:r>
      <w:r>
        <w:rPr>
          <w:rFonts w:ascii="Arial" w:cs="Arial" w:eastAsia="Arial" w:hAnsi="Arial"/>
          <w:sz w:val="17"/>
          <w:szCs w:val="17"/>
          <w:color w:val="auto"/>
        </w:rPr>
        <w:t>Each global debt security representing book-entry debt securities will be deposited with,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the Depositary, and registered in the name of the Depositary or a nominee of the Depositary. Please see “Global Securities.”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80" w:hanging="532"/>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Selecta) is a corporation organized and validly existing under the laws of any U.S. domestic jurisdiction and expressly assumes our obligations on the debt securities and under the indenture;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40" w:hanging="12"/>
        <w:spacing w:after="0" w:line="623" w:lineRule="auto"/>
        <w:tabs>
          <w:tab w:leader="none" w:pos="10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Notwithstanding the above, any of our subsidiaries may consolidate with, merge into or transfer all or part of its properties to us. (Section 5.1)</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532"/>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Selecta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Selecta;</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62"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12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20" w:hanging="532"/>
        <w:spacing w:after="0" w:line="273"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80" w:right="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receive notice as shareholders with respect to any meeting of shareholders for the election of our directors or any other matter;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exercise any rights as shareholders of Selecta.</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32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such circumstances, in the event that a successor depositary is not obtained, securities certificates are required to be printed and delivered.</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9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Selecta Biosciences,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The consolidated financial statements of Selecta Biosciences, Inc. appearing in Selecta Biosciences, Inc.’s </w:t>
      </w:r>
      <w:r>
        <w:rPr>
          <w:rFonts w:ascii="Arial" w:cs="Arial" w:eastAsia="Arial" w:hAnsi="Arial"/>
          <w:sz w:val="16"/>
          <w:szCs w:val="16"/>
          <w:u w:val="single" w:color="auto"/>
          <w:color w:val="auto"/>
        </w:rPr>
        <w:t>Annual Report on Form 10-K for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year ended December 31, 2019</w:t>
      </w:r>
      <w:r>
        <w:rPr>
          <w:rFonts w:ascii="Arial" w:cs="Arial" w:eastAsia="Arial" w:hAnsi="Arial"/>
          <w:sz w:val="16"/>
          <w:szCs w:val="16"/>
          <w:color w:val="auto"/>
        </w:rPr>
        <w:t>, have been audited by Ernst &amp; Young LLP, independent registered public accounting firm, as set forth in their report thereon (which contains an explanatory paragraph describing conditions that raise substantial doubt about the Company’s ability to continue as a going conern as described in Note 1 to the consolidated financial statements) included therein, and incorporated herein by reference. Such consolidated financial statements are, and audited consolidated financial statements to be included in subsequently filed documents will be, incorporated herein in reliance upon the report of Ernst &amp; Young LLP pertaining to such consolidated financial statements (to the extent covered by consents filed with the Securities and Exchange Commission) given on the authority of such firm as experts in accounting and auditing.</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320" w:top="459" w:right="59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Up to $75,000,000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631825</wp:posOffset>
            </wp:positionV>
            <wp:extent cx="2305685" cy="771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230568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697865</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25"/>
          <w:szCs w:val="25"/>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697865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October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651510</wp:posOffset>
            </wp:positionV>
            <wp:extent cx="699516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711835</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jpe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jpe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15" Type="http://schemas.openxmlformats.org/officeDocument/2006/relationships/hyperlink" Target="http://www.sec.gov/ix?doc=/Archives/edgar/data/1453687/000145368721000031/selb-20201231.htm" TargetMode="External"/><Relationship Id="rId16" Type="http://schemas.openxmlformats.org/officeDocument/2006/relationships/hyperlink" Target="http://www.sec.gov/ix?doc=/Archives/edgar/data/1453687/000145368721000069/selb-20210331.htm" TargetMode="External"/><Relationship Id="rId17" Type="http://schemas.openxmlformats.org/officeDocument/2006/relationships/hyperlink" Target="http://www.sec.gov/ix?doc=/Archives/edgar/data/1453687/000145368721000103/selb-20210630.htm" TargetMode="External"/><Relationship Id="rId18" Type="http://schemas.openxmlformats.org/officeDocument/2006/relationships/hyperlink" Target="http://www.sec.gov/Archives/edgar/data/1453687/000145368721000059/selectabiosciences_def14a-.htm" TargetMode="External"/><Relationship Id="rId19" Type="http://schemas.openxmlformats.org/officeDocument/2006/relationships/hyperlink" Target="http://www.sec.gov/ix?doc=/Archives/edgar/data/1453687/000145368721000003/selb-20210106.htm" TargetMode="External"/><Relationship Id="rId20" Type="http://schemas.openxmlformats.org/officeDocument/2006/relationships/hyperlink" Target="http://www.sec.gov/ix?doc=/Archives/edgar/data/1453687/000145368721000053/selb-20210413.htm" TargetMode="External"/><Relationship Id="rId21" Type="http://schemas.openxmlformats.org/officeDocument/2006/relationships/hyperlink" Target="http://www.sec.gov/ix?doc=/Archives/edgar/data/1453687/000119312521138561/d176255d8k.htm" TargetMode="External"/><Relationship Id="rId22" Type="http://schemas.openxmlformats.org/officeDocument/2006/relationships/hyperlink" Target="http://www.sec.gov/ix?doc=/Archives/edgar/data/1453687/000145368721000068/selb-20210510.htm" TargetMode="External"/><Relationship Id="rId23" Type="http://schemas.openxmlformats.org/officeDocument/2006/relationships/hyperlink" Target="http://www.sec.gov/ix?doc=/Archives/edgar/data/1453687/000145368721000084/selb-20210618.htm" TargetMode="External"/><Relationship Id="rId24" Type="http://schemas.openxmlformats.org/officeDocument/2006/relationships/hyperlink" Target="http://www.sec.gov/ix?doc=/Archives/edgar/data/1453687/000145368721000086/selb-20210623.htm" TargetMode="External"/><Relationship Id="rId25" Type="http://schemas.openxmlformats.org/officeDocument/2006/relationships/hyperlink" Target="http://www.sec.gov/ix?doc=/Archives/edgar/data/1453687/000145368721000111/selb-20210907.htm" TargetMode="External"/><Relationship Id="rId26" Type="http://schemas.openxmlformats.org/officeDocument/2006/relationships/hyperlink" Target="http://www.sec.gov/ix?doc=/Archives/edgar/data/1453687/000145368721000113/selb-20210920.htm" TargetMode="External"/><Relationship Id="rId27" Type="http://schemas.openxmlformats.org/officeDocument/2006/relationships/hyperlink" Target="http://www.sec.gov/ix?doc=/Archives/edgar/data/1453687/000145368721000124/selb-20210924.htm" TargetMode="External"/><Relationship Id="rId28" Type="http://schemas.openxmlformats.org/officeDocument/2006/relationships/hyperlink" Target="http://www.sec.gov/ix?doc=/Archives/edgar/data/1453687/000145368721000127/selb-20211001.htm" TargetMode="External"/><Relationship Id="rId29" Type="http://schemas.openxmlformats.org/officeDocument/2006/relationships/hyperlink" Target="http://www.sec.gov/ix?doc=/Archives/edgar/data/1453687/000145368721000146/selb-20211021.htm" TargetMode="External"/><Relationship Id="rId30" Type="http://schemas.openxmlformats.org/officeDocument/2006/relationships/hyperlink" Target="http://www.sec.gov/Archives/edgar/data/1453687/000110465916126207/a15-22910_88a12b.htm" TargetMode="External"/><Relationship Id="rId51" Type="http://schemas.openxmlformats.org/officeDocument/2006/relationships/hyperlink" Target="http://www.sec.gov/Archives/edgar/data/1453687/000145368720000028/selectabiosciences10-k.htm" TargetMode="External"/><Relationship Id="rId52" Type="http://schemas.openxmlformats.org/officeDocument/2006/relationships/hyperlink" Target="http://www.sec.gov/Archives/edgar/data/1453687/000145368720000040/selectabiosciencesdef14a_2.htm" TargetMode="External"/><Relationship Id="rId53" Type="http://schemas.openxmlformats.org/officeDocument/2006/relationships/hyperlink" Target="http://www.sec.gov/Archives/edgar/data/1453687/000145368720000052/selectabiosciences10-q.htm" TargetMode="External"/><Relationship Id="rId54" Type="http://schemas.openxmlformats.org/officeDocument/2006/relationships/hyperlink" Target="http://www.sec.gov/ix?doc=/Archives/edgar/data/1453687/000145368720000096/selectabiosciences10-q.htm" TargetMode="External"/><Relationship Id="rId55" Type="http://schemas.openxmlformats.org/officeDocument/2006/relationships/hyperlink" Target="http://www.sec.gov/Archives/edgar/data/1453687/000145368720000033/selectabiosciences8-k_0331.htm" TargetMode="External"/><Relationship Id="rId56" Type="http://schemas.openxmlformats.org/officeDocument/2006/relationships/hyperlink" Target="http://www.sec.gov/Archives/edgar/data/1453687/000145368720000038/selectabiosciences8-k_0427.htm" TargetMode="External"/><Relationship Id="rId57" Type="http://schemas.openxmlformats.org/officeDocument/2006/relationships/hyperlink" Target="http://www.sec.gov/Archives/edgar/data/1453687/000145368720000063/selectabiosciences8-ks.htm" TargetMode="External"/><Relationship Id="rId58" Type="http://schemas.openxmlformats.org/officeDocument/2006/relationships/hyperlink" Target="http://www.sec.gov/Archives/edgar/data/1453687/000145368720000066/selectabiosciences8-kl.htm" TargetMode="External"/><Relationship Id="rId59" Type="http://schemas.openxmlformats.org/officeDocument/2006/relationships/hyperlink" Target="http://www.sec.gov/Archives/edgar/data/1453687/000145368720000070/selectabiosciences8-ka.htm" TargetMode="External"/><Relationship Id="rId60" Type="http://schemas.openxmlformats.org/officeDocument/2006/relationships/hyperlink" Target="http://www.sec.gov/Archives/edgar/data/1453687/000110465920076882/tm2023457-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2021-10-25T07:02:35Z</dcterms:created>
  <dcterms:modified xsi:type="dcterms:W3CDTF">2021-10-25T07:02:35Z</dcterms:modified>
</cp:coreProperties>
</file>