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646"/>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May 13, 2021, Selecta Biosciences, Inc. announced its financial results for the quarter ended March 31, 2021. The full text of the press release issued in connection with the announcement is furnished as Exhibit 99.1 to this Current Report and on Form 8-K.</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May 10, 2021, Bradford D. Dahms notified Selecta Biosciences, Inc. (the “Company”) of his intention to resign as the Company’s Chief Financial Officer, effective May 21, 2021, to pursue other career opportunities.</w:t>
      </w:r>
    </w:p>
    <w:p>
      <w:pPr>
        <w:spacing w:after="0" w:line="6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Ann K. Donohue, the Company’s Vice President Finance, will serve as the Company’s principal accounting officer and principal financial officer, as appointed by the Board of Directors, on an interim basis while the Company’s search for a new Chief Financial Officer is ongoing. Ms. Donohue, age 40, has served as the Company’s Vice President Finance since May 2021. Ms. Donohue served as the Company’s Controller from December 2017 until May 2021, and as the Company’s SEC Reporting Manager from September 2016 to December 2017. From September 2009 to August 2016, she served as Corporate Reporting Manager at Orchard Brands, a direct marketing retailer. Ms. Donohue received a B.S. in accounting from the Carroll School of Management at Boston College, and a Master’s Degree in accounting from the Carroll Graduate School of Management at Boston College, and is a Certified Public Accountant (CPA).</w:t>
      </w:r>
    </w:p>
    <w:p>
      <w:pPr>
        <w:spacing w:after="0" w:line="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Additionally, on April 1, 2021, the Company appointed Kristen Baldwin as Chief People Officer. She brings 20 years of Human Resources and Consulting experience to the Company. Most recently Ms. Baldwin served in dual capacity as the Chief People Officer for the LIVEKINDLY Collective, a high growth plant-based foods company, and as a Senior Partner at CEO.works. Ms. Baldwin has also held senior HR roles at Bayer and Otsuka Pharmaceuticals.</w:t>
      </w:r>
    </w:p>
    <w:p>
      <w:pPr>
        <w:spacing w:after="0" w:line="79"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On May 10, 2021, the Company appointed Satish Tripathi, Ph.D., as Vice President of Global Regulatory Affairs. Dr. Tripathi has over 25 years of combined R&amp;D, business, and global regulatory strategy experience. Dr. Tripathi most recently served as VP of Global Regulatory Affairs for AveXis which became Novartis Gene Therapies, where he led the regulatory strategy and implementation for the gene therapy product AVXS-101 for Spinal Muscular Atrophy. AVXS-101 is recognized as only one of the 3 drugs in the world to receive Breakthrough (US FDA), PRIME (EMA) and Sakigake (MHLW/PMDA) designations. Dr. Tripathi led the simultaneous submission of AVXS-101 in 2018 for global registration, which has been approved as Zolgensma for SMA in US, Europe, Japan, Canada, and Brazil.</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6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240" w:type="dxa"/>
            <w:vAlign w:val="bottom"/>
            <w:gridSpan w:val="3"/>
          </w:tcPr>
          <w:p>
            <w:pPr>
              <w:jc w:val="center"/>
              <w:ind w:right="4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May 13, 2021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May 13, 2021</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First Quarter 2021 Financial Results and Provides Business Update</w:t>
      </w:r>
    </w:p>
    <w:p>
      <w:pPr>
        <w:spacing w:after="0" w:line="24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SEL-399 (empty AAV8 capsid with ImmTOR) study on track with topline data expected in the fourth quarter of 2021</w:t>
      </w:r>
    </w:p>
    <w:p>
      <w:pPr>
        <w:spacing w:after="0" w:line="2" w:lineRule="exact"/>
        <w:rPr>
          <w:rFonts w:ascii="Arial" w:cs="Arial" w:eastAsia="Arial" w:hAnsi="Arial"/>
          <w:sz w:val="20"/>
          <w:szCs w:val="20"/>
          <w:i w:val="1"/>
          <w:iCs w:val="1"/>
          <w:color w:val="auto"/>
        </w:rPr>
      </w:pPr>
    </w:p>
    <w:p>
      <w:pPr>
        <w:ind w:left="640" w:hanging="308"/>
        <w:spacing w:after="0" w:line="225" w:lineRule="auto"/>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SEL-212 enrollment on track with topline data from DISSOLVE phase 3 program expected in second half of 2022</w:t>
      </w:r>
    </w:p>
    <w:p>
      <w:pPr>
        <w:ind w:left="640" w:hanging="308"/>
        <w:spacing w:after="0" w:line="225" w:lineRule="auto"/>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IND filing for IgA nephropathy program expected by the end of 2021</w:t>
      </w:r>
    </w:p>
    <w:p>
      <w:pPr>
        <w:ind w:left="660" w:right="560" w:hanging="328"/>
        <w:spacing w:after="0" w:line="225"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IND filing for wholly-owned gene therapy program in MMA expected by the end of 2021; IND in OTC deficiency gene therapy program expected in 2022</w:t>
      </w:r>
    </w:p>
    <w:p>
      <w:pPr>
        <w:ind w:left="660" w:right="600" w:hanging="328"/>
        <w:spacing w:after="0" w:line="234"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As of March 31, 2021, Selecta had approximately $149.2 million in cash, cash equivalents, and marketable securities which is expected to provide runway into the second quarter of 2023</w:t>
      </w:r>
    </w:p>
    <w:p>
      <w:pPr>
        <w:spacing w:after="0" w:line="205"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b w:val="1"/>
          <w:bCs w:val="1"/>
          <w:color w:val="auto"/>
        </w:rPr>
        <w:t xml:space="preserve">WATERTOWN, Mass., May 13, 2021 (GLOBE NEWSWIRE)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Selecta Biosciences,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SELB), a biotechnology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leveraging its clinically validated ImmTOR™ platform to develop tolerogenic therapies that selectively mitigate unwanted immune responses, today reported financial results for the first quarter ended March 31, 2021 and provided a business update.</w:t>
      </w:r>
    </w:p>
    <w:p>
      <w:pPr>
        <w:spacing w:after="0" w:line="192"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“We are very pleased about the continued progress across all aspects of the company,” said Carsten Brunn, Ph.D., president and chief executive officer of Selecta. “We regained exclusive rights to our MMA program and now have two proprietary gene therapy programs to rapidly follow our ongoing empty capsid study. Additionally, we continue to progress our enzyme program, with an expected IND filing by the end of 2021 in IgA nephropathy, and topline data from the Phase 3 DISSOLVE program for SEL-212 anticipated in the second half of 2022.”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Enzyme Therapies:</w:t>
      </w:r>
    </w:p>
    <w:p>
      <w:pPr>
        <w:spacing w:after="0" w:line="249" w:lineRule="exact"/>
        <w:rPr>
          <w:sz w:val="20"/>
          <w:szCs w:val="20"/>
          <w:color w:val="auto"/>
        </w:rPr>
      </w:pPr>
    </w:p>
    <w:p>
      <w:pPr>
        <w:ind w:left="660" w:right="120" w:hanging="328"/>
        <w:spacing w:after="0" w:line="309" w:lineRule="auto"/>
        <w:tabs>
          <w:tab w:leader="none" w:pos="64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SEL-212 for chronic refractory gout: </w:t>
      </w:r>
      <w:r>
        <w:rPr>
          <w:rFonts w:ascii="Arial" w:cs="Arial" w:eastAsia="Arial" w:hAnsi="Arial"/>
          <w:sz w:val="16"/>
          <w:szCs w:val="16"/>
          <w:color w:val="auto"/>
        </w:rPr>
        <w:t>Enrollment for the Phase 3 DISSOLVE clinical program for SEL-212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chronic refractory gout, which was licensed to Sobi, is progressing as planned with topline data expected in the second half of 2022.</w:t>
      </w:r>
    </w:p>
    <w:p>
      <w:pPr>
        <w:spacing w:after="0" w:line="1" w:lineRule="exact"/>
        <w:rPr>
          <w:rFonts w:ascii="Arial" w:cs="Arial" w:eastAsia="Arial" w:hAnsi="Arial"/>
          <w:sz w:val="16"/>
          <w:szCs w:val="16"/>
          <w:color w:val="auto"/>
        </w:rPr>
      </w:pPr>
    </w:p>
    <w:p>
      <w:pPr>
        <w:ind w:left="660" w:right="20" w:hanging="328"/>
        <w:spacing w:after="0" w:line="29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success of SEL-212, Selecta expects to file an Investigational New Drug, or IND, application by the end of 2021 for a novel therapeutic approach that combines ImmTOR with an enzyme, IgA1 protease for the treatment of IgA nephropathy.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 Therapies:</w:t>
      </w:r>
    </w:p>
    <w:p>
      <w:pPr>
        <w:spacing w:after="0" w:line="249" w:lineRule="exact"/>
        <w:rPr>
          <w:sz w:val="20"/>
          <w:szCs w:val="20"/>
          <w:color w:val="auto"/>
        </w:rPr>
      </w:pPr>
    </w:p>
    <w:p>
      <w:pPr>
        <w:ind w:left="660" w:right="60" w:hanging="328"/>
        <w:spacing w:after="0" w:line="24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First-in-human trial of SEL-399: </w:t>
      </w:r>
      <w:r>
        <w:rPr>
          <w:rFonts w:ascii="Arial" w:cs="Arial" w:eastAsia="Arial" w:hAnsi="Arial"/>
          <w:sz w:val="20"/>
          <w:szCs w:val="20"/>
          <w:color w:val="auto"/>
        </w:rPr>
        <w:t>In collaboration with AskBio, Selecta initiated the first-in-human, dose-escalation trial of SEL-399,</w:t>
      </w:r>
      <w:r>
        <w:rPr>
          <w:rFonts w:ascii="Arial" w:cs="Arial" w:eastAsia="Arial" w:hAnsi="Arial"/>
          <w:sz w:val="20"/>
          <w:szCs w:val="20"/>
          <w:i w:val="1"/>
          <w:iCs w:val="1"/>
          <w:color w:val="auto"/>
        </w:rPr>
        <w:t xml:space="preserve"> </w:t>
      </w:r>
      <w:r>
        <w:rPr>
          <w:rFonts w:ascii="Arial" w:cs="Arial" w:eastAsia="Arial" w:hAnsi="Arial"/>
          <w:sz w:val="20"/>
          <w:szCs w:val="20"/>
          <w:color w:val="auto"/>
        </w:rPr>
        <w:t>an adeno-associated viral serotype 8 (AAV8) empty vector capsid (EMC-101) containing no DNA combined with ImmTOR. The trial aims to determine the optimal dose of ImmTOR to mitigate the formation of antibodies to AAV8 capsids used in gene therapies. Selecta and AskBio expect to report topline data in the fourth quarter of 2021.</w:t>
      </w:r>
    </w:p>
    <w:p>
      <w:pPr>
        <w:spacing w:after="0" w:line="2" w:lineRule="exact"/>
        <w:rPr>
          <w:rFonts w:ascii="Arial" w:cs="Arial" w:eastAsia="Arial" w:hAnsi="Arial"/>
          <w:sz w:val="20"/>
          <w:szCs w:val="20"/>
          <w:color w:val="auto"/>
        </w:rPr>
      </w:pPr>
    </w:p>
    <w:p>
      <w:pPr>
        <w:ind w:left="660" w:right="40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MMA-101 for methylmalonic acidemia (MMA)</w:t>
      </w:r>
      <w:r>
        <w:rPr>
          <w:rFonts w:ascii="Arial" w:cs="Arial" w:eastAsia="Arial" w:hAnsi="Arial"/>
          <w:sz w:val="20"/>
          <w:szCs w:val="20"/>
          <w:color w:val="auto"/>
        </w:rPr>
        <w:t>: Selecta regained exclusive rights to its lead gene therapy program in MMA from</w:t>
      </w:r>
      <w:r>
        <w:rPr>
          <w:rFonts w:ascii="Arial" w:cs="Arial" w:eastAsia="Arial" w:hAnsi="Arial"/>
          <w:sz w:val="20"/>
          <w:szCs w:val="20"/>
          <w:i w:val="1"/>
          <w:iCs w:val="1"/>
          <w:color w:val="auto"/>
        </w:rPr>
        <w:t xml:space="preserve"> </w:t>
      </w:r>
      <w:r>
        <w:rPr>
          <w:rFonts w:ascii="Arial" w:cs="Arial" w:eastAsia="Arial" w:hAnsi="Arial"/>
          <w:sz w:val="20"/>
          <w:szCs w:val="20"/>
          <w:color w:val="auto"/>
        </w:rPr>
        <w:t>AskBio and expects to file an IND in MMA-101, in combination with ImmTOR, by the end of 2021. The phase 1/2 MMA-101 program, which is expected to commence in 2022, will evaluate biomarkers of efficacy, neutralizing antibodies and safety and tolerability.</w:t>
      </w:r>
    </w:p>
    <w:p>
      <w:pPr>
        <w:spacing w:after="0" w:line="1" w:lineRule="exact"/>
        <w:rPr>
          <w:rFonts w:ascii="Arial" w:cs="Arial" w:eastAsia="Arial" w:hAnsi="Arial"/>
          <w:sz w:val="20"/>
          <w:szCs w:val="20"/>
          <w:color w:val="auto"/>
        </w:rPr>
      </w:pPr>
    </w:p>
    <w:p>
      <w:pPr>
        <w:ind w:left="660" w:right="220" w:hanging="328"/>
        <w:spacing w:after="0" w:line="24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SEL-313 for ornithine transcarbamylase deficiency (OTC deficiency)</w:t>
      </w:r>
      <w:r>
        <w:rPr>
          <w:rFonts w:ascii="Arial" w:cs="Arial" w:eastAsia="Arial" w:hAnsi="Arial"/>
          <w:sz w:val="20"/>
          <w:szCs w:val="20"/>
          <w:color w:val="auto"/>
        </w:rPr>
        <w:t>: Selecta’s proprietary gene therapy product candidate, SEL-313, is being developed to treat OTC deficiency, a rare genetic urea cycle disorder that causes ammonia to accumulate in the blood due to mutations in the OTC gene. SEL-313 is currently in preclinical development and a clinical trial application, or CTA and/or IND filing are expected in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660" w:right="180"/>
        <w:spacing w:after="0" w:line="247" w:lineRule="auto"/>
        <w:rPr>
          <w:sz w:val="20"/>
          <w:szCs w:val="20"/>
          <w:color w:val="auto"/>
        </w:rPr>
      </w:pPr>
      <w:r>
        <w:rPr>
          <w:rFonts w:ascii="Arial" w:cs="Arial" w:eastAsia="Arial" w:hAnsi="Arial"/>
          <w:sz w:val="20"/>
          <w:szCs w:val="20"/>
          <w:color w:val="auto"/>
        </w:rPr>
        <w:t>A Pediatric Investigation Plan (PIP) for SEL-313 was submitted to the European Medicines Agency (EMA) pediatric committee in February 2021.</w:t>
      </w:r>
    </w:p>
    <w:p>
      <w:pPr>
        <w:spacing w:after="0" w:line="2" w:lineRule="exact"/>
        <w:rPr>
          <w:sz w:val="20"/>
          <w:szCs w:val="20"/>
          <w:color w:val="auto"/>
        </w:rPr>
      </w:pPr>
    </w:p>
    <w:p>
      <w:pPr>
        <w:jc w:val="both"/>
        <w:ind w:left="660" w:right="24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Sarepta Therapeutics program in Duchenne Muscular Dystrophy (DMD) and certain Limb-Girdle Muscular Dystrophies (LGMD) subtypes</w:t>
      </w:r>
      <w:r>
        <w:rPr>
          <w:rFonts w:ascii="Arial" w:cs="Arial" w:eastAsia="Arial" w:hAnsi="Arial"/>
          <w:sz w:val="20"/>
          <w:szCs w:val="20"/>
          <w:color w:val="auto"/>
        </w:rPr>
        <w:t>: Selecta has achieved a $3 million milestone payment related to the completion of a preclinical study under the Research</w:t>
      </w:r>
      <w:r>
        <w:rPr>
          <w:rFonts w:ascii="Arial" w:cs="Arial" w:eastAsia="Arial" w:hAnsi="Arial"/>
          <w:sz w:val="20"/>
          <w:szCs w:val="20"/>
          <w:i w:val="1"/>
          <w:iCs w:val="1"/>
          <w:color w:val="auto"/>
        </w:rPr>
        <w:t xml:space="preserve"> </w:t>
      </w:r>
      <w:r>
        <w:rPr>
          <w:rFonts w:ascii="Arial" w:cs="Arial" w:eastAsia="Arial" w:hAnsi="Arial"/>
          <w:sz w:val="20"/>
          <w:szCs w:val="20"/>
          <w:color w:val="auto"/>
        </w:rPr>
        <w:t>License and Option Agreement.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Restoring Self-Tolerance in Autoimmune Diseases:</w:t>
      </w:r>
    </w:p>
    <w:p>
      <w:pPr>
        <w:spacing w:after="0" w:line="249" w:lineRule="exact"/>
        <w:rPr>
          <w:sz w:val="20"/>
          <w:szCs w:val="20"/>
          <w:color w:val="auto"/>
        </w:rPr>
      </w:pPr>
    </w:p>
    <w:p>
      <w:pPr>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Selecta continues IND-enabling work on an ImmTOR-based approach to treating primary biliary cholangitis (PBC), a chronic, progressive autoimmune liver disorder that leads to inflammation, damage and scarring of the small bile ducts. Selecta expects to file an IND in PBC in the second half of 2022.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49" w:lineRule="exact"/>
        <w:rPr>
          <w:sz w:val="20"/>
          <w:szCs w:val="20"/>
          <w:color w:val="auto"/>
        </w:rPr>
      </w:pPr>
    </w:p>
    <w:p>
      <w:pPr>
        <w:ind w:left="660" w:right="140" w:hanging="328"/>
        <w:spacing w:after="0" w:line="246"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Kristen Baldwin was appointed Chief People Officer. She brings 20 years of Human Resources and Consulting experience to the company. Most recently Ms. Baldwin served in dual capacity as the Chief People Officer for the LIVEKINDLY Collective, a high growth plant-based foods company, and as a Senior Partner at CEO.works. Ms. Baldwin has also held senior HR roles at Bayer and Otsuka Pharmaceuticals.</w:t>
      </w:r>
    </w:p>
    <w:p>
      <w:pPr>
        <w:spacing w:after="0" w:line="218" w:lineRule="exact"/>
        <w:rPr>
          <w:rFonts w:ascii="Arial" w:cs="Arial" w:eastAsia="Arial" w:hAnsi="Arial"/>
          <w:sz w:val="20"/>
          <w:szCs w:val="20"/>
          <w:b w:val="1"/>
          <w:bCs w:val="1"/>
          <w:color w:val="auto"/>
        </w:rPr>
      </w:pPr>
    </w:p>
    <w:p>
      <w:pPr>
        <w:ind w:left="660" w:right="20" w:hanging="328"/>
        <w:spacing w:after="0" w:line="276"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Satish Tripathi, Ph.D., was appointed Vice President of Global Regulatory Affairs. Dr. Tripathi has over 25 years of combined R&amp;D, business, and global regulatory strategy experience. Dr. Tripathi most recently served as VP of Global Regulatory Affairs for AveXis which became Novartis Gene Therapies, where he led the regulatory strategy and implementation for the gene therapy product AVXS-101 for Spinal Muscular Atrophy. AVXS-101 is recognized as only one of the 3 drugs in the world to receive Breakthrough (US FDA), PRIME (EMA) and Sakigake (MHLW/PMDA) designations. Dr. Tripathi led the simultaneous submission of AVXS-101 in 2018 for global registration, which has been approved as Zolgensma for SMA in US, Europe, Japan, Canada, and Brazil.</w:t>
      </w:r>
    </w:p>
    <w:p>
      <w:pPr>
        <w:spacing w:after="0" w:line="191" w:lineRule="exact"/>
        <w:rPr>
          <w:rFonts w:ascii="Arial" w:cs="Arial" w:eastAsia="Arial" w:hAnsi="Arial"/>
          <w:sz w:val="18"/>
          <w:szCs w:val="18"/>
          <w:color w:val="auto"/>
        </w:rPr>
      </w:pPr>
    </w:p>
    <w:p>
      <w:pPr>
        <w:ind w:left="660" w:right="200" w:hanging="328"/>
        <w:spacing w:after="0" w:line="316"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Brad Dahms will be stepping down as Chief Financial Officer effective May 21st, 2021 to pursue another opportunity. Mr. Dahms’ departure is not related to Selecta’s operations, financial reporting, or controls. A search is currently underway for a successor.</w:t>
      </w:r>
    </w:p>
    <w:p>
      <w:pPr>
        <w:spacing w:after="0" w:line="156" w:lineRule="exact"/>
        <w:rPr>
          <w:rFonts w:ascii="Arial" w:cs="Arial" w:eastAsia="Arial" w:hAnsi="Arial"/>
          <w:sz w:val="18"/>
          <w:szCs w:val="18"/>
          <w:color w:val="auto"/>
        </w:rPr>
      </w:pPr>
    </w:p>
    <w:p>
      <w:pPr>
        <w:ind w:left="660" w:right="160" w:hanging="328"/>
        <w:spacing w:after="0" w:line="26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Ann Donohue will be promoted to Vice President Finance, effective immediately, after having served as Controller of Selecta since December 2017.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Financial Results:</w:t>
      </w:r>
    </w:p>
    <w:p>
      <w:pPr>
        <w:spacing w:after="0" w:line="243" w:lineRule="exact"/>
        <w:rPr>
          <w:sz w:val="20"/>
          <w:szCs w:val="20"/>
          <w:color w:val="auto"/>
        </w:rPr>
      </w:pPr>
    </w:p>
    <w:p>
      <w:pPr>
        <w:jc w:val="both"/>
        <w:ind w:right="120"/>
        <w:spacing w:after="0" w:line="346"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Selecta had $149.2 million in cash, cash equivalents, marketable securities, and restricted cash as of March 31, 2021, which</w:t>
      </w:r>
      <w:r>
        <w:rPr>
          <w:rFonts w:ascii="Arial" w:cs="Arial" w:eastAsia="Arial" w:hAnsi="Arial"/>
          <w:sz w:val="16"/>
          <w:szCs w:val="16"/>
          <w:b w:val="1"/>
          <w:bCs w:val="1"/>
          <w:color w:val="auto"/>
        </w:rPr>
        <w:t xml:space="preserve"> </w:t>
      </w:r>
      <w:r>
        <w:rPr>
          <w:rFonts w:ascii="Arial" w:cs="Arial" w:eastAsia="Arial" w:hAnsi="Arial"/>
          <w:sz w:val="16"/>
          <w:szCs w:val="16"/>
          <w:color w:val="auto"/>
        </w:rPr>
        <w:t>compares to cash, cash equivalents, and restricted cash of $140.1 million as of December 31, 2020. Selecta believes its available cash, cash equivalents, marketable securities, and restricted cash will be sufficient to meet its operating requirements into the second quarter of 2023.</w:t>
      </w:r>
    </w:p>
    <w:p>
      <w:pPr>
        <w:spacing w:after="0" w:line="142" w:lineRule="exact"/>
        <w:rPr>
          <w:sz w:val="20"/>
          <w:szCs w:val="20"/>
          <w:color w:val="auto"/>
        </w:rPr>
      </w:pPr>
    </w:p>
    <w:p>
      <w:pPr>
        <w:ind w:left="660" w:right="2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Net cash used in operating activities was $12.1 million for the first quarter of 2021, as compared to $11.7 million for the same period in 2020.</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recognition for the first quarter of 2021 was $11.1 million, compared to no revenue recognition for the same period in</w:t>
      </w:r>
      <w:r>
        <w:rPr>
          <w:rFonts w:ascii="Arial" w:cs="Arial" w:eastAsia="Arial" w:hAnsi="Arial"/>
          <w:sz w:val="20"/>
          <w:szCs w:val="20"/>
          <w:b w:val="1"/>
          <w:bCs w:val="1"/>
          <w:color w:val="auto"/>
        </w:rPr>
        <w:t xml:space="preserve"> </w:t>
      </w:r>
      <w:r>
        <w:rPr>
          <w:rFonts w:ascii="Arial" w:cs="Arial" w:eastAsia="Arial" w:hAnsi="Arial"/>
          <w:sz w:val="20"/>
          <w:szCs w:val="20"/>
          <w:color w:val="auto"/>
        </w:rPr>
        <w:t>2020. Revenue was recognized under the license agreement with Sobi which began in July 2020 resulting from the shipment of clinical supply and the reimbursement of costs incurred for the Phase 3 DISSOLVE clinical program.</w:t>
      </w:r>
    </w:p>
    <w:p>
      <w:pPr>
        <w:spacing w:after="0" w:line="20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first quarter 2021 were $13.0 million, which compares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$14.7 million for the same period in 2020. During the quarter ended March 31, 2021, there was a reduction in expenses for the SEL-212 clinical program and for the AskBio Collaboration, offset by an increase of expense for discovery and preclinical programs.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71" w:right="379" w:bottom="1440" w:gutter="0" w:footer="0" w:header="0"/>
        </w:sectPr>
      </w:pPr>
    </w:p>
    <w:bookmarkStart w:id="5" w:name="page6"/>
    <w:bookmarkEnd w:id="5"/>
    <w:p>
      <w:pPr>
        <w:jc w:val="both"/>
        <w:ind w:right="180"/>
        <w:spacing w:after="0" w:line="253"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first quarter 2021 were $5.2 million, which compares</w:t>
      </w:r>
      <w:r>
        <w:rPr>
          <w:rFonts w:ascii="Arial" w:cs="Arial" w:eastAsia="Arial" w:hAnsi="Arial"/>
          <w:sz w:val="20"/>
          <w:szCs w:val="20"/>
          <w:b w:val="1"/>
          <w:bCs w:val="1"/>
          <w:color w:val="auto"/>
        </w:rPr>
        <w:t xml:space="preserve"> </w:t>
      </w:r>
      <w:r>
        <w:rPr>
          <w:rFonts w:ascii="Arial" w:cs="Arial" w:eastAsia="Arial" w:hAnsi="Arial"/>
          <w:sz w:val="20"/>
          <w:szCs w:val="20"/>
          <w:color w:val="auto"/>
        </w:rPr>
        <w:t>with $4.1 million for the same period in 2020. The quarterly increase in expense was the result of expenses for consulting and professional fees and salaries offset by reduced travel expenses.</w:t>
      </w:r>
    </w:p>
    <w:p>
      <w:pPr>
        <w:spacing w:after="0" w:line="204"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first quarter 2021, Selecta reported a net loss of $24.6 million, or $0.22 per share, compared to a net loss of $19.6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or $0.21 per share for the same period in 2020.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first quarter 2021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10147801. Investors and the public can access the live and archived webcast of this call and a copy of the presentation via the Investors &amp; Media section of the company’s website, </w:t>
      </w:r>
      <w:r>
        <w:rPr>
          <w:rFonts w:ascii="Arial" w:cs="Arial" w:eastAsia="Arial" w:hAnsi="Arial"/>
          <w:sz w:val="19"/>
          <w:szCs w:val="19"/>
          <w:u w:val="single" w:color="auto"/>
          <w:color w:val="0000FF"/>
        </w:rPr>
        <w:t>www.selectabio.com.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20"/>
          <w:szCs w:val="20"/>
          <w:u w:val="single" w:color="auto"/>
          <w:color w:val="0000FF"/>
        </w:rPr>
        <w:t>www.selectabio.com.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and to mitigate immunogenicity, the anticipated timing or the outcome of ongoing and planned clinical trials, studies and data readouts, the Company’s ability to conduct those clinical trials and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primate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08" w:right="3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9"/>
          <w:szCs w:val="19"/>
          <w:i w:val="1"/>
          <w:iCs w:val="1"/>
          <w:color w:val="auto"/>
        </w:rPr>
        <w:t>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771"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125,407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22,405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163,125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Right-of-use asset,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10,676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176,746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75,764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84,607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24,551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9,403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32,301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Warrant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45,455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196,317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line="147" w:lineRule="exact"/>
              <w:rPr>
                <w:sz w:val="20"/>
                <w:szCs w:val="20"/>
                <w:color w:val="auto"/>
              </w:rPr>
            </w:pPr>
            <w:r>
              <w:rPr>
                <w:rFonts w:ascii="Arial" w:cs="Arial" w:eastAsia="Arial" w:hAnsi="Arial"/>
                <w:sz w:val="14"/>
                <w:szCs w:val="14"/>
                <w:color w:val="auto"/>
              </w:rPr>
              <w:t>Preferred stock, $0.0001 par value; 10,000,000 shares authorized; no shares issued and outstanding at March 31, 2021 and</w:t>
            </w:r>
          </w:p>
        </w:tc>
        <w:tc>
          <w:tcPr>
            <w:tcW w:w="220" w:type="dxa"/>
            <w:vAlign w:val="bottom"/>
          </w:tcPr>
          <w:p>
            <w:pPr>
              <w:spacing w:after="0"/>
              <w:rPr>
                <w:sz w:val="12"/>
                <w:szCs w:val="12"/>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7760" w:type="dxa"/>
            <w:vAlign w:val="bottom"/>
            <w:vMerge w:val="restart"/>
          </w:tcPr>
          <w:p>
            <w:pPr>
              <w:spacing w:after="0"/>
              <w:rPr>
                <w:sz w:val="20"/>
                <w:szCs w:val="20"/>
                <w:color w:val="auto"/>
              </w:rPr>
            </w:pPr>
            <w:r>
              <w:rPr>
                <w:rFonts w:ascii="Arial" w:cs="Arial" w:eastAsia="Arial" w:hAnsi="Arial"/>
                <w:sz w:val="14"/>
                <w:szCs w:val="14"/>
                <w:color w:val="auto"/>
              </w:rPr>
              <w:t>December 31, 2020</w:t>
            </w:r>
          </w:p>
        </w:tc>
        <w:tc>
          <w:tcPr>
            <w:tcW w:w="2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line="142" w:lineRule="exact"/>
              <w:rPr>
                <w:sz w:val="20"/>
                <w:szCs w:val="20"/>
                <w:color w:val="auto"/>
              </w:rPr>
            </w:pPr>
            <w:r>
              <w:rPr>
                <w:rFonts w:ascii="Arial" w:cs="Arial" w:eastAsia="Arial" w:hAnsi="Arial"/>
                <w:sz w:val="14"/>
                <w:szCs w:val="14"/>
                <w:color w:val="auto"/>
                <w:w w:val="94"/>
              </w:rPr>
              <w:t>Common stock, $0.0001 par value; 200,000,000 shares authorized; 112,977,004 and 108,071,249 shares issued and outstanding as</w:t>
            </w:r>
          </w:p>
        </w:tc>
        <w:tc>
          <w:tcPr>
            <w:tcW w:w="22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of March 31, 2021 and December 31, 2020, respectively</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414,214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(429,226)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liabilities and stockholders’ (deficit)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176,746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40" w:top="1066" w:right="359" w:bottom="1440" w:gutter="0" w:footer="0" w:header="0"/>
        </w:sectPr>
      </w:pPr>
    </w:p>
    <w:bookmarkStart w:id="8" w:name="page9"/>
    <w:bookmarkEnd w:id="8"/>
    <w:p>
      <w:pPr>
        <w:jc w:val="center"/>
        <w:ind w:left="310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right="20" w:hanging="88"/>
        <w:spacing w:after="0" w:line="461" w:lineRule="auto"/>
        <w:rPr>
          <w:sz w:val="20"/>
          <w:szCs w:val="20"/>
          <w:color w:val="auto"/>
        </w:rPr>
      </w:pPr>
      <w:r>
        <w:rPr>
          <w:rFonts w:ascii="Arial" w:cs="Arial" w:eastAsia="Arial" w:hAnsi="Arial"/>
          <w:sz w:val="15"/>
          <w:szCs w:val="15"/>
          <w:b w:val="1"/>
          <w:bCs w:val="1"/>
          <w:color w:val="auto"/>
        </w:rPr>
        <w:t>Consolidated Statements of Operations and Comprehensive Loss (Amounts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8060" w:val="left"/>
        </w:tabs>
        <w:rPr>
          <w:sz w:val="20"/>
          <w:szCs w:val="20"/>
          <w:color w:val="auto"/>
        </w:rPr>
      </w:pPr>
      <w:r>
        <w:rPr>
          <w:rFonts w:ascii="Arial" w:cs="Arial" w:eastAsia="Arial" w:hAnsi="Arial"/>
          <w:sz w:val="14"/>
          <w:szCs w:val="14"/>
          <w:color w:val="auto"/>
        </w:rPr>
        <w:t>Grant and collaboration revenue</w:t>
      </w:r>
      <w:r>
        <w:rPr>
          <w:sz w:val="20"/>
          <w:szCs w:val="20"/>
          <w:color w:val="auto"/>
        </w:rPr>
        <w:tab/>
      </w:r>
      <w:r>
        <w:rPr>
          <w:rFonts w:ascii="Arial" w:cs="Arial" w:eastAsia="Arial" w:hAnsi="Arial"/>
          <w:sz w:val="14"/>
          <w:szCs w:val="14"/>
          <w:color w:val="auto"/>
        </w:rPr>
        <w: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operating expenses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operations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transaction gain,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fair value of warrant liabilities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currency translation adjustment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Unrealized (losses) on marketable securities</w:t>
      </w:r>
    </w:p>
    <w:p>
      <w:pPr>
        <w:spacing w:after="0" w:line="42" w:lineRule="exact"/>
        <w:rPr>
          <w:sz w:val="20"/>
          <w:szCs w:val="20"/>
          <w:color w:val="auto"/>
        </w:rPr>
      </w:pPr>
    </w:p>
    <w:p>
      <w:pPr>
        <w:ind w:left="20"/>
        <w:spacing w:after="0"/>
        <w:tabs>
          <w:tab w:leader="none" w:pos="8060" w:val="left"/>
        </w:tabs>
        <w:rPr>
          <w:sz w:val="20"/>
          <w:szCs w:val="20"/>
          <w:color w:val="auto"/>
        </w:rPr>
      </w:pPr>
      <w:r>
        <w:rPr>
          <w:rFonts w:ascii="Arial" w:cs="Arial" w:eastAsia="Arial" w:hAnsi="Arial"/>
          <w:sz w:val="14"/>
          <w:szCs w:val="14"/>
          <w:color w:val="auto"/>
        </w:rPr>
        <w:t>Total comprehensive loss</w:t>
      </w:r>
      <w:r>
        <w:rPr>
          <w:sz w:val="20"/>
          <w:szCs w:val="20"/>
          <w:color w:val="auto"/>
        </w:rPr>
        <w:tab/>
      </w:r>
      <w:r>
        <w:rPr>
          <w:rFonts w:ascii="Arial" w:cs="Arial" w:eastAsia="Arial" w:hAnsi="Arial"/>
          <w:sz w:val="21"/>
          <w:szCs w:val="21"/>
          <w:color w:val="auto"/>
          <w:vertAlign w:val="superscript"/>
        </w:rPr>
        <w: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 per share:</w:t>
      </w:r>
    </w:p>
    <w:p>
      <w:pPr>
        <w:spacing w:after="0" w:line="15" w:lineRule="exact"/>
        <w:rPr>
          <w:sz w:val="20"/>
          <w:szCs w:val="20"/>
          <w:color w:val="auto"/>
        </w:rPr>
      </w:pPr>
    </w:p>
    <w:p>
      <w:pPr>
        <w:ind w:left="220"/>
        <w:spacing w:after="0"/>
        <w:tabs>
          <w:tab w:leader="none" w:pos="8060" w:val="left"/>
        </w:tabs>
        <w:rPr>
          <w:sz w:val="20"/>
          <w:szCs w:val="20"/>
          <w:color w:val="auto"/>
        </w:rPr>
      </w:pPr>
      <w:r>
        <w:rPr>
          <w:rFonts w:ascii="Arial" w:cs="Arial" w:eastAsia="Arial" w:hAnsi="Arial"/>
          <w:sz w:val="14"/>
          <w:szCs w:val="14"/>
          <w:color w:val="auto"/>
        </w:rPr>
        <w:t>Basic and diluted</w:t>
      </w:r>
      <w:r>
        <w:rPr>
          <w:sz w:val="20"/>
          <w:szCs w:val="20"/>
          <w:color w:val="auto"/>
        </w:rPr>
        <w:tab/>
      </w:r>
      <w:r>
        <w:rPr>
          <w:rFonts w:ascii="Arial" w:cs="Arial" w:eastAsia="Arial" w:hAnsi="Arial"/>
          <w:sz w:val="21"/>
          <w:szCs w:val="21"/>
          <w:color w:val="auto"/>
          <w:vertAlign w:val="superscript"/>
        </w:rPr>
        <w:t>$</w:t>
      </w:r>
    </w:p>
    <w:p>
      <w:pPr>
        <w:ind w:left="20"/>
        <w:spacing w:after="0"/>
        <w:rPr>
          <w:sz w:val="20"/>
          <w:szCs w:val="20"/>
          <w:color w:val="auto"/>
        </w:rPr>
      </w:pPr>
      <w:r>
        <w:rPr>
          <w:rFonts w:ascii="Arial" w:cs="Arial" w:eastAsia="Arial" w:hAnsi="Arial"/>
          <w:sz w:val="14"/>
          <w:szCs w:val="14"/>
          <w:color w:val="auto"/>
        </w:rPr>
        <w:t>Weighted average common shares outstanding:</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Meredith Sosulski,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+1-929-469-3851</w:t>
      </w:r>
    </w:p>
    <w:p>
      <w:pPr>
        <w:spacing w:after="0"/>
        <w:rPr>
          <w:sz w:val="20"/>
          <w:szCs w:val="20"/>
          <w:color w:val="auto"/>
        </w:rPr>
      </w:pPr>
      <w:r>
        <w:rPr>
          <w:rFonts w:ascii="Arial" w:cs="Arial" w:eastAsia="Arial" w:hAnsi="Arial"/>
          <w:sz w:val="20"/>
          <w:szCs w:val="20"/>
          <w:u w:val="single" w:color="auto"/>
          <w:color w:val="0000FF"/>
        </w:rPr>
        <w:t>msosulski@lifescicomms.com</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23495</wp:posOffset>
            </wp:positionV>
            <wp:extent cx="2005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20" w:type="dxa"/>
            <w:vAlign w:val="bottom"/>
          </w:tcPr>
          <w:p>
            <w:pPr>
              <w:jc w:val="right"/>
              <w:ind w:right="648"/>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Pr>
          <w:p>
            <w:pPr>
              <w:spacing w:after="0"/>
              <w:rPr>
                <w:sz w:val="16"/>
                <w:szCs w:val="16"/>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203"/>
        </w:trPr>
        <w:tc>
          <w:tcPr>
            <w:tcW w:w="14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r>
      <w:tr>
        <w:trPr>
          <w:trHeight w:val="189"/>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11,050</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13,004</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14,724</w:t>
            </w:r>
          </w:p>
        </w:tc>
      </w:tr>
      <w:tr>
        <w:trPr>
          <w:trHeight w:val="195"/>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5,204</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w:t>
            </w:r>
          </w:p>
        </w:tc>
      </w:tr>
      <w:tr>
        <w:trPr>
          <w:trHeight w:val="183"/>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18,208</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18,822</w:t>
            </w:r>
          </w:p>
        </w:tc>
      </w:tr>
      <w:tr>
        <w:trPr>
          <w:trHeight w:val="182"/>
        </w:trPr>
        <w:tc>
          <w:tcPr>
            <w:tcW w:w="1020" w:type="dxa"/>
            <w:vAlign w:val="bottom"/>
          </w:tcPr>
          <w:p>
            <w:pPr>
              <w:jc w:val="right"/>
              <w:ind w:right="68"/>
              <w:spacing w:after="0"/>
              <w:rPr>
                <w:sz w:val="20"/>
                <w:szCs w:val="20"/>
                <w:color w:val="auto"/>
              </w:rPr>
            </w:pPr>
            <w:r>
              <w:rPr>
                <w:rFonts w:ascii="Arial" w:cs="Arial" w:eastAsia="Arial" w:hAnsi="Arial"/>
                <w:sz w:val="14"/>
                <w:szCs w:val="14"/>
                <w:color w:val="auto"/>
              </w:rPr>
              <w:t>(7,158)</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(18,822)</w:t>
            </w:r>
          </w:p>
        </w:tc>
      </w:tr>
      <w:tr>
        <w:trPr>
          <w:trHeight w:val="184"/>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189"/>
        </w:trPr>
        <w:tc>
          <w:tcPr>
            <w:tcW w:w="10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-360045</wp:posOffset>
            </wp:positionV>
            <wp:extent cx="968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-488950</wp:posOffset>
            </wp:positionV>
            <wp:extent cx="968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-1097280</wp:posOffset>
            </wp:positionV>
            <wp:extent cx="2005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2220" w:hanging="1620"/>
        <w:spacing w:after="0"/>
        <w:tabs>
          <w:tab w:leader="none" w:pos="2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(273)</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(16,747)</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(846)</w:t>
            </w:r>
          </w:p>
        </w:tc>
      </w:tr>
      <w:tr>
        <w:trPr>
          <w:trHeight w:val="195"/>
        </w:trPr>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(24,597)</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(19,620)</w:t>
            </w:r>
          </w:p>
        </w:tc>
      </w:tr>
      <w:tr>
        <w:trPr>
          <w:trHeight w:val="349"/>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5"/>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(24,604)</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(19,680)</w:t>
            </w:r>
          </w:p>
        </w:tc>
      </w:tr>
      <w:tr>
        <w:trPr>
          <w:trHeight w:val="24"/>
        </w:trPr>
        <w:tc>
          <w:tcPr>
            <w:tcW w:w="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95"/>
        </w:trPr>
        <w:tc>
          <w:tcPr>
            <w:tcW w:w="880" w:type="dxa"/>
            <w:vAlign w:val="bottom"/>
          </w:tcPr>
          <w:p>
            <w:pPr>
              <w:jc w:val="right"/>
              <w:ind w:right="68"/>
              <w:spacing w:after="0"/>
              <w:rPr>
                <w:sz w:val="20"/>
                <w:szCs w:val="20"/>
                <w:color w:val="auto"/>
              </w:rPr>
            </w:pPr>
            <w:r>
              <w:rPr>
                <w:rFonts w:ascii="Arial" w:cs="Arial" w:eastAsia="Arial" w:hAnsi="Arial"/>
                <w:sz w:val="14"/>
                <w:szCs w:val="14"/>
                <w:color w:val="auto"/>
              </w:rPr>
              <w:t>(0.22)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r>
      <w:tr>
        <w:trPr>
          <w:trHeight w:val="27"/>
        </w:trPr>
        <w:tc>
          <w:tcPr>
            <w:tcW w:w="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38"/>
        </w:trPr>
        <w:tc>
          <w:tcPr>
            <w:tcW w:w="880" w:type="dxa"/>
            <w:vAlign w:val="bottom"/>
          </w:tcPr>
          <w:p>
            <w:pPr>
              <w:jc w:val="right"/>
              <w:ind w:right="88"/>
              <w:spacing w:after="0"/>
              <w:rPr>
                <w:sz w:val="20"/>
                <w:szCs w:val="20"/>
                <w:color w:val="auto"/>
              </w:rPr>
            </w:pPr>
            <w:r>
              <w:rPr>
                <w:rFonts w:ascii="Arial" w:cs="Arial" w:eastAsia="Arial" w:hAnsi="Arial"/>
                <w:sz w:val="14"/>
                <w:szCs w:val="14"/>
                <w:color w:val="auto"/>
                <w:w w:val="89"/>
              </w:rPr>
              <w:t>110,742,150</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94,723,513</w:t>
            </w:r>
          </w:p>
        </w:tc>
      </w:tr>
      <w:tr>
        <w:trPr>
          <w:trHeight w:val="27"/>
        </w:trPr>
        <w:tc>
          <w:tcPr>
            <w:tcW w:w="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-33655</wp:posOffset>
            </wp:positionV>
            <wp:extent cx="968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-8255</wp:posOffset>
            </wp:positionV>
            <wp:extent cx="96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-290830</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-265430</wp:posOffset>
            </wp:positionV>
            <wp:extent cx="96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-710565</wp:posOffset>
            </wp:positionV>
            <wp:extent cx="968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-685165</wp:posOffset>
            </wp:positionV>
            <wp:extent cx="96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-839470</wp:posOffset>
            </wp:positionV>
            <wp:extent cx="968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-1327785</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-1199515</wp:posOffset>
            </wp:positionV>
            <wp:extent cx="96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sectPr>
      <w:pgSz w:w="11900" w:h="16838" w:orient="portrait"/>
      <w:cols w:equalWidth="0" w:num="2">
        <w:col w:w="8160" w:space="500"/>
        <w:col w:w="2560"/>
      </w:cols>
      <w:pgMar w:left="320" w:top="10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7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2021-05-13T07:03:05Z</dcterms:created>
  <dcterms:modified xsi:type="dcterms:W3CDTF">2021-05-13T07:03:05Z</dcterms:modified>
</cp:coreProperties>
</file>