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38328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83286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Shaydullina Leysan</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720" w:type="dxa"/>
            <w:vAlign w:val="bottom"/>
            <w:tcBorders>
              <w:top w:val="single" w:sz="8" w:color="0000EE"/>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06/21/2016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2">
        <w:r>
          <w:rPr>
            <w:rFonts w:ascii="Arial" w:cs="Arial" w:eastAsia="Arial" w:hAnsi="Arial"/>
            <w:sz w:val="19"/>
            <w:szCs w:val="19"/>
            <w:u w:val="single" w:color="auto"/>
            <w:color w:val="0000EE"/>
          </w:rPr>
          <w:t>SELECTA BIOSCIENCES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SELB</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64"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68"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SELECTA BIOSCIENCES,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480 ARSENAL STREET, BUILDING ONE</w:t>
      </w:r>
    </w:p>
    <w:p>
      <w:pPr>
        <w:spacing w:after="0" w:line="323"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860" w:type="dxa"/>
            <w:vAlign w:val="bottom"/>
          </w:tcPr>
          <w:p>
            <w:pPr>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14"/>
                <w:szCs w:val="14"/>
                <w:color w:val="auto"/>
              </w:rPr>
            </w:pPr>
          </w:p>
        </w:tc>
      </w:tr>
      <w:tr>
        <w:trPr>
          <w:trHeight w:val="242"/>
        </w:trPr>
        <w:tc>
          <w:tcPr>
            <w:tcW w:w="1860" w:type="dxa"/>
            <w:vAlign w:val="bottom"/>
          </w:tcPr>
          <w:p>
            <w:pPr>
              <w:ind w:left="40"/>
              <w:spacing w:after="0"/>
              <w:rPr>
                <w:sz w:val="20"/>
                <w:szCs w:val="20"/>
                <w:color w:val="auto"/>
              </w:rPr>
            </w:pPr>
            <w:r>
              <w:rPr>
                <w:rFonts w:ascii="Arial" w:cs="Arial" w:eastAsia="Arial" w:hAnsi="Arial"/>
                <w:sz w:val="18"/>
                <w:szCs w:val="18"/>
                <w:color w:val="0000FF"/>
              </w:rPr>
              <w:t>WATERTOWN MA</w:t>
            </w:r>
          </w:p>
        </w:tc>
        <w:tc>
          <w:tcPr>
            <w:tcW w:w="820" w:type="dxa"/>
            <w:vAlign w:val="bottom"/>
          </w:tcPr>
          <w:p>
            <w:pPr>
              <w:jc w:val="right"/>
              <w:spacing w:after="0"/>
              <w:rPr>
                <w:sz w:val="20"/>
                <w:szCs w:val="20"/>
                <w:color w:val="auto"/>
              </w:rPr>
            </w:pPr>
            <w:r>
              <w:rPr>
                <w:rFonts w:ascii="Arial" w:cs="Arial" w:eastAsia="Arial" w:hAnsi="Arial"/>
                <w:sz w:val="18"/>
                <w:szCs w:val="18"/>
                <w:color w:val="0000FF"/>
              </w:rPr>
              <w:t>02472</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3520" w:type="dxa"/>
            <w:vAlign w:val="bottom"/>
          </w:tcPr>
          <w:p>
            <w:pPr>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480" w:type="dxa"/>
            <w:vAlign w:val="bottom"/>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480" w:type="dxa"/>
            <w:vAlign w:val="bottom"/>
          </w:tcPr>
          <w:p>
            <w:pPr>
              <w:ind w:left="100"/>
              <w:spacing w:after="0" w:line="149" w:lineRule="exact"/>
              <w:rPr>
                <w:sz w:val="20"/>
                <w:szCs w:val="20"/>
                <w:color w:val="auto"/>
              </w:rPr>
            </w:pPr>
            <w:r>
              <w:rPr>
                <w:rFonts w:ascii="Arial" w:cs="Arial" w:eastAsia="Arial" w:hAnsi="Arial"/>
                <w:sz w:val="14"/>
                <w:szCs w:val="14"/>
                <w:b w:val="1"/>
                <w:bCs w:val="1"/>
                <w:color w:val="auto"/>
                <w:w w:val="95"/>
              </w:rPr>
              <w:t>Beneficial Ownership</w:t>
            </w: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2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48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352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tcPr>
          <w:p>
            <w:pPr>
              <w:spacing w:after="0"/>
              <w:rPr>
                <w:sz w:val="6"/>
                <w:szCs w:val="6"/>
                <w:color w:val="auto"/>
              </w:rPr>
            </w:pPr>
          </w:p>
        </w:tc>
        <w:tc>
          <w:tcPr>
            <w:tcW w:w="148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4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352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480" w:type="dxa"/>
            <w:vAlign w:val="bottom"/>
            <w:vMerge w:val="restart"/>
          </w:tcPr>
          <w:p>
            <w:pPr>
              <w:ind w:left="8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4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3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80" w:type="dxa"/>
            <w:vAlign w:val="bottom"/>
          </w:tcPr>
          <w:p>
            <w:pPr>
              <w:ind w:left="8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80" w:type="dxa"/>
            <w:vAlign w:val="bottom"/>
          </w:tcPr>
          <w:p>
            <w:pPr>
              <w:ind w:left="8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240" w:type="dxa"/>
            <w:vAlign w:val="bottom"/>
          </w:tcPr>
          <w:p>
            <w:pPr>
              <w:spacing w:after="0"/>
              <w:rPr>
                <w:sz w:val="12"/>
                <w:szCs w:val="12"/>
                <w:color w:val="auto"/>
              </w:rPr>
            </w:pPr>
          </w:p>
        </w:tc>
        <w:tc>
          <w:tcPr>
            <w:tcW w:w="1480" w:type="dxa"/>
            <w:vAlign w:val="bottom"/>
          </w:tcPr>
          <w:p>
            <w:pPr>
              <w:ind w:left="8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52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24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480" w:type="dxa"/>
            <w:vAlign w:val="bottom"/>
          </w:tcPr>
          <w:p>
            <w:pPr>
              <w:ind w:left="8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Exhibit List: Exhibit 24 - Power of Attorney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No securities are beneficially owned.</w:t>
      </w:r>
    </w:p>
    <w:p>
      <w:pPr>
        <w:ind w:left="6860"/>
        <w:spacing w:after="0" w:line="183" w:lineRule="auto"/>
        <w:rPr>
          <w:sz w:val="20"/>
          <w:szCs w:val="20"/>
          <w:color w:val="auto"/>
        </w:rPr>
      </w:pPr>
      <w:r>
        <w:rPr>
          <w:rFonts w:ascii="Arial" w:cs="Arial" w:eastAsia="Arial" w:hAnsi="Arial"/>
          <w:sz w:val="18"/>
          <w:szCs w:val="18"/>
          <w:color w:val="0000FF"/>
        </w:rPr>
        <w:t xml:space="preserve">/s/ David Siewers, attorney-in-  </w:t>
      </w:r>
      <w:r>
        <w:rPr>
          <w:rFonts w:ascii="Arial" w:cs="Arial" w:eastAsia="Arial" w:hAnsi="Arial"/>
          <w:sz w:val="35"/>
          <w:szCs w:val="35"/>
          <w:color w:val="0000FF"/>
          <w:vertAlign w:val="subscript"/>
        </w:rPr>
        <w:t>06/21/2016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-28575</wp:posOffset>
            </wp:positionV>
            <wp:extent cx="13684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36842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670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67005"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18"/>
          <w:szCs w:val="18"/>
          <w:b w:val="1"/>
          <w:bCs w:val="1"/>
          <w:color w:val="auto"/>
        </w:rPr>
        <w:t>Exhibit 24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With respect to holdings of and transactions in securities issued by Selecta Biosciences,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xml:space="preserve">”), the undersigned hereby constitutes and appoints the individuals named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attached hereto and as may be amended from time to time, or any of them signing singly, with full power of substitution and resubstitution, to act as the undersigned’s true and lawful attorney-in-fact to:</w:t>
      </w:r>
    </w:p>
    <w:p>
      <w:pPr>
        <w:spacing w:after="0" w:line="181" w:lineRule="exact"/>
        <w:rPr>
          <w:sz w:val="20"/>
          <w:szCs w:val="20"/>
          <w:color w:val="auto"/>
        </w:rPr>
      </w:pPr>
    </w:p>
    <w:p>
      <w:pPr>
        <w:ind w:left="700" w:right="140" w:firstLine="1"/>
        <w:spacing w:after="0" w:line="259" w:lineRule="auto"/>
        <w:tabs>
          <w:tab w:leader="none" w:pos="1375" w:val="left"/>
        </w:tabs>
        <w:numPr>
          <w:ilvl w:val="0"/>
          <w:numId w:val="5"/>
        </w:numPr>
        <w:rPr>
          <w:rFonts w:ascii="Arial" w:cs="Arial" w:eastAsia="Arial" w:hAnsi="Arial"/>
          <w:sz w:val="18"/>
          <w:szCs w:val="18"/>
          <w:color w:val="auto"/>
        </w:rPr>
      </w:pPr>
      <w:r>
        <w:rPr>
          <w:rFonts w:ascii="Arial" w:cs="Arial" w:eastAsia="Arial" w:hAnsi="Arial"/>
          <w:sz w:val="18"/>
          <w:szCs w:val="18"/>
          <w:color w:val="auto"/>
        </w:rPr>
        <w:t>prepare, execute in the undersigned’s name and on the undersigned’s behalf, and submit to the United States Securities and Exchange Commission (the “</w:t>
      </w:r>
      <w:r>
        <w:rPr>
          <w:rFonts w:ascii="Arial" w:cs="Arial" w:eastAsia="Arial" w:hAnsi="Arial"/>
          <w:sz w:val="18"/>
          <w:szCs w:val="18"/>
          <w:b w:val="1"/>
          <w:bCs w:val="1"/>
          <w:i w:val="1"/>
          <w:iCs w:val="1"/>
          <w:color w:val="auto"/>
        </w:rPr>
        <w:t>SEC</w:t>
      </w:r>
      <w:r>
        <w:rPr>
          <w:rFonts w:ascii="Arial" w:cs="Arial" w:eastAsia="Arial" w:hAnsi="Arial"/>
          <w:sz w:val="18"/>
          <w:szCs w:val="18"/>
          <w:color w:val="auto"/>
        </w:rPr>
        <w:t>”) a Form ID, including amendments thereto, and any other documents necessary or appropriate to obtain and/or regenerate codes and passwords enabling the undersigned to make electronic filings with the SEC of reports required by Section 16(a) of the Securities Exchange Act of 1934, as amended, or any rule or regulation of the SEC;</w:t>
      </w:r>
    </w:p>
    <w:p>
      <w:pPr>
        <w:spacing w:after="0" w:line="186" w:lineRule="exact"/>
        <w:rPr>
          <w:rFonts w:ascii="Arial" w:cs="Arial" w:eastAsia="Arial" w:hAnsi="Arial"/>
          <w:sz w:val="18"/>
          <w:szCs w:val="18"/>
          <w:color w:val="auto"/>
        </w:rPr>
      </w:pPr>
    </w:p>
    <w:p>
      <w:pPr>
        <w:ind w:left="700" w:right="160" w:firstLine="1"/>
        <w:spacing w:after="0" w:line="277" w:lineRule="auto"/>
        <w:tabs>
          <w:tab w:leader="none" w:pos="1375" w:val="left"/>
        </w:tabs>
        <w:numPr>
          <w:ilvl w:val="0"/>
          <w:numId w:val="5"/>
        </w:numPr>
        <w:rPr>
          <w:rFonts w:ascii="Arial" w:cs="Arial" w:eastAsia="Arial" w:hAnsi="Arial"/>
          <w:sz w:val="18"/>
          <w:szCs w:val="18"/>
          <w:color w:val="auto"/>
        </w:rPr>
      </w:pPr>
      <w:r>
        <w:rPr>
          <w:rFonts w:ascii="Arial" w:cs="Arial" w:eastAsia="Arial" w:hAnsi="Arial"/>
          <w:sz w:val="18"/>
          <w:szCs w:val="18"/>
          <w:color w:val="auto"/>
        </w:rPr>
        <w:t>execute for and on behalf of the undersigned, Forms 3, 4, and 5 in accordance with Section 16 of the Securities Exchange Act of 1934, as amended, and the rules thereunder;</w:t>
      </w:r>
    </w:p>
    <w:p>
      <w:pPr>
        <w:spacing w:after="0" w:line="170" w:lineRule="exact"/>
        <w:rPr>
          <w:rFonts w:ascii="Arial" w:cs="Arial" w:eastAsia="Arial" w:hAnsi="Arial"/>
          <w:sz w:val="18"/>
          <w:szCs w:val="18"/>
          <w:color w:val="auto"/>
        </w:rPr>
      </w:pPr>
    </w:p>
    <w:p>
      <w:pPr>
        <w:ind w:left="700" w:right="60" w:firstLine="1"/>
        <w:spacing w:after="0" w:line="264" w:lineRule="auto"/>
        <w:tabs>
          <w:tab w:leader="none" w:pos="1375" w:val="left"/>
        </w:tabs>
        <w:numPr>
          <w:ilvl w:val="0"/>
          <w:numId w:val="5"/>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w:t>
      </w:r>
    </w:p>
    <w:p>
      <w:pPr>
        <w:spacing w:after="0" w:line="181" w:lineRule="exact"/>
        <w:rPr>
          <w:rFonts w:ascii="Arial" w:cs="Arial" w:eastAsia="Arial" w:hAnsi="Arial"/>
          <w:sz w:val="18"/>
          <w:szCs w:val="18"/>
          <w:color w:val="auto"/>
        </w:rPr>
      </w:pPr>
    </w:p>
    <w:p>
      <w:pPr>
        <w:ind w:left="700" w:firstLine="1"/>
        <w:spacing w:after="0" w:line="259" w:lineRule="auto"/>
        <w:tabs>
          <w:tab w:leader="none" w:pos="1375" w:val="left"/>
        </w:tabs>
        <w:numPr>
          <w:ilvl w:val="0"/>
          <w:numId w:val="5"/>
        </w:numPr>
        <w:rPr>
          <w:rFonts w:ascii="Arial" w:cs="Arial" w:eastAsia="Arial" w:hAnsi="Arial"/>
          <w:sz w:val="18"/>
          <w:szCs w:val="18"/>
          <w:color w:val="auto"/>
        </w:rPr>
      </w:pPr>
      <w:r>
        <w:rPr>
          <w:rFonts w:ascii="Arial" w:cs="Arial" w:eastAsia="Arial" w:hAnsi="Arial"/>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87"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spacing w:after="0" w:line="188" w:lineRule="exact"/>
        <w:rPr>
          <w:sz w:val="20"/>
          <w:szCs w:val="20"/>
          <w:color w:val="auto"/>
        </w:rPr>
      </w:pPr>
    </w:p>
    <w:p>
      <w:pPr>
        <w:ind w:right="180" w:firstLine="648"/>
        <w:spacing w:after="0" w:line="342" w:lineRule="auto"/>
        <w:rPr>
          <w:sz w:val="20"/>
          <w:szCs w:val="20"/>
          <w:color w:val="auto"/>
        </w:rPr>
      </w:pPr>
      <w:r>
        <w:rPr>
          <w:rFonts w:ascii="Arial" w:cs="Arial" w:eastAsia="Arial" w:hAnsi="Arial"/>
          <w:sz w:val="16"/>
          <w:szCs w:val="16"/>
          <w:color w:val="auto"/>
        </w:rPr>
        <w:t>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124"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This Power of Attorney shall remain in full force and effect until the undersigned is no longer required to file Forms 3, 4, and 5 with respect to the undersigned’s holdings of and transactions in securities issued by Selecta Biosciences, Inc., unless earlier revoked by the undersigned in a signed writing delivered to the foregoing attorneys-in-fact..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190500</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undersigned has caused this Power of Attorney to be executed as of this 6</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day of June, 2016.</w:t>
      </w:r>
    </w:p>
    <w:p>
      <w:pPr>
        <w:spacing w:after="0" w:line="16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Leysan Shaydullina</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Leysan Shaydullina</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Printed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Schedule 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Individuals Appointed as Attorney-in-Fact with Full Power of Substitution and Resubstitution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David Abraham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David Siewers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1" Type="http://schemas.openxmlformats.org/officeDocument/2006/relationships/hyperlink" Target="http://www.sec.gov/cgi-bin/browse-edgar?action=getcompany&amp;CIK=0001677493" TargetMode="External"/><Relationship Id="rId12" Type="http://schemas.openxmlformats.org/officeDocument/2006/relationships/hyperlink" Target="http://www.sec.gov/cgi-bin/browse-edgar?action=getcompany&amp;CIK=0001453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2019-12-08T19:14:36Z</dcterms:created>
  <dcterms:modified xsi:type="dcterms:W3CDTF">2019-12-08T19:14:36Z</dcterms:modified>
</cp:coreProperties>
</file>