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3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3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7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5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1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0" w:lineRule="exact"/>
        <w:rPr>
          <w:sz w:val="24"/>
          <w:szCs w:val="24"/>
          <w:color w:val="auto"/>
        </w:rPr>
      </w:pPr>
    </w:p>
    <w:p>
      <w:pPr>
        <w:spacing w:after="0" w:line="235"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color w:val="auto"/>
        </w:rPr>
        <w:t>Date of Report (Date of earliest event reported): June 29, 2022</w:t>
      </w:r>
    </w:p>
    <w:p>
      <w:pPr>
        <w:spacing w:after="0" w:line="34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14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83"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57"/>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65 Grove Street, Watertown, MA 02472</w:t>
            </w:r>
          </w:p>
        </w:tc>
        <w:tc>
          <w:tcPr>
            <w:tcW w:w="1960" w:type="dxa"/>
            <w:vAlign w:val="bottom"/>
          </w:tcPr>
          <w:p>
            <w:pPr>
              <w:spacing w:after="0"/>
              <w:rPr>
                <w:sz w:val="24"/>
                <w:szCs w:val="24"/>
                <w:color w:val="auto"/>
              </w:rPr>
            </w:pPr>
          </w:p>
        </w:tc>
      </w:tr>
      <w:tr>
        <w:trPr>
          <w:trHeight w:val="324"/>
        </w:trPr>
        <w:tc>
          <w:tcPr>
            <w:tcW w:w="2460" w:type="dxa"/>
            <w:vAlign w:val="bottom"/>
          </w:tcPr>
          <w:p>
            <w:pPr>
              <w:spacing w:after="0"/>
              <w:rPr>
                <w:sz w:val="24"/>
                <w:szCs w:val="24"/>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60" w:type="dxa"/>
            <w:vAlign w:val="bottom"/>
          </w:tcPr>
          <w:p>
            <w:pPr>
              <w:spacing w:after="0"/>
              <w:rPr>
                <w:sz w:val="24"/>
                <w:szCs w:val="24"/>
                <w:color w:val="auto"/>
              </w:rPr>
            </w:pPr>
          </w:p>
        </w:tc>
      </w:tr>
      <w:tr>
        <w:trPr>
          <w:trHeight w:val="324"/>
        </w:trPr>
        <w:tc>
          <w:tcPr>
            <w:tcW w:w="2460" w:type="dxa"/>
            <w:vAlign w:val="bottom"/>
          </w:tcPr>
          <w:p>
            <w:pPr>
              <w:spacing w:after="0"/>
              <w:rPr>
                <w:sz w:val="24"/>
                <w:szCs w:val="24"/>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2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091" w:right="101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0"/>
          <w:szCs w:val="20"/>
          <w:color w:val="auto"/>
        </w:rPr>
      </w:pPr>
    </w:p>
    <w:p>
      <w:pPr>
        <w:spacing w:after="0" w:line="24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o</w:t>
      </w:r>
    </w:p>
    <w:p>
      <w:pPr>
        <w:spacing w:after="0" w:line="200" w:lineRule="exact"/>
        <w:rPr>
          <w:sz w:val="20"/>
          <w:szCs w:val="20"/>
          <w:color w:val="auto"/>
        </w:rPr>
      </w:pPr>
    </w:p>
    <w:p>
      <w:pPr>
        <w:spacing w:after="0" w:line="268"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098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0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On June 29, 2022, Selecta Biosciences, Inc. (the “Company”) completed enrollment in its DISSOLVE II phase 3 clinical trial of SEL-212 for the treatment of chronic refractory gout. The Company expects to announce top-line results from this trial in the first quarter of 2023.</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License and Development Agreement entered into between the Company and Swedish Orphan Biovitrum AB (Publ) (“Sobi”), Sobi is obligated to pay the Company a $10 million development milestone payment within 15 days of being notified of the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SELECTA BIOSCIENCES,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2022</w:t>
            </w:r>
          </w:p>
        </w:tc>
        <w:tc>
          <w:tcPr>
            <w:tcW w:w="25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98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2022-06-30T07:19:11Z</dcterms:created>
  <dcterms:modified xsi:type="dcterms:W3CDTF">2022-06-30T07:19:11Z</dcterms:modified>
</cp:coreProperties>
</file>