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2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3981450</wp:posOffset>
            </wp:positionH>
            <wp:positionV relativeFrom="paragraph">
              <wp:posOffset>-627380</wp:posOffset>
            </wp:positionV>
            <wp:extent cx="58420" cy="640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745490</wp:posOffset>
            </wp:positionV>
            <wp:extent cx="7046595" cy="5491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491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40"/>
            <w:col w:w="8500"/>
          </w:cols>
          <w:pgMar w:left="460" w:top="218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ZENNER PATRICK J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4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Cartesian Therapeutics,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RNAC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01/02/2025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CARTESIAN THERAPEUTICS, INC.</w:t>
            </w: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7495 NEW HORIZON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8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FREDERICK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21703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 w:line="3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3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10,374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1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16.93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7,800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01/02/2026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01/01/2035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7,800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7,800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19.656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01/01/2034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7"/>
              </w:rPr>
              <w:t>7,600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7,600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common stock, which will vest in full on January 2, 2026.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April 4, 2024, the issuer effected a 1-for-30 reverse stock split of its common stock (the "Reverse Stock Split"). The amount of securities reported on this Form 4 have been adjusted to reflect the Reverse Stock Split.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award vests in 36 equal monthly installments following the date of grant, so that it shall be fully vested on January 2, 2027.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Matthew Bartholomae,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-8890</wp:posOffset>
            </wp:positionV>
            <wp:extent cx="11112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Patrick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01/06/2025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-15875</wp:posOffset>
            </wp:positionV>
            <wp:extent cx="18815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Zenner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-15875</wp:posOffset>
            </wp:positionV>
            <wp:extent cx="3022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139036" TargetMode="External"/><Relationship Id="rId14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2025-01-06T15:27:28Z</dcterms:created>
  <dcterms:modified xsi:type="dcterms:W3CDTF">2025-01-06T15:27:28Z</dcterms:modified>
</cp:coreProperties>
</file>