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14,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June 14, 2019, the Board of Directors (the “Board”) of Selecta Biosciences, Inc. (the “Company”) appointed Scott Myers as a Class I director, to serve until the Company’s annual meeting of stockholders to be held in 2020 and until his successor is duly elected and qualified or his earlier death, disqualification, resignation or removal. Mr. Myers has been appointed to serve on the Nominating and Corporate Governance Committee of the Board (the “Nominating Committee”).</w:t>
      </w:r>
    </w:p>
    <w:p>
      <w:pPr>
        <w:spacing w:after="0" w:line="200" w:lineRule="exact"/>
        <w:rPr>
          <w:sz w:val="20"/>
          <w:szCs w:val="20"/>
          <w:color w:val="auto"/>
        </w:rPr>
      </w:pPr>
    </w:p>
    <w:p>
      <w:pPr>
        <w:spacing w:after="0" w:line="3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Mr. Myers, age 53, has served as Chief Executive Officer and Chairman of the Board of Rainier Therapeutics, formerly known as BioClin Therapeutics, an oncology biotechnology company focused on late-stage bladder cancer, since September 2018 and June 2018, respectively. Previously, he served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July 2015. He currently is a member of the board of directors and audit committee of Harpoon Therapeutics. Mr. Myers previously served on the board of directors of Cascadian Therapeutics from 2016 through 2018. Mr. Myers’ experience as a senior executive of life sciences companies and knowledge of the pharmaceutical and biotech industries contributed to our Board of Directors’ conclusion that he should serve as a director of the Company.</w:t>
      </w:r>
    </w:p>
    <w:p>
      <w:pPr>
        <w:spacing w:after="0" w:line="200" w:lineRule="exact"/>
        <w:rPr>
          <w:sz w:val="20"/>
          <w:szCs w:val="20"/>
          <w:color w:val="auto"/>
        </w:rPr>
      </w:pPr>
    </w:p>
    <w:p>
      <w:pPr>
        <w:spacing w:after="0" w:line="34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Mr. Myers is eligible to participate in the Company’s Non-Employee Director Compensation Plan, including receipt of an annual retainer of $40,000 for his Board service, an additional annual retainer of $4,000 for his service on the Nominating Committee, and an initial award of options to purchase 20,000 shares of the Company’s common stock (the “Initial Award”). The Initial Award has an exercise price equal to $2.10 per share, the fair market value of a share of the Company's common stock on the date of grant, and will vest and become exercisable in 36 substantially equal monthly installments following the date of grant, subject to Mr. Myers’ continued service on the Board through each such vesting date. Mr. Myers has also entered into the Company’s standard indemnification agreement for directors and officers.</w:t>
      </w:r>
    </w:p>
    <w:p>
      <w:pPr>
        <w:sectPr>
          <w:pgSz w:w="11900" w:h="16838" w:orient="portrait"/>
          <w:cols w:equalWidth="0" w:num="1">
            <w:col w:w="11420"/>
          </w:cols>
          <w:pgMar w:left="240" w:top="3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June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36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2019-12-01T14:23:33Z</dcterms:created>
  <dcterms:modified xsi:type="dcterms:W3CDTF">2019-12-01T14:23:33Z</dcterms:modified>
</cp:coreProperties>
</file>