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2 )*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3"/>
          <w:szCs w:val="43"/>
          <w:b w:val="1"/>
          <w:bCs w:val="1"/>
          <w:color w:val="auto"/>
        </w:rPr>
        <w:t>Cartesian Therapeutics, Inc.</w:t>
      </w:r>
    </w:p>
    <w:p>
      <w:pPr>
        <w:spacing w:after="0" w:line="5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Common Stock, $0.0001 par value</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816212302</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3"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William R. Kolb</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Daniel S. Clevenger</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Foley Hoag LLP</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155 Seaport Boulevard</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Boston, MA 02210</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Tel: (617) 832-1000</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Fax: (617) 832-7000</w:t>
      </w:r>
    </w:p>
    <w:p>
      <w:pPr>
        <w:spacing w:after="0" w:line="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October 11, 2024</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12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81" w:lineRule="exact"/>
        <w:rPr>
          <w:sz w:val="24"/>
          <w:szCs w:val="24"/>
          <w:color w:val="auto"/>
        </w:rPr>
      </w:pPr>
    </w:p>
    <w:p>
      <w:pPr>
        <w:ind w:left="4" w:right="2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 See §240.13d-7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whom copies are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35560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14" w:lineRule="exact"/>
        <w:rPr>
          <w:sz w:val="24"/>
          <w:szCs w:val="24"/>
          <w:color w:val="auto"/>
        </w:rPr>
      </w:pPr>
    </w:p>
    <w:p>
      <w:pPr>
        <w:ind w:left="424"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174625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511" w:right="5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No. 816212104</w:t>
            </w:r>
          </w:p>
        </w:tc>
        <w:tc>
          <w:tcPr>
            <w:tcW w:w="2260" w:type="dxa"/>
            <w:vAlign w:val="bottom"/>
          </w:tcPr>
          <w:p>
            <w:pPr>
              <w:ind w:left="1940"/>
              <w:spacing w:after="0"/>
              <w:rPr>
                <w:sz w:val="20"/>
                <w:szCs w:val="20"/>
                <w:color w:val="auto"/>
              </w:rPr>
            </w:pPr>
            <w:r>
              <w:rPr>
                <w:rFonts w:ascii="Times New Roman" w:cs="Times New Roman" w:eastAsia="Times New Roman" w:hAnsi="Times New Roman"/>
                <w:sz w:val="18"/>
                <w:szCs w:val="18"/>
                <w:b w:val="1"/>
                <w:bCs w:val="1"/>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240" w:hanging="87"/>
        <w:spacing w:after="0"/>
        <w:tabs>
          <w:tab w:leader="none" w:pos="2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40" w:hanging="91"/>
        <w:spacing w:after="0"/>
        <w:tabs>
          <w:tab w:leader="none" w:pos="6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Murat Kalayoglu</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7003415" cy="58381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3415" cy="5838190"/>
                    </a:xfrm>
                    <a:prstGeom prst="rect">
                      <a:avLst/>
                    </a:prstGeom>
                    <a:noFill/>
                  </pic:spPr>
                </pic:pic>
              </a:graphicData>
            </a:graphic>
          </wp:anchor>
        </w:drawing>
      </w:r>
    </w:p>
    <w:p>
      <w:pPr>
        <w:spacing w:after="0" w:line="1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(a)        (b)</w:t>
      </w:r>
    </w:p>
    <w:p>
      <w:pPr>
        <w:spacing w:after="0" w:line="261" w:lineRule="exact"/>
        <w:rPr>
          <w:sz w:val="20"/>
          <w:szCs w:val="20"/>
          <w:color w:val="auto"/>
        </w:rPr>
      </w:pPr>
    </w:p>
    <w:p>
      <w:pPr>
        <w:ind w:left="240" w:hanging="87"/>
        <w:spacing w:after="0"/>
        <w:tabs>
          <w:tab w:leader="none" w:pos="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40" w:hanging="91"/>
        <w:spacing w:after="0"/>
        <w:tabs>
          <w:tab w:leader="none" w:pos="6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PF, OO</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63" w:lineRule="exact"/>
        <w:rPr>
          <w:rFonts w:ascii="Times New Roman" w:cs="Times New Roman" w:eastAsia="Times New Roman" w:hAnsi="Times New Roman"/>
          <w:sz w:val="17"/>
          <w:szCs w:val="17"/>
          <w:color w:val="auto"/>
        </w:rPr>
      </w:pPr>
    </w:p>
    <w:p>
      <w:pPr>
        <w:ind w:left="640" w:hanging="91"/>
        <w:spacing w:after="0"/>
        <w:tabs>
          <w:tab w:leader="none" w:pos="6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w:t>
      </w:r>
    </w:p>
    <w:p>
      <w:pPr>
        <w:spacing w:after="0" w:line="36" w:lineRule="exact"/>
        <w:rPr>
          <w:rFonts w:ascii="Times New Roman" w:cs="Times New Roman" w:eastAsia="Times New Roman" w:hAnsi="Times New Roman"/>
          <w:sz w:val="18"/>
          <w:szCs w:val="18"/>
          <w:color w:val="auto"/>
        </w:rPr>
      </w:pPr>
    </w:p>
    <w:p>
      <w:pPr>
        <w:ind w:left="1240" w:hanging="83"/>
        <w:spacing w:after="0"/>
        <w:tabs>
          <w:tab w:leader="none" w:pos="1240" w:val="left"/>
        </w:tabs>
        <w:numPr>
          <w:ilvl w:val="2"/>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     Sole Voting Power</w:t>
      </w:r>
    </w:p>
    <w:p>
      <w:pPr>
        <w:spacing w:after="0" w:line="235" w:lineRule="exact"/>
        <w:rPr>
          <w:sz w:val="20"/>
          <w:szCs w:val="20"/>
          <w:color w:val="auto"/>
        </w:rPr>
      </w:pPr>
    </w:p>
    <w:tbl>
      <w:tblPr>
        <w:tblLayout w:type="fixed"/>
        <w:tblInd w:w="160" w:type="dxa"/>
        <w:tblCellMar>
          <w:top w:w="0" w:type="dxa"/>
          <w:left w:w="0" w:type="dxa"/>
          <w:bottom w:w="0" w:type="dxa"/>
          <w:right w:w="0" w:type="dxa"/>
        </w:tblCellMar>
      </w:tblPr>
      <w:tr>
        <w:trPr>
          <w:trHeight w:val="221"/>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80" w:type="dxa"/>
            <w:vAlign w:val="bottom"/>
          </w:tcPr>
          <w:p>
            <w:pPr>
              <w:spacing w:after="0"/>
              <w:rPr>
                <w:sz w:val="19"/>
                <w:szCs w:val="19"/>
                <w:color w:val="auto"/>
              </w:rPr>
            </w:pPr>
          </w:p>
        </w:tc>
        <w:tc>
          <w:tcPr>
            <w:tcW w:w="2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5,058,026</w:t>
            </w:r>
          </w:p>
        </w:tc>
        <w:tc>
          <w:tcPr>
            <w:tcW w:w="0" w:type="dxa"/>
            <w:vAlign w:val="bottom"/>
          </w:tcPr>
          <w:p>
            <w:pPr>
              <w:spacing w:after="0"/>
              <w:rPr>
                <w:sz w:val="1"/>
                <w:szCs w:val="1"/>
                <w:color w:val="auto"/>
              </w:rPr>
            </w:pPr>
          </w:p>
        </w:tc>
      </w:tr>
      <w:tr>
        <w:trPr>
          <w:trHeight w:val="211"/>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2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8.    Shared Voting Power</w:t>
            </w:r>
          </w:p>
        </w:tc>
        <w:tc>
          <w:tcPr>
            <w:tcW w:w="0" w:type="dxa"/>
            <w:vAlign w:val="bottom"/>
          </w:tcPr>
          <w:p>
            <w:pPr>
              <w:spacing w:after="0"/>
              <w:rPr>
                <w:sz w:val="1"/>
                <w:szCs w:val="1"/>
                <w:color w:val="auto"/>
              </w:rPr>
            </w:pPr>
          </w:p>
        </w:tc>
      </w:tr>
      <w:tr>
        <w:trPr>
          <w:trHeight w:val="86"/>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24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94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80" w:type="dxa"/>
            <w:vAlign w:val="bottom"/>
          </w:tcPr>
          <w:p>
            <w:pPr>
              <w:spacing w:after="0"/>
              <w:rPr>
                <w:sz w:val="18"/>
                <w:szCs w:val="18"/>
                <w:color w:val="auto"/>
              </w:rPr>
            </w:pPr>
          </w:p>
        </w:tc>
        <w:tc>
          <w:tcPr>
            <w:tcW w:w="20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13"/>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38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940" w:type="dxa"/>
            <w:vAlign w:val="bottom"/>
            <w:vMerge w:val="continue"/>
          </w:tcPr>
          <w:p>
            <w:pPr>
              <w:spacing w:after="0"/>
              <w:rPr>
                <w:sz w:val="8"/>
                <w:szCs w:val="8"/>
                <w:color w:val="auto"/>
              </w:rPr>
            </w:pPr>
          </w:p>
        </w:tc>
        <w:tc>
          <w:tcPr>
            <w:tcW w:w="2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9.    Sole Dispositive Power</w:t>
            </w:r>
          </w:p>
        </w:tc>
        <w:tc>
          <w:tcPr>
            <w:tcW w:w="0" w:type="dxa"/>
            <w:vAlign w:val="bottom"/>
          </w:tcPr>
          <w:p>
            <w:pPr>
              <w:spacing w:after="0"/>
              <w:rPr>
                <w:sz w:val="1"/>
                <w:szCs w:val="1"/>
                <w:color w:val="auto"/>
              </w:rPr>
            </w:pPr>
          </w:p>
        </w:tc>
      </w:tr>
      <w:tr>
        <w:trPr>
          <w:trHeight w:val="140"/>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2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94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80" w:type="dxa"/>
            <w:vAlign w:val="bottom"/>
          </w:tcPr>
          <w:p>
            <w:pPr>
              <w:spacing w:after="0"/>
              <w:rPr>
                <w:sz w:val="18"/>
                <w:szCs w:val="18"/>
                <w:color w:val="auto"/>
              </w:rPr>
            </w:pPr>
          </w:p>
        </w:tc>
        <w:tc>
          <w:tcPr>
            <w:tcW w:w="20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5,058,026</w:t>
            </w:r>
          </w:p>
        </w:tc>
        <w:tc>
          <w:tcPr>
            <w:tcW w:w="0" w:type="dxa"/>
            <w:vAlign w:val="bottom"/>
          </w:tcPr>
          <w:p>
            <w:pPr>
              <w:spacing w:after="0"/>
              <w:rPr>
                <w:sz w:val="1"/>
                <w:szCs w:val="1"/>
                <w:color w:val="auto"/>
              </w:rPr>
            </w:pPr>
          </w:p>
        </w:tc>
      </w:tr>
      <w:tr>
        <w:trPr>
          <w:trHeight w:val="167"/>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80" w:type="dxa"/>
            <w:vAlign w:val="bottom"/>
          </w:tcPr>
          <w:p>
            <w:pPr>
              <w:spacing w:after="0"/>
              <w:rPr>
                <w:sz w:val="14"/>
                <w:szCs w:val="14"/>
                <w:color w:val="auto"/>
              </w:rPr>
            </w:pPr>
          </w:p>
        </w:tc>
        <w:tc>
          <w:tcPr>
            <w:tcW w:w="2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940" w:type="dxa"/>
            <w:vAlign w:val="bottom"/>
            <w:vMerge w:val="continue"/>
          </w:tcPr>
          <w:p>
            <w:pPr>
              <w:spacing w:after="0"/>
              <w:rPr>
                <w:sz w:val="5"/>
                <w:szCs w:val="5"/>
                <w:color w:val="auto"/>
              </w:rPr>
            </w:pPr>
          </w:p>
        </w:tc>
        <w:tc>
          <w:tcPr>
            <w:tcW w:w="3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10.</w:t>
            </w:r>
          </w:p>
        </w:tc>
        <w:tc>
          <w:tcPr>
            <w:tcW w:w="20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w w:val="96"/>
              </w:rPr>
              <w:t>  Shared Dispositive Power</w:t>
            </w: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2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  0</w:t>
      </w:r>
    </w:p>
    <w:p>
      <w:pPr>
        <w:spacing w:after="0" w:line="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11.     Aggregate Amount Beneficially Owned by Each Reporting Person</w:t>
      </w:r>
    </w:p>
    <w:p>
      <w:pPr>
        <w:spacing w:after="0" w:line="252" w:lineRule="exact"/>
        <w:rPr>
          <w:sz w:val="20"/>
          <w:szCs w:val="20"/>
          <w:color w:val="auto"/>
        </w:rPr>
      </w:pPr>
    </w:p>
    <w:p>
      <w:pPr>
        <w:ind w:left="640" w:hanging="91"/>
        <w:spacing w:after="0"/>
        <w:tabs>
          <w:tab w:leader="none" w:pos="6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5,058,026</w:t>
      </w:r>
    </w:p>
    <w:p>
      <w:pPr>
        <w:spacing w:after="0" w:line="36" w:lineRule="exact"/>
        <w:rPr>
          <w:rFonts w:ascii="Times New Roman" w:cs="Times New Roman" w:eastAsia="Times New Roman" w:hAnsi="Times New Roman"/>
          <w:sz w:val="18"/>
          <w:szCs w:val="18"/>
          <w:color w:val="auto"/>
        </w:rPr>
      </w:pPr>
    </w:p>
    <w:p>
      <w:pPr>
        <w:ind w:left="540" w:hanging="387"/>
        <w:spacing w:after="0"/>
        <w:tabs>
          <w:tab w:leader="none" w:pos="5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Check if the Aggregate Amount in Row (11) Excludes Certain Shares (See Instructions)</w:t>
      </w:r>
    </w:p>
    <w:p>
      <w:pPr>
        <w:spacing w:after="0" w:line="290" w:lineRule="exact"/>
        <w:rPr>
          <w:rFonts w:ascii="Times New Roman" w:cs="Times New Roman" w:eastAsia="Times New Roman" w:hAnsi="Times New Roman"/>
          <w:sz w:val="17"/>
          <w:szCs w:val="17"/>
          <w:color w:val="auto"/>
        </w:rPr>
      </w:pPr>
    </w:p>
    <w:p>
      <w:pPr>
        <w:ind w:left="540" w:hanging="387"/>
        <w:spacing w:after="0"/>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252" w:lineRule="exact"/>
        <w:rPr>
          <w:rFonts w:ascii="Times New Roman" w:cs="Times New Roman" w:eastAsia="Times New Roman" w:hAnsi="Times New Roman"/>
          <w:sz w:val="18"/>
          <w:szCs w:val="18"/>
          <w:color w:val="auto"/>
        </w:rPr>
      </w:pPr>
    </w:p>
    <w:p>
      <w:pPr>
        <w:ind w:left="640" w:hanging="91"/>
        <w:spacing w:after="0"/>
        <w:tabs>
          <w:tab w:leader="none" w:pos="6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w:t>
      </w:r>
    </w:p>
    <w:p>
      <w:pPr>
        <w:spacing w:after="0" w:line="36" w:lineRule="exact"/>
        <w:rPr>
          <w:rFonts w:ascii="Times New Roman" w:cs="Times New Roman" w:eastAsia="Times New Roman" w:hAnsi="Times New Roman"/>
          <w:sz w:val="18"/>
          <w:szCs w:val="18"/>
          <w:color w:val="auto"/>
        </w:rPr>
      </w:pPr>
    </w:p>
    <w:p>
      <w:pPr>
        <w:ind w:left="540" w:hanging="387"/>
        <w:spacing w:after="0"/>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40" w:hanging="91"/>
        <w:spacing w:after="0"/>
        <w:tabs>
          <w:tab w:leader="none" w:pos="6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Page 2 of 9 Pages</w:t>
      </w:r>
    </w:p>
    <w:p>
      <w:pPr>
        <w:sectPr>
          <w:pgSz w:w="11900" w:h="16838" w:orient="portrait"/>
          <w:cols w:equalWidth="0" w:num="2">
            <w:col w:w="8980" w:space="720"/>
            <w:col w:w="1320"/>
          </w:cols>
          <w:pgMar w:left="440" w:top="266"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No. 816212104</w:t>
            </w:r>
          </w:p>
        </w:tc>
        <w:tc>
          <w:tcPr>
            <w:tcW w:w="2260" w:type="dxa"/>
            <w:vAlign w:val="bottom"/>
          </w:tcPr>
          <w:p>
            <w:pPr>
              <w:ind w:left="1940"/>
              <w:spacing w:after="0"/>
              <w:rPr>
                <w:sz w:val="20"/>
                <w:szCs w:val="20"/>
                <w:color w:val="auto"/>
              </w:rPr>
            </w:pPr>
            <w:r>
              <w:rPr>
                <w:rFonts w:ascii="Times New Roman" w:cs="Times New Roman" w:eastAsia="Times New Roman" w:hAnsi="Times New Roman"/>
                <w:sz w:val="18"/>
                <w:szCs w:val="18"/>
                <w:b w:val="1"/>
                <w:bCs w:val="1"/>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240" w:hanging="87"/>
        <w:spacing w:after="0"/>
        <w:tabs>
          <w:tab w:leader="none" w:pos="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40" w:hanging="91"/>
        <w:spacing w:after="0"/>
        <w:tabs>
          <w:tab w:leader="none" w:pos="6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Seven One Eight Three Four Irrevocable Trust</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7003415" cy="58375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3415" cy="5837555"/>
                    </a:xfrm>
                    <a:prstGeom prst="rect">
                      <a:avLst/>
                    </a:prstGeom>
                    <a:noFill/>
                  </pic:spPr>
                </pic:pic>
              </a:graphicData>
            </a:graphic>
          </wp:anchor>
        </w:drawing>
      </w:r>
    </w:p>
    <w:p>
      <w:pPr>
        <w:spacing w:after="0" w:line="1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(a)        (b)</w:t>
      </w:r>
    </w:p>
    <w:p>
      <w:pPr>
        <w:spacing w:after="0" w:line="261" w:lineRule="exact"/>
        <w:rPr>
          <w:sz w:val="20"/>
          <w:szCs w:val="20"/>
          <w:color w:val="auto"/>
        </w:rPr>
      </w:pPr>
    </w:p>
    <w:p>
      <w:pPr>
        <w:ind w:left="240" w:hanging="87"/>
        <w:spacing w:after="0"/>
        <w:tabs>
          <w:tab w:leader="none" w:pos="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20" w:hanging="71"/>
        <w:spacing w:after="0"/>
        <w:tabs>
          <w:tab w:leader="none" w:pos="620" w:val="left"/>
        </w:tabs>
        <w:numPr>
          <w:ilvl w:val="1"/>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AF, OO</w:t>
      </w:r>
    </w:p>
    <w:p>
      <w:pPr>
        <w:spacing w:after="0" w:line="93" w:lineRule="exact"/>
        <w:rPr>
          <w:rFonts w:ascii="Times New Roman" w:cs="Times New Roman" w:eastAsia="Times New Roman" w:hAnsi="Times New Roman"/>
          <w:sz w:val="13"/>
          <w:szCs w:val="13"/>
          <w:color w:val="auto"/>
        </w:rPr>
      </w:pPr>
    </w:p>
    <w:p>
      <w:pPr>
        <w:ind w:left="240" w:hanging="87"/>
        <w:spacing w:after="0"/>
        <w:tabs>
          <w:tab w:leader="none" w:pos="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63" w:lineRule="exact"/>
        <w:rPr>
          <w:rFonts w:ascii="Times New Roman" w:cs="Times New Roman" w:eastAsia="Times New Roman" w:hAnsi="Times New Roman"/>
          <w:sz w:val="17"/>
          <w:szCs w:val="17"/>
          <w:color w:val="auto"/>
        </w:rPr>
      </w:pPr>
    </w:p>
    <w:p>
      <w:pPr>
        <w:ind w:left="640" w:hanging="91"/>
        <w:spacing w:after="0"/>
        <w:tabs>
          <w:tab w:leader="none" w:pos="6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w:t>
      </w:r>
    </w:p>
    <w:p>
      <w:pPr>
        <w:spacing w:after="0" w:line="36" w:lineRule="exact"/>
        <w:rPr>
          <w:rFonts w:ascii="Times New Roman" w:cs="Times New Roman" w:eastAsia="Times New Roman" w:hAnsi="Times New Roman"/>
          <w:sz w:val="18"/>
          <w:szCs w:val="18"/>
          <w:color w:val="auto"/>
        </w:rPr>
      </w:pPr>
    </w:p>
    <w:p>
      <w:pPr>
        <w:ind w:left="1240" w:hanging="83"/>
        <w:spacing w:after="0"/>
        <w:tabs>
          <w:tab w:leader="none" w:pos="1240" w:val="left"/>
        </w:tabs>
        <w:numPr>
          <w:ilvl w:val="2"/>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     Sole Voting Power</w:t>
      </w:r>
    </w:p>
    <w:p>
      <w:pPr>
        <w:spacing w:after="0" w:line="235" w:lineRule="exact"/>
        <w:rPr>
          <w:sz w:val="20"/>
          <w:szCs w:val="20"/>
          <w:color w:val="auto"/>
        </w:rPr>
      </w:pPr>
    </w:p>
    <w:tbl>
      <w:tblPr>
        <w:tblLayout w:type="fixed"/>
        <w:tblInd w:w="160" w:type="dxa"/>
        <w:tblCellMar>
          <w:top w:w="0" w:type="dxa"/>
          <w:left w:w="0" w:type="dxa"/>
          <w:bottom w:w="0" w:type="dxa"/>
          <w:right w:w="0" w:type="dxa"/>
        </w:tblCellMar>
      </w:tblPr>
      <w:tr>
        <w:trPr>
          <w:trHeight w:val="221"/>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80" w:type="dxa"/>
            <w:vAlign w:val="bottom"/>
          </w:tcPr>
          <w:p>
            <w:pPr>
              <w:spacing w:after="0"/>
              <w:rPr>
                <w:sz w:val="19"/>
                <w:szCs w:val="19"/>
                <w:color w:val="auto"/>
              </w:rPr>
            </w:pPr>
          </w:p>
        </w:tc>
        <w:tc>
          <w:tcPr>
            <w:tcW w:w="2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4,555,260</w:t>
            </w:r>
          </w:p>
        </w:tc>
        <w:tc>
          <w:tcPr>
            <w:tcW w:w="0" w:type="dxa"/>
            <w:vAlign w:val="bottom"/>
          </w:tcPr>
          <w:p>
            <w:pPr>
              <w:spacing w:after="0"/>
              <w:rPr>
                <w:sz w:val="1"/>
                <w:szCs w:val="1"/>
                <w:color w:val="auto"/>
              </w:rPr>
            </w:pPr>
          </w:p>
        </w:tc>
      </w:tr>
      <w:tr>
        <w:trPr>
          <w:trHeight w:val="211"/>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2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8.    Shared Voting Power</w:t>
            </w:r>
          </w:p>
        </w:tc>
        <w:tc>
          <w:tcPr>
            <w:tcW w:w="0" w:type="dxa"/>
            <w:vAlign w:val="bottom"/>
          </w:tcPr>
          <w:p>
            <w:pPr>
              <w:spacing w:after="0"/>
              <w:rPr>
                <w:sz w:val="1"/>
                <w:szCs w:val="1"/>
                <w:color w:val="auto"/>
              </w:rPr>
            </w:pPr>
          </w:p>
        </w:tc>
      </w:tr>
      <w:tr>
        <w:trPr>
          <w:trHeight w:val="86"/>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24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94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80" w:type="dxa"/>
            <w:vAlign w:val="bottom"/>
          </w:tcPr>
          <w:p>
            <w:pPr>
              <w:spacing w:after="0"/>
              <w:rPr>
                <w:sz w:val="18"/>
                <w:szCs w:val="18"/>
                <w:color w:val="auto"/>
              </w:rPr>
            </w:pPr>
          </w:p>
        </w:tc>
        <w:tc>
          <w:tcPr>
            <w:tcW w:w="20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13"/>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38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940" w:type="dxa"/>
            <w:vAlign w:val="bottom"/>
            <w:vMerge w:val="continue"/>
          </w:tcPr>
          <w:p>
            <w:pPr>
              <w:spacing w:after="0"/>
              <w:rPr>
                <w:sz w:val="8"/>
                <w:szCs w:val="8"/>
                <w:color w:val="auto"/>
              </w:rPr>
            </w:pPr>
          </w:p>
        </w:tc>
        <w:tc>
          <w:tcPr>
            <w:tcW w:w="2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9.    Sole Dispositive Power</w:t>
            </w:r>
          </w:p>
        </w:tc>
        <w:tc>
          <w:tcPr>
            <w:tcW w:w="0" w:type="dxa"/>
            <w:vAlign w:val="bottom"/>
          </w:tcPr>
          <w:p>
            <w:pPr>
              <w:spacing w:after="0"/>
              <w:rPr>
                <w:sz w:val="1"/>
                <w:szCs w:val="1"/>
                <w:color w:val="auto"/>
              </w:rPr>
            </w:pPr>
          </w:p>
        </w:tc>
      </w:tr>
      <w:tr>
        <w:trPr>
          <w:trHeight w:val="140"/>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2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94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80" w:type="dxa"/>
            <w:vAlign w:val="bottom"/>
          </w:tcPr>
          <w:p>
            <w:pPr>
              <w:spacing w:after="0"/>
              <w:rPr>
                <w:sz w:val="18"/>
                <w:szCs w:val="18"/>
                <w:color w:val="auto"/>
              </w:rPr>
            </w:pPr>
          </w:p>
        </w:tc>
        <w:tc>
          <w:tcPr>
            <w:tcW w:w="20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4,555,260</w:t>
            </w:r>
          </w:p>
        </w:tc>
        <w:tc>
          <w:tcPr>
            <w:tcW w:w="0" w:type="dxa"/>
            <w:vAlign w:val="bottom"/>
          </w:tcPr>
          <w:p>
            <w:pPr>
              <w:spacing w:after="0"/>
              <w:rPr>
                <w:sz w:val="1"/>
                <w:szCs w:val="1"/>
                <w:color w:val="auto"/>
              </w:rPr>
            </w:pPr>
          </w:p>
        </w:tc>
      </w:tr>
      <w:tr>
        <w:trPr>
          <w:trHeight w:val="167"/>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80" w:type="dxa"/>
            <w:vAlign w:val="bottom"/>
          </w:tcPr>
          <w:p>
            <w:pPr>
              <w:spacing w:after="0"/>
              <w:rPr>
                <w:sz w:val="14"/>
                <w:szCs w:val="14"/>
                <w:color w:val="auto"/>
              </w:rPr>
            </w:pPr>
          </w:p>
        </w:tc>
        <w:tc>
          <w:tcPr>
            <w:tcW w:w="2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940" w:type="dxa"/>
            <w:vAlign w:val="bottom"/>
            <w:vMerge w:val="continue"/>
          </w:tcPr>
          <w:p>
            <w:pPr>
              <w:spacing w:after="0"/>
              <w:rPr>
                <w:sz w:val="5"/>
                <w:szCs w:val="5"/>
                <w:color w:val="auto"/>
              </w:rPr>
            </w:pPr>
          </w:p>
        </w:tc>
        <w:tc>
          <w:tcPr>
            <w:tcW w:w="3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10.</w:t>
            </w:r>
          </w:p>
        </w:tc>
        <w:tc>
          <w:tcPr>
            <w:tcW w:w="20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w w:val="96"/>
              </w:rPr>
              <w:t>  Shared Dispositive Power</w:t>
            </w: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2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  0</w:t>
      </w:r>
    </w:p>
    <w:p>
      <w:pPr>
        <w:spacing w:after="0" w:line="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11.     Aggregate Amount Beneficially Owned by Each Reporting Person</w:t>
      </w:r>
    </w:p>
    <w:p>
      <w:pPr>
        <w:spacing w:after="0" w:line="252" w:lineRule="exact"/>
        <w:rPr>
          <w:sz w:val="20"/>
          <w:szCs w:val="20"/>
          <w:color w:val="auto"/>
        </w:rPr>
      </w:pPr>
    </w:p>
    <w:p>
      <w:pPr>
        <w:ind w:left="640" w:hanging="91"/>
        <w:spacing w:after="0"/>
        <w:tabs>
          <w:tab w:leader="none" w:pos="6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4,555,260</w:t>
      </w:r>
    </w:p>
    <w:p>
      <w:pPr>
        <w:spacing w:after="0" w:line="36" w:lineRule="exact"/>
        <w:rPr>
          <w:rFonts w:ascii="Times New Roman" w:cs="Times New Roman" w:eastAsia="Times New Roman" w:hAnsi="Times New Roman"/>
          <w:sz w:val="18"/>
          <w:szCs w:val="18"/>
          <w:color w:val="auto"/>
        </w:rPr>
      </w:pPr>
    </w:p>
    <w:p>
      <w:pPr>
        <w:ind w:left="540" w:hanging="387"/>
        <w:spacing w:after="0"/>
        <w:tabs>
          <w:tab w:leader="none" w:pos="5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Check if the Aggregate Amount in Row (11) Excludes Certain Shares (See Instructions)</w:t>
      </w:r>
    </w:p>
    <w:p>
      <w:pPr>
        <w:spacing w:after="0" w:line="290" w:lineRule="exact"/>
        <w:rPr>
          <w:rFonts w:ascii="Times New Roman" w:cs="Times New Roman" w:eastAsia="Times New Roman" w:hAnsi="Times New Roman"/>
          <w:sz w:val="17"/>
          <w:szCs w:val="17"/>
          <w:color w:val="auto"/>
        </w:rPr>
      </w:pPr>
    </w:p>
    <w:p>
      <w:pPr>
        <w:ind w:left="540" w:hanging="387"/>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252" w:lineRule="exact"/>
        <w:rPr>
          <w:rFonts w:ascii="Times New Roman" w:cs="Times New Roman" w:eastAsia="Times New Roman" w:hAnsi="Times New Roman"/>
          <w:sz w:val="18"/>
          <w:szCs w:val="18"/>
          <w:color w:val="auto"/>
        </w:rPr>
      </w:pPr>
    </w:p>
    <w:p>
      <w:pPr>
        <w:ind w:left="640" w:hanging="91"/>
        <w:spacing w:after="0"/>
        <w:tabs>
          <w:tab w:leader="none" w:pos="6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17.9%</w:t>
      </w:r>
    </w:p>
    <w:p>
      <w:pPr>
        <w:spacing w:after="0" w:line="36" w:lineRule="exact"/>
        <w:rPr>
          <w:rFonts w:ascii="Times New Roman" w:cs="Times New Roman" w:eastAsia="Times New Roman" w:hAnsi="Times New Roman"/>
          <w:sz w:val="18"/>
          <w:szCs w:val="18"/>
          <w:color w:val="auto"/>
        </w:rPr>
      </w:pPr>
    </w:p>
    <w:p>
      <w:pPr>
        <w:ind w:left="540" w:hanging="387"/>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40" w:hanging="91"/>
        <w:spacing w:after="0"/>
        <w:tabs>
          <w:tab w:leader="none" w:pos="6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Page 3 of 9 Pages</w:t>
      </w:r>
    </w:p>
    <w:p>
      <w:pPr>
        <w:sectPr>
          <w:pgSz w:w="11900" w:h="16838" w:orient="portrait"/>
          <w:cols w:equalWidth="0" w:num="2">
            <w:col w:w="8980" w:space="720"/>
            <w:col w:w="1320"/>
          </w:cols>
          <w:pgMar w:left="440" w:top="266"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No. 816212104</w:t>
            </w:r>
          </w:p>
        </w:tc>
        <w:tc>
          <w:tcPr>
            <w:tcW w:w="2260" w:type="dxa"/>
            <w:vAlign w:val="bottom"/>
          </w:tcPr>
          <w:p>
            <w:pPr>
              <w:ind w:left="1940"/>
              <w:spacing w:after="0"/>
              <w:rPr>
                <w:sz w:val="20"/>
                <w:szCs w:val="20"/>
                <w:color w:val="auto"/>
              </w:rPr>
            </w:pPr>
            <w:r>
              <w:rPr>
                <w:rFonts w:ascii="Times New Roman" w:cs="Times New Roman" w:eastAsia="Times New Roman" w:hAnsi="Times New Roman"/>
                <w:sz w:val="18"/>
                <w:szCs w:val="18"/>
                <w:b w:val="1"/>
                <w:bCs w:val="1"/>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240" w:hanging="87"/>
        <w:spacing w:after="0"/>
        <w:tabs>
          <w:tab w:leader="none" w:pos="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40" w:hanging="91"/>
        <w:spacing w:after="0"/>
        <w:tabs>
          <w:tab w:leader="none" w:pos="6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Elizabeth Hoge</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7003415" cy="58381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03415" cy="5838190"/>
                    </a:xfrm>
                    <a:prstGeom prst="rect">
                      <a:avLst/>
                    </a:prstGeom>
                    <a:noFill/>
                  </pic:spPr>
                </pic:pic>
              </a:graphicData>
            </a:graphic>
          </wp:anchor>
        </w:drawing>
      </w:r>
    </w:p>
    <w:p>
      <w:pPr>
        <w:spacing w:after="0" w:line="1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(a)        (b)</w:t>
      </w:r>
    </w:p>
    <w:p>
      <w:pPr>
        <w:spacing w:after="0" w:line="261" w:lineRule="exact"/>
        <w:rPr>
          <w:sz w:val="20"/>
          <w:szCs w:val="20"/>
          <w:color w:val="auto"/>
        </w:rPr>
      </w:pPr>
    </w:p>
    <w:p>
      <w:pPr>
        <w:ind w:left="240" w:hanging="87"/>
        <w:spacing w:after="0"/>
        <w:tabs>
          <w:tab w:leader="none" w:pos="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20" w:hanging="71"/>
        <w:spacing w:after="0"/>
        <w:tabs>
          <w:tab w:leader="none" w:pos="620" w:val="left"/>
        </w:tabs>
        <w:numPr>
          <w:ilvl w:val="1"/>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AF, OO</w:t>
      </w:r>
    </w:p>
    <w:p>
      <w:pPr>
        <w:spacing w:after="0" w:line="93" w:lineRule="exact"/>
        <w:rPr>
          <w:rFonts w:ascii="Times New Roman" w:cs="Times New Roman" w:eastAsia="Times New Roman" w:hAnsi="Times New Roman"/>
          <w:sz w:val="13"/>
          <w:szCs w:val="13"/>
          <w:color w:val="auto"/>
        </w:rPr>
      </w:pPr>
    </w:p>
    <w:p>
      <w:pPr>
        <w:ind w:left="240" w:hanging="87"/>
        <w:spacing w:after="0"/>
        <w:tabs>
          <w:tab w:leader="none" w:pos="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63" w:lineRule="exact"/>
        <w:rPr>
          <w:rFonts w:ascii="Times New Roman" w:cs="Times New Roman" w:eastAsia="Times New Roman" w:hAnsi="Times New Roman"/>
          <w:sz w:val="17"/>
          <w:szCs w:val="17"/>
          <w:color w:val="auto"/>
        </w:rPr>
      </w:pPr>
    </w:p>
    <w:p>
      <w:pPr>
        <w:ind w:left="640" w:hanging="91"/>
        <w:spacing w:after="0"/>
        <w:tabs>
          <w:tab w:leader="none" w:pos="6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w:t>
      </w:r>
    </w:p>
    <w:p>
      <w:pPr>
        <w:spacing w:after="0" w:line="36" w:lineRule="exact"/>
        <w:rPr>
          <w:rFonts w:ascii="Times New Roman" w:cs="Times New Roman" w:eastAsia="Times New Roman" w:hAnsi="Times New Roman"/>
          <w:sz w:val="18"/>
          <w:szCs w:val="18"/>
          <w:color w:val="auto"/>
        </w:rPr>
      </w:pPr>
    </w:p>
    <w:p>
      <w:pPr>
        <w:ind w:left="1240" w:hanging="83"/>
        <w:spacing w:after="0"/>
        <w:tabs>
          <w:tab w:leader="none" w:pos="1240" w:val="left"/>
        </w:tabs>
        <w:numPr>
          <w:ilvl w:val="2"/>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     Sole Voting Power</w:t>
      </w:r>
    </w:p>
    <w:p>
      <w:pPr>
        <w:spacing w:after="0" w:line="235" w:lineRule="exact"/>
        <w:rPr>
          <w:sz w:val="20"/>
          <w:szCs w:val="20"/>
          <w:color w:val="auto"/>
        </w:rPr>
      </w:pPr>
    </w:p>
    <w:tbl>
      <w:tblPr>
        <w:tblLayout w:type="fixed"/>
        <w:tblInd w:w="160" w:type="dxa"/>
        <w:tblCellMar>
          <w:top w:w="0" w:type="dxa"/>
          <w:left w:w="0" w:type="dxa"/>
          <w:bottom w:w="0" w:type="dxa"/>
          <w:right w:w="0" w:type="dxa"/>
        </w:tblCellMar>
      </w:tblPr>
      <w:tr>
        <w:trPr>
          <w:trHeight w:val="221"/>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80" w:type="dxa"/>
            <w:vAlign w:val="bottom"/>
          </w:tcPr>
          <w:p>
            <w:pPr>
              <w:spacing w:after="0"/>
              <w:rPr>
                <w:sz w:val="19"/>
                <w:szCs w:val="19"/>
                <w:color w:val="auto"/>
              </w:rPr>
            </w:pPr>
          </w:p>
        </w:tc>
        <w:tc>
          <w:tcPr>
            <w:tcW w:w="2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11"/>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2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8.    Shared Voting Power</w:t>
            </w:r>
          </w:p>
        </w:tc>
        <w:tc>
          <w:tcPr>
            <w:tcW w:w="0" w:type="dxa"/>
            <w:vAlign w:val="bottom"/>
          </w:tcPr>
          <w:p>
            <w:pPr>
              <w:spacing w:after="0"/>
              <w:rPr>
                <w:sz w:val="1"/>
                <w:szCs w:val="1"/>
                <w:color w:val="auto"/>
              </w:rPr>
            </w:pPr>
          </w:p>
        </w:tc>
      </w:tr>
      <w:tr>
        <w:trPr>
          <w:trHeight w:val="86"/>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24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94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80" w:type="dxa"/>
            <w:vAlign w:val="bottom"/>
          </w:tcPr>
          <w:p>
            <w:pPr>
              <w:spacing w:after="0"/>
              <w:rPr>
                <w:sz w:val="18"/>
                <w:szCs w:val="18"/>
                <w:color w:val="auto"/>
              </w:rPr>
            </w:pPr>
          </w:p>
        </w:tc>
        <w:tc>
          <w:tcPr>
            <w:tcW w:w="20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4,555,260</w:t>
            </w:r>
          </w:p>
        </w:tc>
        <w:tc>
          <w:tcPr>
            <w:tcW w:w="0" w:type="dxa"/>
            <w:vAlign w:val="bottom"/>
          </w:tcPr>
          <w:p>
            <w:pPr>
              <w:spacing w:after="0"/>
              <w:rPr>
                <w:sz w:val="1"/>
                <w:szCs w:val="1"/>
                <w:color w:val="auto"/>
              </w:rPr>
            </w:pPr>
          </w:p>
        </w:tc>
      </w:tr>
      <w:tr>
        <w:trPr>
          <w:trHeight w:val="113"/>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38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940" w:type="dxa"/>
            <w:vAlign w:val="bottom"/>
            <w:vMerge w:val="continue"/>
          </w:tcPr>
          <w:p>
            <w:pPr>
              <w:spacing w:after="0"/>
              <w:rPr>
                <w:sz w:val="8"/>
                <w:szCs w:val="8"/>
                <w:color w:val="auto"/>
              </w:rPr>
            </w:pPr>
          </w:p>
        </w:tc>
        <w:tc>
          <w:tcPr>
            <w:tcW w:w="2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9.    Sole Dispositive Power</w:t>
            </w:r>
          </w:p>
        </w:tc>
        <w:tc>
          <w:tcPr>
            <w:tcW w:w="0" w:type="dxa"/>
            <w:vAlign w:val="bottom"/>
          </w:tcPr>
          <w:p>
            <w:pPr>
              <w:spacing w:after="0"/>
              <w:rPr>
                <w:sz w:val="1"/>
                <w:szCs w:val="1"/>
                <w:color w:val="auto"/>
              </w:rPr>
            </w:pPr>
          </w:p>
        </w:tc>
      </w:tr>
      <w:tr>
        <w:trPr>
          <w:trHeight w:val="140"/>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2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94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80" w:type="dxa"/>
            <w:vAlign w:val="bottom"/>
          </w:tcPr>
          <w:p>
            <w:pPr>
              <w:spacing w:after="0"/>
              <w:rPr>
                <w:sz w:val="18"/>
                <w:szCs w:val="18"/>
                <w:color w:val="auto"/>
              </w:rPr>
            </w:pPr>
          </w:p>
        </w:tc>
        <w:tc>
          <w:tcPr>
            <w:tcW w:w="20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67"/>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80" w:type="dxa"/>
            <w:vAlign w:val="bottom"/>
          </w:tcPr>
          <w:p>
            <w:pPr>
              <w:spacing w:after="0"/>
              <w:rPr>
                <w:sz w:val="14"/>
                <w:szCs w:val="14"/>
                <w:color w:val="auto"/>
              </w:rPr>
            </w:pPr>
          </w:p>
        </w:tc>
        <w:tc>
          <w:tcPr>
            <w:tcW w:w="2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940" w:type="dxa"/>
            <w:vAlign w:val="bottom"/>
            <w:vMerge w:val="continue"/>
          </w:tcPr>
          <w:p>
            <w:pPr>
              <w:spacing w:after="0"/>
              <w:rPr>
                <w:sz w:val="5"/>
                <w:szCs w:val="5"/>
                <w:color w:val="auto"/>
              </w:rPr>
            </w:pPr>
          </w:p>
        </w:tc>
        <w:tc>
          <w:tcPr>
            <w:tcW w:w="3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10.</w:t>
            </w:r>
          </w:p>
        </w:tc>
        <w:tc>
          <w:tcPr>
            <w:tcW w:w="20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w w:val="96"/>
              </w:rPr>
              <w:t>  Shared Dispositive Power</w:t>
            </w: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2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  4,555,260</w:t>
      </w:r>
    </w:p>
    <w:p>
      <w:pPr>
        <w:spacing w:after="0" w:line="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11.     Aggregate Amount Beneficially Owned by Each Reporting Person</w:t>
      </w:r>
    </w:p>
    <w:p>
      <w:pPr>
        <w:spacing w:after="0" w:line="252" w:lineRule="exact"/>
        <w:rPr>
          <w:sz w:val="20"/>
          <w:szCs w:val="20"/>
          <w:color w:val="auto"/>
        </w:rPr>
      </w:pPr>
    </w:p>
    <w:p>
      <w:pPr>
        <w:ind w:left="640" w:hanging="91"/>
        <w:spacing w:after="0"/>
        <w:tabs>
          <w:tab w:leader="none" w:pos="6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4,555,260</w:t>
      </w:r>
    </w:p>
    <w:p>
      <w:pPr>
        <w:spacing w:after="0" w:line="36" w:lineRule="exact"/>
        <w:rPr>
          <w:rFonts w:ascii="Times New Roman" w:cs="Times New Roman" w:eastAsia="Times New Roman" w:hAnsi="Times New Roman"/>
          <w:sz w:val="18"/>
          <w:szCs w:val="18"/>
          <w:color w:val="auto"/>
        </w:rPr>
      </w:pPr>
    </w:p>
    <w:p>
      <w:pPr>
        <w:ind w:left="540" w:hanging="387"/>
        <w:spacing w:after="0"/>
        <w:tabs>
          <w:tab w:leader="none" w:pos="5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Check if the Aggregate Amount in Row (11) Excludes Certain Shares (See Instructions)</w:t>
      </w:r>
    </w:p>
    <w:p>
      <w:pPr>
        <w:spacing w:after="0" w:line="290" w:lineRule="exact"/>
        <w:rPr>
          <w:rFonts w:ascii="Times New Roman" w:cs="Times New Roman" w:eastAsia="Times New Roman" w:hAnsi="Times New Roman"/>
          <w:sz w:val="17"/>
          <w:szCs w:val="17"/>
          <w:color w:val="auto"/>
        </w:rPr>
      </w:pPr>
    </w:p>
    <w:p>
      <w:pPr>
        <w:ind w:left="540" w:hanging="387"/>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252" w:lineRule="exact"/>
        <w:rPr>
          <w:rFonts w:ascii="Times New Roman" w:cs="Times New Roman" w:eastAsia="Times New Roman" w:hAnsi="Times New Roman"/>
          <w:sz w:val="18"/>
          <w:szCs w:val="18"/>
          <w:color w:val="auto"/>
        </w:rPr>
      </w:pPr>
    </w:p>
    <w:p>
      <w:pPr>
        <w:ind w:left="640" w:hanging="91"/>
        <w:spacing w:after="0"/>
        <w:tabs>
          <w:tab w:leader="none" w:pos="6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17.9%</w:t>
      </w:r>
    </w:p>
    <w:p>
      <w:pPr>
        <w:spacing w:after="0" w:line="36" w:lineRule="exact"/>
        <w:rPr>
          <w:rFonts w:ascii="Times New Roman" w:cs="Times New Roman" w:eastAsia="Times New Roman" w:hAnsi="Times New Roman"/>
          <w:sz w:val="18"/>
          <w:szCs w:val="18"/>
          <w:color w:val="auto"/>
        </w:rPr>
      </w:pPr>
    </w:p>
    <w:p>
      <w:pPr>
        <w:ind w:left="540" w:hanging="387"/>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40" w:hanging="91"/>
        <w:spacing w:after="0"/>
        <w:tabs>
          <w:tab w:leader="none" w:pos="6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 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Page 4 of 9 Pages</w:t>
      </w:r>
    </w:p>
    <w:p>
      <w:pPr>
        <w:sectPr>
          <w:pgSz w:w="11900" w:h="16838" w:orient="portrait"/>
          <w:cols w:equalWidth="0" w:num="2">
            <w:col w:w="8980" w:space="720"/>
            <w:col w:w="1320"/>
          </w:cols>
          <w:pgMar w:left="440" w:top="266"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No. 816212104</w:t>
            </w:r>
          </w:p>
        </w:tc>
        <w:tc>
          <w:tcPr>
            <w:tcW w:w="2260" w:type="dxa"/>
            <w:vAlign w:val="bottom"/>
          </w:tcPr>
          <w:p>
            <w:pPr>
              <w:ind w:left="1940"/>
              <w:spacing w:after="0"/>
              <w:rPr>
                <w:sz w:val="20"/>
                <w:szCs w:val="20"/>
                <w:color w:val="auto"/>
              </w:rPr>
            </w:pPr>
            <w:r>
              <w:rPr>
                <w:rFonts w:ascii="Times New Roman" w:cs="Times New Roman" w:eastAsia="Times New Roman" w:hAnsi="Times New Roman"/>
                <w:sz w:val="18"/>
                <w:szCs w:val="18"/>
                <w:b w:val="1"/>
                <w:bCs w:val="1"/>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240" w:hanging="87"/>
        <w:spacing w:after="0"/>
        <w:tabs>
          <w:tab w:leader="none" w:pos="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40" w:hanging="91"/>
        <w:spacing w:after="0"/>
        <w:tabs>
          <w:tab w:leader="none" w:pos="6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Sinan Kalayoglu</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7003415" cy="58375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03415" cy="5837555"/>
                    </a:xfrm>
                    <a:prstGeom prst="rect">
                      <a:avLst/>
                    </a:prstGeom>
                    <a:noFill/>
                  </pic:spPr>
                </pic:pic>
              </a:graphicData>
            </a:graphic>
          </wp:anchor>
        </w:drawing>
      </w:r>
    </w:p>
    <w:p>
      <w:pPr>
        <w:spacing w:after="0" w:line="1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(a)        (b)</w:t>
      </w:r>
    </w:p>
    <w:p>
      <w:pPr>
        <w:spacing w:after="0" w:line="261" w:lineRule="exact"/>
        <w:rPr>
          <w:sz w:val="20"/>
          <w:szCs w:val="20"/>
          <w:color w:val="auto"/>
        </w:rPr>
      </w:pPr>
    </w:p>
    <w:p>
      <w:pPr>
        <w:ind w:left="240" w:hanging="87"/>
        <w:spacing w:after="0"/>
        <w:tabs>
          <w:tab w:leader="none" w:pos="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20" w:hanging="71"/>
        <w:spacing w:after="0"/>
        <w:tabs>
          <w:tab w:leader="none" w:pos="620" w:val="left"/>
        </w:tabs>
        <w:numPr>
          <w:ilvl w:val="1"/>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AF, OO</w:t>
      </w:r>
    </w:p>
    <w:p>
      <w:pPr>
        <w:spacing w:after="0" w:line="93" w:lineRule="exact"/>
        <w:rPr>
          <w:rFonts w:ascii="Times New Roman" w:cs="Times New Roman" w:eastAsia="Times New Roman" w:hAnsi="Times New Roman"/>
          <w:sz w:val="13"/>
          <w:szCs w:val="13"/>
          <w:color w:val="auto"/>
        </w:rPr>
      </w:pPr>
    </w:p>
    <w:p>
      <w:pPr>
        <w:ind w:left="240" w:hanging="87"/>
        <w:spacing w:after="0"/>
        <w:tabs>
          <w:tab w:leader="none" w:pos="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63" w:lineRule="exact"/>
        <w:rPr>
          <w:rFonts w:ascii="Times New Roman" w:cs="Times New Roman" w:eastAsia="Times New Roman" w:hAnsi="Times New Roman"/>
          <w:sz w:val="17"/>
          <w:szCs w:val="17"/>
          <w:color w:val="auto"/>
        </w:rPr>
      </w:pPr>
    </w:p>
    <w:p>
      <w:pPr>
        <w:ind w:left="640" w:hanging="91"/>
        <w:spacing w:after="0"/>
        <w:tabs>
          <w:tab w:leader="none" w:pos="6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w:t>
      </w:r>
    </w:p>
    <w:p>
      <w:pPr>
        <w:spacing w:after="0" w:line="36" w:lineRule="exact"/>
        <w:rPr>
          <w:rFonts w:ascii="Times New Roman" w:cs="Times New Roman" w:eastAsia="Times New Roman" w:hAnsi="Times New Roman"/>
          <w:sz w:val="18"/>
          <w:szCs w:val="18"/>
          <w:color w:val="auto"/>
        </w:rPr>
      </w:pPr>
    </w:p>
    <w:p>
      <w:pPr>
        <w:ind w:left="1240" w:hanging="83"/>
        <w:spacing w:after="0"/>
        <w:tabs>
          <w:tab w:leader="none" w:pos="1240" w:val="left"/>
        </w:tabs>
        <w:numPr>
          <w:ilvl w:val="2"/>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     Sole Voting Power</w:t>
      </w:r>
    </w:p>
    <w:p>
      <w:pPr>
        <w:spacing w:after="0" w:line="235" w:lineRule="exact"/>
        <w:rPr>
          <w:sz w:val="20"/>
          <w:szCs w:val="20"/>
          <w:color w:val="auto"/>
        </w:rPr>
      </w:pPr>
    </w:p>
    <w:tbl>
      <w:tblPr>
        <w:tblLayout w:type="fixed"/>
        <w:tblInd w:w="160" w:type="dxa"/>
        <w:tblCellMar>
          <w:top w:w="0" w:type="dxa"/>
          <w:left w:w="0" w:type="dxa"/>
          <w:bottom w:w="0" w:type="dxa"/>
          <w:right w:w="0" w:type="dxa"/>
        </w:tblCellMar>
      </w:tblPr>
      <w:tr>
        <w:trPr>
          <w:trHeight w:val="221"/>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80" w:type="dxa"/>
            <w:vAlign w:val="bottom"/>
          </w:tcPr>
          <w:p>
            <w:pPr>
              <w:spacing w:after="0"/>
              <w:rPr>
                <w:sz w:val="19"/>
                <w:szCs w:val="19"/>
                <w:color w:val="auto"/>
              </w:rPr>
            </w:pPr>
          </w:p>
        </w:tc>
        <w:tc>
          <w:tcPr>
            <w:tcW w:w="2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11"/>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2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8.    Shared Voting Power</w:t>
            </w:r>
          </w:p>
        </w:tc>
        <w:tc>
          <w:tcPr>
            <w:tcW w:w="0" w:type="dxa"/>
            <w:vAlign w:val="bottom"/>
          </w:tcPr>
          <w:p>
            <w:pPr>
              <w:spacing w:after="0"/>
              <w:rPr>
                <w:sz w:val="1"/>
                <w:szCs w:val="1"/>
                <w:color w:val="auto"/>
              </w:rPr>
            </w:pPr>
          </w:p>
        </w:tc>
      </w:tr>
      <w:tr>
        <w:trPr>
          <w:trHeight w:val="86"/>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24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94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80" w:type="dxa"/>
            <w:vAlign w:val="bottom"/>
          </w:tcPr>
          <w:p>
            <w:pPr>
              <w:spacing w:after="0"/>
              <w:rPr>
                <w:sz w:val="18"/>
                <w:szCs w:val="18"/>
                <w:color w:val="auto"/>
              </w:rPr>
            </w:pPr>
          </w:p>
        </w:tc>
        <w:tc>
          <w:tcPr>
            <w:tcW w:w="20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4,555,260</w:t>
            </w:r>
          </w:p>
        </w:tc>
        <w:tc>
          <w:tcPr>
            <w:tcW w:w="0" w:type="dxa"/>
            <w:vAlign w:val="bottom"/>
          </w:tcPr>
          <w:p>
            <w:pPr>
              <w:spacing w:after="0"/>
              <w:rPr>
                <w:sz w:val="1"/>
                <w:szCs w:val="1"/>
                <w:color w:val="auto"/>
              </w:rPr>
            </w:pPr>
          </w:p>
        </w:tc>
      </w:tr>
      <w:tr>
        <w:trPr>
          <w:trHeight w:val="113"/>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38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940" w:type="dxa"/>
            <w:vAlign w:val="bottom"/>
            <w:vMerge w:val="continue"/>
          </w:tcPr>
          <w:p>
            <w:pPr>
              <w:spacing w:after="0"/>
              <w:rPr>
                <w:sz w:val="8"/>
                <w:szCs w:val="8"/>
                <w:color w:val="auto"/>
              </w:rPr>
            </w:pPr>
          </w:p>
        </w:tc>
        <w:tc>
          <w:tcPr>
            <w:tcW w:w="2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9.    Sole Dispositive Power</w:t>
            </w:r>
          </w:p>
        </w:tc>
        <w:tc>
          <w:tcPr>
            <w:tcW w:w="0" w:type="dxa"/>
            <w:vAlign w:val="bottom"/>
          </w:tcPr>
          <w:p>
            <w:pPr>
              <w:spacing w:after="0"/>
              <w:rPr>
                <w:sz w:val="1"/>
                <w:szCs w:val="1"/>
                <w:color w:val="auto"/>
              </w:rPr>
            </w:pPr>
          </w:p>
        </w:tc>
      </w:tr>
      <w:tr>
        <w:trPr>
          <w:trHeight w:val="140"/>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2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94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80" w:type="dxa"/>
            <w:vAlign w:val="bottom"/>
          </w:tcPr>
          <w:p>
            <w:pPr>
              <w:spacing w:after="0"/>
              <w:rPr>
                <w:sz w:val="18"/>
                <w:szCs w:val="18"/>
                <w:color w:val="auto"/>
              </w:rPr>
            </w:pPr>
          </w:p>
        </w:tc>
        <w:tc>
          <w:tcPr>
            <w:tcW w:w="20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67"/>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80" w:type="dxa"/>
            <w:vAlign w:val="bottom"/>
          </w:tcPr>
          <w:p>
            <w:pPr>
              <w:spacing w:after="0"/>
              <w:rPr>
                <w:sz w:val="14"/>
                <w:szCs w:val="14"/>
                <w:color w:val="auto"/>
              </w:rPr>
            </w:pPr>
          </w:p>
        </w:tc>
        <w:tc>
          <w:tcPr>
            <w:tcW w:w="2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940" w:type="dxa"/>
            <w:vAlign w:val="bottom"/>
            <w:vMerge w:val="continue"/>
          </w:tcPr>
          <w:p>
            <w:pPr>
              <w:spacing w:after="0"/>
              <w:rPr>
                <w:sz w:val="5"/>
                <w:szCs w:val="5"/>
                <w:color w:val="auto"/>
              </w:rPr>
            </w:pPr>
          </w:p>
        </w:tc>
        <w:tc>
          <w:tcPr>
            <w:tcW w:w="3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10.</w:t>
            </w:r>
          </w:p>
        </w:tc>
        <w:tc>
          <w:tcPr>
            <w:tcW w:w="20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w w:val="96"/>
              </w:rPr>
              <w:t>  Shared Dispositive Power</w:t>
            </w: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2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  4,555,260</w:t>
      </w:r>
    </w:p>
    <w:p>
      <w:pPr>
        <w:spacing w:after="0" w:line="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11.     Aggregate Amount Beneficially Owned by Each Reporting Person</w:t>
      </w:r>
    </w:p>
    <w:p>
      <w:pPr>
        <w:spacing w:after="0" w:line="252" w:lineRule="exact"/>
        <w:rPr>
          <w:sz w:val="20"/>
          <w:szCs w:val="20"/>
          <w:color w:val="auto"/>
        </w:rPr>
      </w:pPr>
    </w:p>
    <w:p>
      <w:pPr>
        <w:ind w:left="640" w:hanging="91"/>
        <w:spacing w:after="0"/>
        <w:tabs>
          <w:tab w:leader="none" w:pos="6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4,555,260</w:t>
      </w:r>
    </w:p>
    <w:p>
      <w:pPr>
        <w:spacing w:after="0" w:line="36" w:lineRule="exact"/>
        <w:rPr>
          <w:rFonts w:ascii="Times New Roman" w:cs="Times New Roman" w:eastAsia="Times New Roman" w:hAnsi="Times New Roman"/>
          <w:sz w:val="18"/>
          <w:szCs w:val="18"/>
          <w:color w:val="auto"/>
        </w:rPr>
      </w:pPr>
    </w:p>
    <w:p>
      <w:pPr>
        <w:ind w:left="540" w:hanging="387"/>
        <w:spacing w:after="0"/>
        <w:tabs>
          <w:tab w:leader="none" w:pos="5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Check if the Aggregate Amount in Row (11) Excludes Certain Shares (See Instructions)</w:t>
      </w:r>
    </w:p>
    <w:p>
      <w:pPr>
        <w:spacing w:after="0" w:line="290" w:lineRule="exact"/>
        <w:rPr>
          <w:rFonts w:ascii="Times New Roman" w:cs="Times New Roman" w:eastAsia="Times New Roman" w:hAnsi="Times New Roman"/>
          <w:sz w:val="17"/>
          <w:szCs w:val="17"/>
          <w:color w:val="auto"/>
        </w:rPr>
      </w:pPr>
    </w:p>
    <w:p>
      <w:pPr>
        <w:ind w:left="540" w:hanging="387"/>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252" w:lineRule="exact"/>
        <w:rPr>
          <w:rFonts w:ascii="Times New Roman" w:cs="Times New Roman" w:eastAsia="Times New Roman" w:hAnsi="Times New Roman"/>
          <w:sz w:val="18"/>
          <w:szCs w:val="18"/>
          <w:color w:val="auto"/>
        </w:rPr>
      </w:pPr>
    </w:p>
    <w:p>
      <w:pPr>
        <w:ind w:left="640" w:hanging="91"/>
        <w:spacing w:after="0"/>
        <w:tabs>
          <w:tab w:leader="none" w:pos="6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17.9%</w:t>
      </w:r>
    </w:p>
    <w:p>
      <w:pPr>
        <w:spacing w:after="0" w:line="36" w:lineRule="exact"/>
        <w:rPr>
          <w:rFonts w:ascii="Times New Roman" w:cs="Times New Roman" w:eastAsia="Times New Roman" w:hAnsi="Times New Roman"/>
          <w:sz w:val="18"/>
          <w:szCs w:val="18"/>
          <w:color w:val="auto"/>
        </w:rPr>
      </w:pPr>
    </w:p>
    <w:p>
      <w:pPr>
        <w:ind w:left="540" w:hanging="387"/>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40" w:hanging="91"/>
        <w:spacing w:after="0"/>
        <w:tabs>
          <w:tab w:leader="none" w:pos="6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 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Page 5 of 9 Pages</w:t>
      </w:r>
    </w:p>
    <w:p>
      <w:pPr>
        <w:sectPr>
          <w:pgSz w:w="11900" w:h="16838" w:orient="portrait"/>
          <w:cols w:equalWidth="0" w:num="2">
            <w:col w:w="8980" w:space="720"/>
            <w:col w:w="1320"/>
          </w:cols>
          <w:pgMar w:left="440" w:top="266"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Amendment No. 2 to the joint statement on Schedule 13D with respect to the common stock, par value $0.0001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Cartesian Therapeutics, Inc., a Delaware corporation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filed by Murat Kalayoglu, Seven One Eight Three Four Irrevocable Trust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w:t>
      </w:r>
      <w:r>
        <w:rPr>
          <w:rFonts w:ascii="Times New Roman" w:cs="Times New Roman" w:eastAsia="Times New Roman" w:hAnsi="Times New Roman"/>
          <w:sz w:val="18"/>
          <w:szCs w:val="18"/>
          <w:color w:val="auto"/>
        </w:rPr>
        <w:t>”), Elizabeth Hoge and Sinan Kalayoglu (collectively, the “</w:t>
      </w:r>
      <w:r>
        <w:rPr>
          <w:rFonts w:ascii="Times New Roman" w:cs="Times New Roman" w:eastAsia="Times New Roman" w:hAnsi="Times New Roman"/>
          <w:sz w:val="18"/>
          <w:szCs w:val="18"/>
          <w:b w:val="1"/>
          <w:bCs w:val="1"/>
          <w:color w:val="auto"/>
        </w:rPr>
        <w:t>Reporting Persons</w:t>
      </w:r>
      <w:r>
        <w:rPr>
          <w:rFonts w:ascii="Times New Roman" w:cs="Times New Roman" w:eastAsia="Times New Roman" w:hAnsi="Times New Roman"/>
          <w:sz w:val="18"/>
          <w:szCs w:val="18"/>
          <w:color w:val="auto"/>
        </w:rPr>
        <w:t>”) on November 22, 2023, as amended by Amendment No. 1 filed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Reporting Persons on April 10, 2024 (such joint statement, as previously amended and as further amended herein, the “</w:t>
      </w:r>
      <w:r>
        <w:rPr>
          <w:rFonts w:ascii="Times New Roman" w:cs="Times New Roman" w:eastAsia="Times New Roman" w:hAnsi="Times New Roman"/>
          <w:sz w:val="18"/>
          <w:szCs w:val="18"/>
          <w:b w:val="1"/>
          <w:bCs w:val="1"/>
          <w:color w:val="auto"/>
        </w:rPr>
        <w:t>Schedule 13D</w:t>
      </w:r>
      <w:r>
        <w:rPr>
          <w:rFonts w:ascii="Times New Roman" w:cs="Times New Roman" w:eastAsia="Times New Roman" w:hAnsi="Times New Roman"/>
          <w:sz w:val="18"/>
          <w:szCs w:val="18"/>
          <w:color w:val="auto"/>
        </w:rPr>
        <w:t>”), amends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 13D as follows:</w:t>
      </w:r>
    </w:p>
    <w:p>
      <w:pPr>
        <w:spacing w:after="0" w:line="112" w:lineRule="exact"/>
        <w:rPr>
          <w:sz w:val="20"/>
          <w:szCs w:val="20"/>
          <w:color w:val="auto"/>
        </w:rPr>
      </w:pPr>
    </w:p>
    <w:p>
      <w:pPr>
        <w:ind w:left="960" w:hanging="532"/>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3 of the Schedule 13D is hereby supplemented as follows:</w:t>
      </w:r>
    </w:p>
    <w:p>
      <w:pPr>
        <w:spacing w:after="0" w:line="117" w:lineRule="exact"/>
        <w:rPr>
          <w:rFonts w:ascii="Times New Roman" w:cs="Times New Roman" w:eastAsia="Times New Roman" w:hAnsi="Times New Roman"/>
          <w:sz w:val="18"/>
          <w:szCs w:val="18"/>
          <w:color w:val="auto"/>
        </w:rPr>
      </w:pPr>
    </w:p>
    <w:p>
      <w:pPr>
        <w:ind w:left="9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11, 2024, pursuant to a Notice of Optional Conversion delivered to the Company by the Trust pursuant to Section 6.02 of the Certificate of Designation, as amended by the Amendment to the Certificate of Designation, 45,551.190 shares of Series A Preferred Stock held by the Trust were converted into 1,518,373 shares of Common Stock.</w:t>
      </w:r>
    </w:p>
    <w:p>
      <w:pPr>
        <w:spacing w:after="0" w:line="81"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4 of the Schedule 13D is supplemented as follows:</w:t>
      </w:r>
    </w:p>
    <w:p>
      <w:pPr>
        <w:spacing w:after="0" w:line="117" w:lineRule="exact"/>
        <w:rPr>
          <w:rFonts w:ascii="Times New Roman" w:cs="Times New Roman" w:eastAsia="Times New Roman" w:hAnsi="Times New Roman"/>
          <w:sz w:val="18"/>
          <w:szCs w:val="18"/>
          <w:color w:val="auto"/>
        </w:rPr>
      </w:pPr>
    </w:p>
    <w:p>
      <w:pPr>
        <w:ind w:left="9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11, 2024, pursuant to a Notice of Optional Conversion delivered to the Company by the Trust pursuant to Section 6.02 of the Certificate of Designation, as amended by the Amendment to the Certificate of Designation, 45,551.190 shares of Series A Preferred Stock held by the Trust were converted into 1,518,373 shares of Common Stock.</w:t>
      </w:r>
    </w:p>
    <w:p>
      <w:pPr>
        <w:spacing w:after="0" w:line="81"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5 of the Schedule 13D is hereby amended and restated in full as follows:</w:t>
      </w:r>
    </w:p>
    <w:p>
      <w:pPr>
        <w:spacing w:after="0" w:line="127" w:lineRule="exact"/>
        <w:rPr>
          <w:sz w:val="20"/>
          <w:szCs w:val="20"/>
          <w:color w:val="auto"/>
        </w:rPr>
      </w:pPr>
    </w:p>
    <w:p>
      <w:pPr>
        <w:ind w:left="980"/>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Interest in Securities of the Issuer</w:t>
      </w:r>
    </w:p>
    <w:p>
      <w:pPr>
        <w:spacing w:after="0" w:line="121" w:lineRule="exact"/>
        <w:rPr>
          <w:sz w:val="20"/>
          <w:szCs w:val="20"/>
          <w:color w:val="auto"/>
        </w:rPr>
      </w:pPr>
    </w:p>
    <w:p>
      <w:pPr>
        <w:jc w:val="both"/>
        <w:ind w:left="980" w:right="200" w:firstLine="401"/>
        <w:spacing w:after="0" w:line="261" w:lineRule="auto"/>
        <w:rPr>
          <w:sz w:val="20"/>
          <w:szCs w:val="20"/>
          <w:color w:val="auto"/>
        </w:rPr>
      </w:pPr>
      <w:r>
        <w:rPr>
          <w:rFonts w:ascii="Times New Roman" w:cs="Times New Roman" w:eastAsia="Times New Roman" w:hAnsi="Times New Roman"/>
          <w:sz w:val="18"/>
          <w:szCs w:val="18"/>
          <w:color w:val="auto"/>
        </w:rPr>
        <w:t>(a, b) The percentages of beneficial ownership reported in this Item 5, and on each Reporting Person’s cover page to this Schedule 13D, are based on a total of 23,896,525 shares of Common Stock issued and outstanding as of October 2, 2024, as advised by the Issuer. All of the share numbers reported herein are as of October 11, 2024, unless otherwise indicated. Each Reporting Person’s cover page to this Schedule 13D is incorporated by reference into this Item 5(a, b).</w:t>
      </w:r>
    </w:p>
    <w:p>
      <w:pPr>
        <w:spacing w:after="0" w:line="72" w:lineRule="exact"/>
        <w:rPr>
          <w:sz w:val="20"/>
          <w:szCs w:val="20"/>
          <w:color w:val="auto"/>
        </w:rPr>
      </w:pPr>
    </w:p>
    <w:p>
      <w:pPr>
        <w:ind w:left="980" w:right="160" w:firstLine="401"/>
        <w:spacing w:after="0" w:line="256" w:lineRule="auto"/>
        <w:rPr>
          <w:sz w:val="20"/>
          <w:szCs w:val="20"/>
          <w:color w:val="auto"/>
        </w:rPr>
      </w:pPr>
      <w:r>
        <w:rPr>
          <w:rFonts w:ascii="Times New Roman" w:cs="Times New Roman" w:eastAsia="Times New Roman" w:hAnsi="Times New Roman"/>
          <w:sz w:val="18"/>
          <w:szCs w:val="18"/>
          <w:color w:val="auto"/>
        </w:rPr>
        <w:t>In aggregate, the Reporting Persons have voting and dispositive power over 5,058,026 shares of Common Stock, representing approximately 19.9% of such class of securities. The securities reported herein exclude (a) 1,880,075 shares of Common Stock issuable upon conversion of shares of Series A Preferred Stock held by the Trust, but which would exceed the Conversion Limit, (b) 5,278 shares of Common Stock underlying stock options held by Murat Kalayoglu that are not exercisable within 60 days of the date hereof and (c) 5,933 shares of Common Stock underlying restricted stock units held by Murat Kalayoglu that will vest more than 60 days after the date hereof.</w:t>
      </w:r>
    </w:p>
    <w:p>
      <w:pPr>
        <w:spacing w:after="0" w:line="7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The beneficial ownership of each Reporting Person is as follows:</w:t>
      </w:r>
    </w:p>
    <w:p>
      <w:pPr>
        <w:spacing w:after="0" w:line="131" w:lineRule="exact"/>
        <w:rPr>
          <w:sz w:val="20"/>
          <w:szCs w:val="20"/>
          <w:color w:val="auto"/>
        </w:rPr>
      </w:pPr>
    </w:p>
    <w:p>
      <w:pPr>
        <w:ind w:left="1960" w:hanging="533"/>
        <w:spacing w:after="0"/>
        <w:tabs>
          <w:tab w:leader="none" w:pos="1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Murat Kalayoglu beneficially owns 5,058,026 shares of Common Stock representing approximately 19.9% of the class;</w:t>
      </w:r>
    </w:p>
    <w:p>
      <w:pPr>
        <w:sectPr>
          <w:pgSz w:w="11900" w:h="16838" w:orient="portrait"/>
          <w:cols w:equalWidth="0" w:num="1">
            <w:col w:w="11000"/>
          </w:cols>
          <w:pgMar w:left="440" w:top="266" w:right="459" w:bottom="1440" w:gutter="0" w:footer="0" w:header="0"/>
        </w:sectPr>
      </w:pPr>
    </w:p>
    <w:bookmarkStart w:id="6" w:name="page7"/>
    <w:bookmarkEnd w:id="6"/>
    <w:p>
      <w:pPr>
        <w:ind w:left="1532" w:hanging="533"/>
        <w:spacing w:after="0"/>
        <w:tabs>
          <w:tab w:leader="none" w:pos="153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Trust beneficially owns 4,555,260 shares of Common Stock representing approximately 17.9% of the class;</w:t>
      </w:r>
    </w:p>
    <w:p>
      <w:pPr>
        <w:spacing w:after="0" w:line="130" w:lineRule="exact"/>
        <w:rPr>
          <w:rFonts w:ascii="Times New Roman" w:cs="Times New Roman" w:eastAsia="Times New Roman" w:hAnsi="Times New Roman"/>
          <w:sz w:val="18"/>
          <w:szCs w:val="18"/>
          <w:color w:val="auto"/>
        </w:rPr>
      </w:pPr>
    </w:p>
    <w:p>
      <w:pPr>
        <w:ind w:left="1532" w:hanging="533"/>
        <w:spacing w:after="0"/>
        <w:tabs>
          <w:tab w:leader="none" w:pos="153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Elizabeth Hoge beneficially owns 4,555,260 shares of Common Stock representing approximately 17.9% of the class; and</w:t>
      </w:r>
    </w:p>
    <w:p>
      <w:pPr>
        <w:spacing w:after="0" w:line="130" w:lineRule="exact"/>
        <w:rPr>
          <w:rFonts w:ascii="Times New Roman" w:cs="Times New Roman" w:eastAsia="Times New Roman" w:hAnsi="Times New Roman"/>
          <w:sz w:val="18"/>
          <w:szCs w:val="18"/>
          <w:color w:val="auto"/>
        </w:rPr>
      </w:pPr>
    </w:p>
    <w:p>
      <w:pPr>
        <w:ind w:left="1532" w:hanging="533"/>
        <w:spacing w:after="0"/>
        <w:tabs>
          <w:tab w:leader="none" w:pos="153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Sinan Kalayoglu beneficially owns 4,555,260 shares of Common Stock representing approximately 17.9% of the class.</w:t>
      </w:r>
    </w:p>
    <w:p>
      <w:pPr>
        <w:spacing w:after="0" w:line="117" w:lineRule="exact"/>
        <w:rPr>
          <w:sz w:val="20"/>
          <w:szCs w:val="20"/>
          <w:color w:val="auto"/>
        </w:rPr>
      </w:pPr>
    </w:p>
    <w:p>
      <w:pPr>
        <w:ind w:left="552" w:right="120"/>
        <w:spacing w:after="0" w:line="256" w:lineRule="auto"/>
        <w:rPr>
          <w:sz w:val="20"/>
          <w:szCs w:val="20"/>
          <w:color w:val="auto"/>
        </w:rPr>
      </w:pPr>
      <w:r>
        <w:rPr>
          <w:rFonts w:ascii="Times New Roman" w:cs="Times New Roman" w:eastAsia="Times New Roman" w:hAnsi="Times New Roman"/>
          <w:sz w:val="18"/>
          <w:szCs w:val="18"/>
          <w:color w:val="auto"/>
        </w:rPr>
        <w:t>Pursuant to a right of substitution, Murat Kalayoglu has the right to acquire from the Trust the shares of Common Stock and Series A Preferred Stock held by the Trust in exchange for assets with an equal value to such shares. Accordingly, the shares of Common Stock beneficially owned by the Trust are included in his holdings. Murat Kalayoglu has the sole power to vote and dispose of the shares of Common Stock beneficially owned by him (as described above). The Trust has the sole power to vote and dispose of the shares of Common Stock beneficially owned by it (as described above). Each of Elizabeth Hoge and Sinan Kalayoglu has the shared power to vote and dispose of the shares of Common Stock beneficially owned by such person (as described above).</w:t>
      </w:r>
    </w:p>
    <w:p>
      <w:pPr>
        <w:spacing w:after="0" w:line="79" w:lineRule="exact"/>
        <w:rPr>
          <w:sz w:val="20"/>
          <w:szCs w:val="20"/>
          <w:color w:val="auto"/>
        </w:rPr>
      </w:pPr>
    </w:p>
    <w:p>
      <w:pPr>
        <w:ind w:left="552" w:right="100" w:firstLine="408"/>
        <w:spacing w:after="0" w:line="282" w:lineRule="auto"/>
        <w:tabs>
          <w:tab w:leader="none" w:pos="119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Reporting Person effected any transaction in the Common Stock from August 16, 2024 (the date 60 days prior to the filing of this Schedule 13D) to October 15, 2024.</w:t>
      </w:r>
    </w:p>
    <w:p>
      <w:pPr>
        <w:spacing w:after="0" w:line="53" w:lineRule="exact"/>
        <w:rPr>
          <w:rFonts w:ascii="Times New Roman" w:cs="Times New Roman" w:eastAsia="Times New Roman" w:hAnsi="Times New Roman"/>
          <w:sz w:val="18"/>
          <w:szCs w:val="18"/>
          <w:color w:val="auto"/>
        </w:rPr>
      </w:pPr>
    </w:p>
    <w:p>
      <w:pPr>
        <w:ind w:left="552" w:right="200" w:firstLine="408"/>
        <w:spacing w:after="0" w:line="282" w:lineRule="auto"/>
        <w:tabs>
          <w:tab w:leader="none" w:pos="120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other than the Reporting Persons is known to have the right to receive or the power to direct the receipt of dividends from or the proceeds from the sale of shares of the Common Stock.</w:t>
      </w:r>
    </w:p>
    <w:p>
      <w:pPr>
        <w:spacing w:after="0" w:line="53" w:lineRule="exact"/>
        <w:rPr>
          <w:rFonts w:ascii="Times New Roman" w:cs="Times New Roman" w:eastAsia="Times New Roman" w:hAnsi="Times New Roman"/>
          <w:sz w:val="18"/>
          <w:szCs w:val="18"/>
          <w:color w:val="auto"/>
        </w:rPr>
      </w:pPr>
    </w:p>
    <w:p>
      <w:pPr>
        <w:ind w:left="1212" w:hanging="252"/>
        <w:spacing w:after="0"/>
        <w:tabs>
          <w:tab w:leader="none" w:pos="121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30"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7 of the Schedule 13D is hereby amended and restated in full as follows:</w:t>
      </w:r>
    </w:p>
    <w:p>
      <w:pPr>
        <w:spacing w:after="0" w:line="370" w:lineRule="exact"/>
        <w:rPr>
          <w:sz w:val="20"/>
          <w:szCs w:val="20"/>
          <w:color w:val="auto"/>
        </w:rPr>
      </w:pPr>
    </w:p>
    <w:p>
      <w:pPr>
        <w:ind w:left="552"/>
        <w:spacing w:after="0"/>
        <w:tabs>
          <w:tab w:leader="none" w:pos="1512"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Material to be Filed as Exhibits</w:t>
      </w:r>
    </w:p>
    <w:p>
      <w:pPr>
        <w:spacing w:after="0" w:line="256" w:lineRule="exact"/>
        <w:rPr>
          <w:sz w:val="20"/>
          <w:szCs w:val="20"/>
          <w:color w:val="auto"/>
        </w:rPr>
      </w:pPr>
    </w:p>
    <w:p>
      <w:pPr>
        <w:jc w:val="both"/>
        <w:ind w:left="1372" w:right="240" w:hanging="809"/>
        <w:spacing w:after="0" w:line="266" w:lineRule="auto"/>
        <w:tabs>
          <w:tab w:leader="none" w:pos="1352" w:val="left"/>
        </w:tabs>
        <w:rPr>
          <w:sz w:val="20"/>
          <w:szCs w:val="20"/>
          <w:color w:val="auto"/>
        </w:rPr>
      </w:pPr>
      <w:r>
        <w:rPr>
          <w:rFonts w:ascii="Times New Roman" w:cs="Times New Roman" w:eastAsia="Times New Roman" w:hAnsi="Times New Roman"/>
          <w:sz w:val="18"/>
          <w:szCs w:val="18"/>
          <w:u w:val="single" w:color="auto"/>
          <w:color w:val="auto"/>
        </w:rPr>
        <w:t>Exhibit 1</w:t>
      </w:r>
      <w:r>
        <w:rPr>
          <w:sz w:val="20"/>
          <w:szCs w:val="20"/>
          <w:color w:val="auto"/>
        </w:rPr>
        <w:tab/>
      </w:r>
      <w:r>
        <w:rPr>
          <w:rFonts w:ascii="Times New Roman" w:cs="Times New Roman" w:eastAsia="Times New Roman" w:hAnsi="Times New Roman"/>
          <w:sz w:val="18"/>
          <w:szCs w:val="18"/>
          <w:color w:val="auto"/>
        </w:rPr>
        <w:t>Joint Filing Agreement by and among Murat Kalayoglu, Seven One Eight Three Four Irrevocable Trust, Elizabeth Hoge and Sinan Kalayoglu dated November 22, 2023 (incorporated by reference to Exhibit 1 of the Reporting Persons’ Schedule 13D filed with the SEC on November 22, 2023).</w:t>
      </w:r>
    </w:p>
    <w:p>
      <w:pPr>
        <w:spacing w:after="0" w:line="68" w:lineRule="exact"/>
        <w:rPr>
          <w:sz w:val="20"/>
          <w:szCs w:val="20"/>
          <w:color w:val="auto"/>
        </w:rPr>
      </w:pPr>
    </w:p>
    <w:p>
      <w:pPr>
        <w:ind w:left="1372" w:hanging="809"/>
        <w:spacing w:after="0" w:line="282" w:lineRule="auto"/>
        <w:tabs>
          <w:tab w:leader="none" w:pos="1352" w:val="left"/>
        </w:tabs>
        <w:rPr>
          <w:sz w:val="20"/>
          <w:szCs w:val="20"/>
          <w:color w:val="auto"/>
        </w:rPr>
      </w:pPr>
      <w:r>
        <w:rPr>
          <w:rFonts w:ascii="Times New Roman" w:cs="Times New Roman" w:eastAsia="Times New Roman" w:hAnsi="Times New Roman"/>
          <w:sz w:val="18"/>
          <w:szCs w:val="18"/>
          <w:u w:val="single" w:color="auto"/>
          <w:color w:val="auto"/>
        </w:rPr>
        <w:t>Exhibit 2</w:t>
      </w:r>
      <w:r>
        <w:rPr>
          <w:sz w:val="20"/>
          <w:szCs w:val="20"/>
          <w:color w:val="auto"/>
        </w:rPr>
        <w:tab/>
      </w:r>
      <w:r>
        <w:rPr>
          <w:rFonts w:ascii="Times New Roman" w:cs="Times New Roman" w:eastAsia="Times New Roman" w:hAnsi="Times New Roman"/>
          <w:sz w:val="18"/>
          <w:szCs w:val="18"/>
          <w:color w:val="auto"/>
        </w:rPr>
        <w:t>Confirming Statement of Seven One Eight Three Four Irrevocable Trust dated November 22, 2023(incorporated by reference to Exhibit 2 of the Reporting Persons’ Schedule 13D filed with the SEC on November 22, 2023).</w:t>
      </w:r>
    </w:p>
    <w:p>
      <w:pPr>
        <w:spacing w:after="0" w:line="54" w:lineRule="exact"/>
        <w:rPr>
          <w:sz w:val="20"/>
          <w:szCs w:val="20"/>
          <w:color w:val="auto"/>
        </w:rPr>
      </w:pPr>
    </w:p>
    <w:p>
      <w:pPr>
        <w:ind w:left="1372" w:right="260" w:hanging="809"/>
        <w:spacing w:after="0" w:line="282" w:lineRule="auto"/>
        <w:tabs>
          <w:tab w:leader="none" w:pos="1352" w:val="left"/>
        </w:tabs>
        <w:rPr>
          <w:sz w:val="20"/>
          <w:szCs w:val="20"/>
          <w:color w:val="auto"/>
        </w:rPr>
      </w:pPr>
      <w:r>
        <w:rPr>
          <w:rFonts w:ascii="Times New Roman" w:cs="Times New Roman" w:eastAsia="Times New Roman" w:hAnsi="Times New Roman"/>
          <w:sz w:val="18"/>
          <w:szCs w:val="18"/>
          <w:u w:val="single" w:color="auto"/>
          <w:color w:val="auto"/>
        </w:rPr>
        <w:t>Exhibit 3</w:t>
      </w:r>
      <w:r>
        <w:rPr>
          <w:sz w:val="20"/>
          <w:szCs w:val="20"/>
          <w:color w:val="auto"/>
        </w:rPr>
        <w:tab/>
      </w:r>
      <w:r>
        <w:rPr>
          <w:rFonts w:ascii="Times New Roman" w:cs="Times New Roman" w:eastAsia="Times New Roman" w:hAnsi="Times New Roman"/>
          <w:sz w:val="18"/>
          <w:szCs w:val="18"/>
          <w:color w:val="auto"/>
        </w:rPr>
        <w:t>Confirming Statement of Elizabeth Hoge dated November 22, 2023 (incorporated by reference to Exhibit 3 of the Reporting Persons’ Schedule 13D filed with the SEC on November 22, 2023).</w:t>
      </w:r>
    </w:p>
    <w:p>
      <w:pPr>
        <w:sectPr>
          <w:pgSz w:w="11900" w:h="16838" w:orient="portrait"/>
          <w:cols w:equalWidth="0" w:num="1">
            <w:col w:w="10572"/>
          </w:cols>
          <w:pgMar w:left="868" w:top="270" w:right="459" w:bottom="1440" w:gutter="0" w:footer="0" w:header="0"/>
        </w:sectPr>
      </w:pPr>
    </w:p>
    <w:bookmarkStart w:id="7" w:name="page8"/>
    <w:bookmarkEnd w:id="7"/>
    <w:p>
      <w:pPr>
        <w:ind w:left="800" w:right="120" w:hanging="809"/>
        <w:spacing w:after="0" w:line="282" w:lineRule="auto"/>
        <w:tabs>
          <w:tab w:leader="none" w:pos="780" w:val="left"/>
        </w:tabs>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4</w:t>
      </w:r>
      <w:r>
        <w:rPr>
          <w:sz w:val="20"/>
          <w:szCs w:val="20"/>
          <w:color w:val="auto"/>
        </w:rPr>
        <w:tab/>
      </w:r>
      <w:r>
        <w:rPr>
          <w:rFonts w:ascii="Times New Roman" w:cs="Times New Roman" w:eastAsia="Times New Roman" w:hAnsi="Times New Roman"/>
          <w:sz w:val="18"/>
          <w:szCs w:val="18"/>
          <w:color w:val="auto"/>
        </w:rPr>
        <w:t>Confirming Statement of Sinan Kalayoglu dated November 22, 2023 (incorporated by reference to Exhibit 4 of the Reporting Persons’ Schedule 13D filed with the SEC on November 22, 2023).</w:t>
      </w:r>
    </w:p>
    <w:p>
      <w:pPr>
        <w:spacing w:after="0" w:line="54" w:lineRule="exact"/>
        <w:rPr>
          <w:sz w:val="20"/>
          <w:szCs w:val="20"/>
          <w:color w:val="auto"/>
        </w:rPr>
      </w:pPr>
    </w:p>
    <w:p>
      <w:pPr>
        <w:jc w:val="both"/>
        <w:ind w:left="800" w:hanging="809"/>
        <w:spacing w:after="0" w:line="266" w:lineRule="auto"/>
        <w:tabs>
          <w:tab w:leader="none" w:pos="780" w:val="left"/>
        </w:tabs>
        <w:rPr>
          <w:sz w:val="20"/>
          <w:szCs w:val="20"/>
          <w:color w:val="auto"/>
        </w:rPr>
      </w:pPr>
      <w:r>
        <w:rPr>
          <w:rFonts w:ascii="Times New Roman" w:cs="Times New Roman" w:eastAsia="Times New Roman" w:hAnsi="Times New Roman"/>
          <w:sz w:val="18"/>
          <w:szCs w:val="18"/>
          <w:u w:val="single" w:color="auto"/>
          <w:color w:val="auto"/>
        </w:rPr>
        <w:t>Exhibit 5</w:t>
      </w:r>
      <w:r>
        <w:rPr>
          <w:sz w:val="20"/>
          <w:szCs w:val="20"/>
          <w:color w:val="auto"/>
        </w:rPr>
        <w:tab/>
      </w:r>
      <w:r>
        <w:rPr>
          <w:rFonts w:ascii="Times New Roman" w:cs="Times New Roman" w:eastAsia="Times New Roman" w:hAnsi="Times New Roman"/>
          <w:sz w:val="18"/>
          <w:szCs w:val="18"/>
          <w:color w:val="auto"/>
        </w:rPr>
        <w:t>Agreement and Plan of Merger, dated November 13, 2023, by and among Selecta Biosciences, Inc. Sakura Merger Sub I, Inc., Sakura Merger Sub II, LLC and Cartesian Therapeutics, Inc. (incorporated by reference to Exhibit 2.1 to the Current Report on Form 8-K filed by the Issuer with the Securities and Exchange Commission on November 13, 2023).</w:t>
      </w:r>
    </w:p>
    <w:p>
      <w:pPr>
        <w:spacing w:after="0" w:line="68" w:lineRule="exact"/>
        <w:rPr>
          <w:sz w:val="20"/>
          <w:szCs w:val="20"/>
          <w:color w:val="auto"/>
        </w:rPr>
      </w:pPr>
    </w:p>
    <w:p>
      <w:pPr>
        <w:ind w:left="800" w:right="40" w:hanging="809"/>
        <w:spacing w:after="0" w:line="282" w:lineRule="auto"/>
        <w:tabs>
          <w:tab w:leader="none" w:pos="780" w:val="left"/>
        </w:tabs>
        <w:rPr>
          <w:sz w:val="20"/>
          <w:szCs w:val="20"/>
          <w:color w:val="auto"/>
        </w:rPr>
      </w:pPr>
      <w:r>
        <w:rPr>
          <w:rFonts w:ascii="Times New Roman" w:cs="Times New Roman" w:eastAsia="Times New Roman" w:hAnsi="Times New Roman"/>
          <w:sz w:val="18"/>
          <w:szCs w:val="18"/>
          <w:u w:val="single" w:color="auto"/>
          <w:color w:val="auto"/>
        </w:rPr>
        <w:t>Exhibit 6</w:t>
      </w:r>
      <w:r>
        <w:rPr>
          <w:sz w:val="20"/>
          <w:szCs w:val="20"/>
          <w:color w:val="auto"/>
        </w:rPr>
        <w:tab/>
      </w:r>
      <w:r>
        <w:rPr>
          <w:rFonts w:ascii="Times New Roman" w:cs="Times New Roman" w:eastAsia="Times New Roman" w:hAnsi="Times New Roman"/>
          <w:sz w:val="18"/>
          <w:szCs w:val="18"/>
          <w:color w:val="auto"/>
        </w:rPr>
        <w:t>Certificate of Designation of Series A Non-Voting Convertible Preferred Stock (incorporated by reference to Exhibit 3.4 to the Current Report on Form 8-K filed by the Issuer with the Securities and Exchange Commission on November 13, 2023).</w:t>
      </w:r>
    </w:p>
    <w:p>
      <w:pPr>
        <w:spacing w:after="0" w:line="54" w:lineRule="exact"/>
        <w:rPr>
          <w:sz w:val="20"/>
          <w:szCs w:val="20"/>
          <w:color w:val="auto"/>
        </w:rPr>
      </w:pPr>
    </w:p>
    <w:p>
      <w:pPr>
        <w:ind w:left="800" w:hanging="809"/>
        <w:spacing w:after="0" w:line="266" w:lineRule="auto"/>
        <w:tabs>
          <w:tab w:leader="none" w:pos="780" w:val="left"/>
        </w:tabs>
        <w:rPr>
          <w:sz w:val="20"/>
          <w:szCs w:val="20"/>
          <w:color w:val="auto"/>
        </w:rPr>
      </w:pPr>
      <w:r>
        <w:rPr>
          <w:rFonts w:ascii="Times New Roman" w:cs="Times New Roman" w:eastAsia="Times New Roman" w:hAnsi="Times New Roman"/>
          <w:sz w:val="18"/>
          <w:szCs w:val="18"/>
          <w:u w:val="single" w:color="auto"/>
          <w:color w:val="auto"/>
        </w:rPr>
        <w:t>Exhibit 7</w:t>
      </w:r>
      <w:r>
        <w:rPr>
          <w:sz w:val="20"/>
          <w:szCs w:val="20"/>
          <w:color w:val="auto"/>
        </w:rPr>
        <w:tab/>
      </w:r>
      <w:r>
        <w:rPr>
          <w:rFonts w:ascii="Times New Roman" w:cs="Times New Roman" w:eastAsia="Times New Roman" w:hAnsi="Times New Roman"/>
          <w:sz w:val="18"/>
          <w:szCs w:val="18"/>
          <w:color w:val="auto"/>
        </w:rPr>
        <w:t>Securities Purchase Agreement, dated November 13, 2023, by and among Selecta Biosciences, Inc. and the Purchasers named therein (incorporated by reference to Exhibit 10.1 to the Current Report on Form 8-K filed by the Issuer with the Securities and Exchange Commission on November 13, 2023).</w:t>
      </w:r>
    </w:p>
    <w:p>
      <w:pPr>
        <w:spacing w:after="0" w:line="68" w:lineRule="exact"/>
        <w:rPr>
          <w:sz w:val="20"/>
          <w:szCs w:val="20"/>
          <w:color w:val="auto"/>
        </w:rPr>
      </w:pPr>
    </w:p>
    <w:p>
      <w:pPr>
        <w:ind w:left="800" w:hanging="809"/>
        <w:spacing w:after="0" w:line="266" w:lineRule="auto"/>
        <w:tabs>
          <w:tab w:leader="none" w:pos="780" w:val="left"/>
        </w:tabs>
        <w:rPr>
          <w:sz w:val="20"/>
          <w:szCs w:val="20"/>
          <w:color w:val="auto"/>
        </w:rPr>
      </w:pPr>
      <w:r>
        <w:rPr>
          <w:rFonts w:ascii="Times New Roman" w:cs="Times New Roman" w:eastAsia="Times New Roman" w:hAnsi="Times New Roman"/>
          <w:sz w:val="18"/>
          <w:szCs w:val="18"/>
          <w:u w:val="single" w:color="auto"/>
          <w:color w:val="auto"/>
        </w:rPr>
        <w:t>Exhibit 8</w:t>
      </w:r>
      <w:r>
        <w:rPr>
          <w:sz w:val="20"/>
          <w:szCs w:val="20"/>
          <w:color w:val="auto"/>
        </w:rPr>
        <w:tab/>
      </w:r>
      <w:r>
        <w:rPr>
          <w:rFonts w:ascii="Times New Roman" w:cs="Times New Roman" w:eastAsia="Times New Roman" w:hAnsi="Times New Roman"/>
          <w:sz w:val="18"/>
          <w:szCs w:val="18"/>
          <w:color w:val="auto"/>
        </w:rPr>
        <w:t>Registration Rights Agreement, dated November 13, 2023, by and among Selecta Biosciences, Inc. and the Purchasers named therein (incorporated by reference to Exhibit 10.2 to the Current Report on Form 8-K filed by the Issuer with the Securities and Exchange Commission on November 13, 2023)</w:t>
      </w:r>
    </w:p>
    <w:p>
      <w:pPr>
        <w:spacing w:after="0" w:line="17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ectPr>
          <w:pgSz w:w="11900" w:h="16838" w:orient="portrait"/>
          <w:cols w:equalWidth="0" w:num="1">
            <w:col w:w="9960"/>
          </w:cols>
          <w:pgMar w:left="1440" w:top="270" w:right="49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7"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89" w:lineRule="exact"/>
        <w:rPr>
          <w:sz w:val="20"/>
          <w:szCs w:val="20"/>
          <w:color w:val="auto"/>
        </w:rPr>
      </w:pPr>
    </w:p>
    <w:p>
      <w:pPr>
        <w:ind w:left="6620"/>
        <w:spacing w:after="0"/>
        <w:tabs>
          <w:tab w:leader="none" w:pos="72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October 15, 2024</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Murat Kalayoglu</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Murat Kalayoglu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SEVEN ONE EIGHT THREE FOUR IRREVOCABLE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TRUST</w:t>
      </w:r>
    </w:p>
    <w:p>
      <w:pPr>
        <w:spacing w:after="0" w:line="207"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Murat Kalayoglu</w:t>
            </w:r>
          </w:p>
        </w:tc>
      </w:tr>
      <w:tr>
        <w:trPr>
          <w:trHeight w:val="228"/>
        </w:trPr>
        <w:tc>
          <w:tcPr>
            <w:tcW w:w="66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Murat Kalayoglu, Authorized Person</w:t>
            </w:r>
          </w:p>
        </w:tc>
      </w:tr>
      <w:tr>
        <w:trPr>
          <w:trHeight w:val="427"/>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ELIZABETH HOGE</w:t>
            </w:r>
          </w:p>
        </w:tc>
      </w:tr>
      <w:tr>
        <w:trPr>
          <w:trHeight w:val="4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Murat Kalayoglu</w:t>
            </w:r>
          </w:p>
        </w:tc>
      </w:tr>
      <w:tr>
        <w:trPr>
          <w:trHeight w:val="228"/>
        </w:trPr>
        <w:tc>
          <w:tcPr>
            <w:tcW w:w="66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Murat Kalayoglu, Authorized Person</w:t>
            </w:r>
          </w:p>
        </w:tc>
      </w:tr>
      <w:tr>
        <w:trPr>
          <w:trHeight w:val="427"/>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SINAN KALAYOGLU</w:t>
            </w:r>
          </w:p>
        </w:tc>
      </w:tr>
      <w:tr>
        <w:trPr>
          <w:trHeight w:val="4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Murat Kalayoglu</w:t>
            </w:r>
          </w:p>
        </w:tc>
      </w:tr>
      <w:tr>
        <w:trPr>
          <w:trHeight w:val="228"/>
        </w:trPr>
        <w:tc>
          <w:tcPr>
            <w:tcW w:w="66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Murat Kalayoglu, Authorized Person</w:t>
            </w:r>
          </w:p>
        </w:tc>
      </w:tr>
    </w:tbl>
    <w:p>
      <w:pPr>
        <w:spacing w:after="0" w:line="1" w:lineRule="exact"/>
        <w:rPr>
          <w:sz w:val="20"/>
          <w:szCs w:val="20"/>
          <w:color w:val="auto"/>
        </w:rPr>
      </w:pPr>
    </w:p>
    <w:sectPr>
      <w:pgSz w:w="11900" w:h="16838" w:orient="portrait"/>
      <w:cols w:equalWidth="0" w:num="1">
        <w:col w:w="11020"/>
      </w:cols>
      <w:pgMar w:left="440" w:top="268"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
      <w:numFmt w:val="bullet"/>
      <w:start w:val="1"/>
    </w:lvl>
    <w:lvl w:ilvl="1">
      <w:lvlJc w:val="left"/>
      <w:lvlText w:val=" "/>
      <w:numFmt w:val="bullet"/>
      <w:start w:val="1"/>
    </w:lvl>
  </w:abstractNum>
  <w:abstractNum w:abstractNumId="2">
    <w:nsid w:val="216231B"/>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3">
    <w:nsid w:val="1F16E9E8"/>
    <w:multiLevelType w:val="hybridMultilevel"/>
    <w:lvl w:ilvl="0">
      <w:lvlJc w:val="left"/>
      <w:lvlText w:val="%1."/>
      <w:numFmt w:val="decimal"/>
      <w:start w:val="11"/>
    </w:lvl>
    <w:lvl w:ilvl="1">
      <w:lvlJc w:val="left"/>
      <w:lvlText w:val=" "/>
      <w:numFmt w:val="bullet"/>
      <w:start w:val="1"/>
    </w:lvl>
  </w:abstractNum>
  <w:abstractNum w:abstractNumId="4">
    <w:nsid w:val="1190CDE7"/>
    <w:multiLevelType w:val="hybridMultilevel"/>
    <w:lvl w:ilvl="0">
      <w:lvlJc w:val="left"/>
      <w:lvlText w:val=" "/>
      <w:numFmt w:val="bullet"/>
      <w:start w:val="1"/>
    </w:lvl>
    <w:lvl w:ilvl="1">
      <w:lvlJc w:val="left"/>
      <w:lvlText w:val=" "/>
      <w:numFmt w:val="bullet"/>
      <w:start w:val="1"/>
    </w:lvl>
  </w:abstractNum>
  <w:abstractNum w:abstractNumId="5">
    <w:nsid w:val="66EF438D"/>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6">
    <w:nsid w:val="140E0F76"/>
    <w:multiLevelType w:val="hybridMultilevel"/>
    <w:lvl w:ilvl="0">
      <w:lvlJc w:val="left"/>
      <w:lvlText w:val="%1."/>
      <w:numFmt w:val="decimal"/>
      <w:start w:val="11"/>
    </w:lvl>
    <w:lvl w:ilvl="1">
      <w:lvlJc w:val="left"/>
      <w:lvlText w:val=" "/>
      <w:numFmt w:val="bullet"/>
      <w:start w:val="1"/>
    </w:lvl>
  </w:abstractNum>
  <w:abstractNum w:abstractNumId="7">
    <w:nsid w:val="3352255A"/>
    <w:multiLevelType w:val="hybridMultilevel"/>
    <w:lvl w:ilvl="0">
      <w:lvlJc w:val="left"/>
      <w:lvlText w:val=" "/>
      <w:numFmt w:val="bullet"/>
      <w:start w:val="1"/>
    </w:lvl>
    <w:lvl w:ilvl="1">
      <w:lvlJc w:val="left"/>
      <w:lvlText w:val=" "/>
      <w:numFmt w:val="bullet"/>
      <w:start w:val="1"/>
    </w:lvl>
  </w:abstractNum>
  <w:abstractNum w:abstractNumId="8">
    <w:nsid w:val="109CF92E"/>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9">
    <w:nsid w:val="DED7263"/>
    <w:multiLevelType w:val="hybridMultilevel"/>
    <w:lvl w:ilvl="0">
      <w:lvlJc w:val="left"/>
      <w:lvlText w:val="%1."/>
      <w:numFmt w:val="decimal"/>
      <w:start w:val="11"/>
    </w:lvl>
    <w:lvl w:ilvl="1">
      <w:lvlJc w:val="left"/>
      <w:lvlText w:val=" "/>
      <w:numFmt w:val="bullet"/>
      <w:start w:val="1"/>
    </w:lvl>
  </w:abstractNum>
  <w:abstractNum w:abstractNumId="10">
    <w:nsid w:val="7FDCC233"/>
    <w:multiLevelType w:val="hybridMultilevel"/>
    <w:lvl w:ilvl="0">
      <w:lvlJc w:val="left"/>
      <w:lvlText w:val=" "/>
      <w:numFmt w:val="bullet"/>
      <w:start w:val="1"/>
    </w:lvl>
    <w:lvl w:ilvl="1">
      <w:lvlJc w:val="left"/>
      <w:lvlText w:val=" "/>
      <w:numFmt w:val="bullet"/>
      <w:start w:val="1"/>
    </w:lvl>
  </w:abstractNum>
  <w:abstractNum w:abstractNumId="11">
    <w:nsid w:val="1BEFD79F"/>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2">
    <w:nsid w:val="41A7C4C9"/>
    <w:multiLevelType w:val="hybridMultilevel"/>
    <w:lvl w:ilvl="0">
      <w:lvlJc w:val="left"/>
      <w:lvlText w:val="%1."/>
      <w:numFmt w:val="decimal"/>
      <w:start w:val="11"/>
    </w:lvl>
    <w:lvl w:ilvl="1">
      <w:lvlJc w:val="left"/>
      <w:lvlText w:val=" "/>
      <w:numFmt w:val="bullet"/>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lowerRoman"/>
      <w:start w:val="1"/>
    </w:lvl>
  </w:abstractNum>
  <w:abstractNum w:abstractNumId="15">
    <w:nsid w:val="25E45D32"/>
    <w:multiLevelType w:val="hybridMultilevel"/>
    <w:lvl w:ilvl="0">
      <w:lvlJc w:val="left"/>
      <w:lvlText w:val="(%1)"/>
      <w:numFmt w:val="lowerRoman"/>
      <w:start w:val="2"/>
    </w:lvl>
  </w:abstractNum>
  <w:abstractNum w:abstractNumId="16">
    <w:nsid w:val="519B500D"/>
    <w:multiLevelType w:val="hybridMultilevel"/>
    <w:lvl w:ilvl="0">
      <w:lvlJc w:val="left"/>
      <w:lvlText w:val="%1"/>
      <w:numFmt w:val="decimal"/>
      <w:start w:val="1"/>
    </w:lvl>
    <w:lvl w:ilvl="1">
      <w:lvlJc w:val="left"/>
      <w:lvlText w:val="(%2)"/>
      <w:numFmt w:val="lowerLetter"/>
      <w:start w:val="3"/>
    </w:lvl>
  </w:abstractNum>
  <w:abstractNum w:abstractNumId="17">
    <w:nsid w:val="431BD7B7"/>
    <w:multiLevelType w:val="hybridMultilevel"/>
    <w:lvl w:ilvl="0">
      <w:lvlJc w:val="left"/>
      <w:lvlText w:val="%1."/>
      <w:numFmt w:val="decimal"/>
      <w:start w:val="4"/>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2024-10-15T15:48:01Z</dcterms:created>
  <dcterms:modified xsi:type="dcterms:W3CDTF">2024-10-15T15:48:01Z</dcterms:modified>
</cp:coreProperties>
</file>