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90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6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3"/>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w w:val="99"/>
              </w:rPr>
            </w:pPr>
            <w:hyperlink r:id="rId13">
              <w:r>
                <w:rPr>
                  <w:rFonts w:ascii="Arial" w:cs="Arial" w:eastAsia="Arial" w:hAnsi="Arial"/>
                  <w:sz w:val="21"/>
                  <w:szCs w:val="21"/>
                  <w:u w:val="single" w:color="auto"/>
                  <w:color w:val="0000EE"/>
                  <w:w w:val="99"/>
                </w:rPr>
                <w:t>SPRINGER TIMOTHY 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900" w:type="dxa"/>
            <w:vAlign w:val="bottom"/>
            <w:gridSpan w:val="9"/>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SELECTA BIOSCIENCES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50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13"/>
                <w:szCs w:val="13"/>
                <w:color w:val="auto"/>
              </w:rPr>
            </w:pPr>
          </w:p>
        </w:tc>
        <w:tc>
          <w:tcPr>
            <w:tcW w:w="1600" w:type="dxa"/>
            <w:vAlign w:val="bottom"/>
            <w:gridSpan w:val="6"/>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6"/>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96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36 WOODMAN ROAD</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2"/>
          </w:tcPr>
          <w:p>
            <w:pPr>
              <w:ind w:left="80"/>
              <w:spacing w:after="0"/>
              <w:rPr>
                <w:sz w:val="20"/>
                <w:szCs w:val="20"/>
                <w:color w:val="auto"/>
              </w:rPr>
            </w:pPr>
            <w:r>
              <w:rPr>
                <w:rFonts w:ascii="Arial" w:cs="Arial" w:eastAsia="Arial" w:hAnsi="Arial"/>
                <w:sz w:val="17"/>
                <w:szCs w:val="17"/>
                <w:color w:val="0000FF"/>
              </w:rPr>
              <w:t>10/16/2020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Borders>
              <w:bottom w:val="single" w:sz="8" w:color="2C2C2C"/>
            </w:tcBorders>
            <w:gridSpan w:val="2"/>
          </w:tcPr>
          <w:p>
            <w:pPr>
              <w:spacing w:after="0"/>
              <w:rPr>
                <w:sz w:val="12"/>
                <w:szCs w:val="12"/>
                <w:color w:val="auto"/>
              </w:rPr>
            </w:pPr>
          </w:p>
        </w:tc>
        <w:tc>
          <w:tcPr>
            <w:tcW w:w="2520" w:type="dxa"/>
            <w:vAlign w:val="bottom"/>
            <w:tcBorders>
              <w:bottom w:val="single" w:sz="8" w:color="2C2C2C"/>
            </w:tcBorders>
            <w:gridSpan w:val="6"/>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gridSpan w:val="2"/>
          </w:tcPr>
          <w:p>
            <w:pPr>
              <w:spacing w:after="0"/>
              <w:rPr>
                <w:sz w:val="12"/>
                <w:szCs w:val="12"/>
                <w:color w:val="auto"/>
              </w:rPr>
            </w:pPr>
          </w:p>
        </w:tc>
        <w:tc>
          <w:tcPr>
            <w:tcW w:w="2900" w:type="dxa"/>
            <w:vAlign w:val="bottom"/>
            <w:tcBorders>
              <w:bottom w:val="single" w:sz="8" w:color="2C2C2C"/>
            </w:tcBorders>
            <w:gridSpan w:val="7"/>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90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3"/>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900" w:type="dxa"/>
            <w:vAlign w:val="bottom"/>
            <w:gridSpan w:val="9"/>
            <w:vMerge w:val="continue"/>
          </w:tcPr>
          <w:p>
            <w:pPr>
              <w:spacing w:after="0"/>
              <w:rPr>
                <w:sz w:val="11"/>
                <w:szCs w:val="11"/>
                <w:color w:val="auto"/>
              </w:rPr>
            </w:pPr>
          </w:p>
        </w:tc>
        <w:tc>
          <w:tcPr>
            <w:tcW w:w="3340" w:type="dxa"/>
            <w:vAlign w:val="bottom"/>
            <w:gridSpan w:val="1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4"/>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CHESTNUT</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02467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11"/>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HILL</w:t>
            </w: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52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360" w:type="dxa"/>
            <w:vAlign w:val="bottom"/>
            <w:gridSpan w:val="3"/>
          </w:tcPr>
          <w:p>
            <w:pPr>
              <w:ind w:left="24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4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0"/>
                <w:szCs w:val="10"/>
                <w:color w:val="auto"/>
              </w:rPr>
            </w:pPr>
          </w:p>
        </w:tc>
        <w:tc>
          <w:tcPr>
            <w:tcW w:w="5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180" w:type="dxa"/>
            <w:vAlign w:val="bottom"/>
            <w:gridSpan w:val="4"/>
            <w:vMerge w:val="restart"/>
          </w:tcPr>
          <w:p>
            <w:pPr>
              <w:jc w:val="right"/>
              <w:ind w:right="677"/>
              <w:spacing w:after="0"/>
              <w:rPr>
                <w:sz w:val="20"/>
                <w:szCs w:val="20"/>
                <w:color w:val="auto"/>
              </w:rPr>
            </w:pPr>
            <w:r>
              <w:rPr>
                <w:rFonts w:ascii="Arial" w:cs="Arial" w:eastAsia="Arial" w:hAnsi="Arial"/>
                <w:sz w:val="17"/>
                <w:szCs w:val="17"/>
                <w:color w:val="0000FF"/>
              </w:rPr>
              <w:t>10/16/2020</w:t>
            </w: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vMerge w:val="restart"/>
          </w:tcPr>
          <w:p>
            <w:pPr>
              <w:ind w:left="120"/>
              <w:spacing w:after="0"/>
              <w:rPr>
                <w:sz w:val="20"/>
                <w:szCs w:val="20"/>
                <w:color w:val="auto"/>
              </w:rPr>
            </w:pPr>
            <w:r>
              <w:rPr>
                <w:rFonts w:ascii="Arial" w:cs="Arial" w:eastAsia="Arial" w:hAnsi="Arial"/>
                <w:sz w:val="12"/>
                <w:szCs w:val="12"/>
                <w:color w:val="0000FF"/>
                <w:w w:val="74"/>
              </w:rPr>
              <w:t>P</w:t>
            </w:r>
          </w:p>
        </w:tc>
        <w:tc>
          <w:tcPr>
            <w:tcW w:w="540" w:type="dxa"/>
            <w:vAlign w:val="bottom"/>
          </w:tcPr>
          <w:p>
            <w:pPr>
              <w:spacing w:after="0"/>
              <w:rPr>
                <w:sz w:val="22"/>
                <w:szCs w:val="22"/>
                <w:color w:val="auto"/>
              </w:rPr>
            </w:pPr>
          </w:p>
        </w:tc>
        <w:tc>
          <w:tcPr>
            <w:tcW w:w="860" w:type="dxa"/>
            <w:vAlign w:val="bottom"/>
            <w:vMerge w:val="restart"/>
          </w:tcPr>
          <w:p>
            <w:pPr>
              <w:jc w:val="right"/>
              <w:ind w:right="109"/>
              <w:spacing w:after="0"/>
              <w:rPr>
                <w:sz w:val="20"/>
                <w:szCs w:val="20"/>
                <w:color w:val="auto"/>
              </w:rPr>
            </w:pPr>
            <w:r>
              <w:rPr>
                <w:rFonts w:ascii="Arial" w:cs="Arial" w:eastAsia="Arial" w:hAnsi="Arial"/>
                <w:sz w:val="17"/>
                <w:szCs w:val="17"/>
                <w:color w:val="0000FF"/>
              </w:rPr>
              <w:t>218,196</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700" w:type="dxa"/>
            <w:vAlign w:val="bottom"/>
            <w:gridSpan w:val="4"/>
            <w:vMerge w:val="restart"/>
          </w:tcPr>
          <w:p>
            <w:pPr>
              <w:jc w:val="center"/>
              <w:ind w:left="31"/>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2.42</w:t>
            </w:r>
            <w:r>
              <w:rPr>
                <w:rFonts w:ascii="Arial" w:cs="Arial" w:eastAsia="Arial" w:hAnsi="Arial"/>
                <w:sz w:val="22"/>
                <w:szCs w:val="22"/>
                <w:color w:val="008000"/>
                <w:w w:val="85"/>
                <w:vertAlign w:val="superscript"/>
              </w:rPr>
              <w:t>(1)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2"/>
              </w:rPr>
              <w:t>9,166,756</w:t>
            </w:r>
          </w:p>
        </w:tc>
        <w:tc>
          <w:tcPr>
            <w:tcW w:w="24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180" w:type="dxa"/>
            <w:vAlign w:val="bottom"/>
            <w:gridSpan w:val="4"/>
            <w:vMerge w:val="restart"/>
          </w:tcPr>
          <w:p>
            <w:pPr>
              <w:jc w:val="right"/>
              <w:ind w:right="677"/>
              <w:spacing w:after="0"/>
              <w:rPr>
                <w:sz w:val="20"/>
                <w:szCs w:val="20"/>
                <w:color w:val="auto"/>
              </w:rPr>
            </w:pPr>
            <w:r>
              <w:rPr>
                <w:rFonts w:ascii="Arial" w:cs="Arial" w:eastAsia="Arial" w:hAnsi="Arial"/>
                <w:sz w:val="17"/>
                <w:szCs w:val="17"/>
                <w:color w:val="0000FF"/>
              </w:rPr>
              <w:t>10/19/2020</w:t>
            </w: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vMerge w:val="restart"/>
          </w:tcPr>
          <w:p>
            <w:pPr>
              <w:ind w:left="120"/>
              <w:spacing w:after="0"/>
              <w:rPr>
                <w:sz w:val="20"/>
                <w:szCs w:val="20"/>
                <w:color w:val="auto"/>
              </w:rPr>
            </w:pPr>
            <w:r>
              <w:rPr>
                <w:rFonts w:ascii="Arial" w:cs="Arial" w:eastAsia="Arial" w:hAnsi="Arial"/>
                <w:sz w:val="12"/>
                <w:szCs w:val="12"/>
                <w:color w:val="0000FF"/>
                <w:w w:val="74"/>
              </w:rPr>
              <w:t>P</w:t>
            </w:r>
          </w:p>
        </w:tc>
        <w:tc>
          <w:tcPr>
            <w:tcW w:w="540" w:type="dxa"/>
            <w:vAlign w:val="bottom"/>
          </w:tcPr>
          <w:p>
            <w:pPr>
              <w:spacing w:after="0"/>
              <w:rPr>
                <w:sz w:val="22"/>
                <w:szCs w:val="22"/>
                <w:color w:val="auto"/>
              </w:rPr>
            </w:pPr>
          </w:p>
        </w:tc>
        <w:tc>
          <w:tcPr>
            <w:tcW w:w="860" w:type="dxa"/>
            <w:vAlign w:val="bottom"/>
            <w:vMerge w:val="restart"/>
          </w:tcPr>
          <w:p>
            <w:pPr>
              <w:jc w:val="right"/>
              <w:ind w:right="109"/>
              <w:spacing w:after="0"/>
              <w:rPr>
                <w:sz w:val="20"/>
                <w:szCs w:val="20"/>
                <w:color w:val="auto"/>
              </w:rPr>
            </w:pPr>
            <w:r>
              <w:rPr>
                <w:rFonts w:ascii="Arial" w:cs="Arial" w:eastAsia="Arial" w:hAnsi="Arial"/>
                <w:sz w:val="17"/>
                <w:szCs w:val="17"/>
                <w:color w:val="0000FF"/>
              </w:rPr>
              <w:t>759,500</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820" w:type="dxa"/>
            <w:vAlign w:val="bottom"/>
            <w:gridSpan w:val="5"/>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2.3634</w:t>
            </w:r>
            <w:r>
              <w:rPr>
                <w:rFonts w:ascii="Arial" w:cs="Arial" w:eastAsia="Arial" w:hAnsi="Arial"/>
                <w:sz w:val="22"/>
                <w:szCs w:val="22"/>
                <w:color w:val="008000"/>
                <w:w w:val="88"/>
                <w:vertAlign w:val="superscript"/>
              </w:rPr>
              <w:t>(3)</w:t>
            </w:r>
          </w:p>
        </w:tc>
        <w:tc>
          <w:tcPr>
            <w:tcW w:w="20" w:type="dxa"/>
            <w:vAlign w:val="bottom"/>
          </w:tcPr>
          <w:p>
            <w:pPr>
              <w:spacing w:after="0"/>
              <w:rPr>
                <w:sz w:val="22"/>
                <w:szCs w:val="22"/>
                <w:color w:val="auto"/>
              </w:rPr>
            </w:pP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2"/>
              </w:rPr>
              <w:t>9,926,256</w:t>
            </w:r>
          </w:p>
        </w:tc>
        <w:tc>
          <w:tcPr>
            <w:tcW w:w="24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180" w:type="dxa"/>
            <w:vAlign w:val="bottom"/>
            <w:gridSpan w:val="4"/>
            <w:vMerge w:val="restart"/>
          </w:tcPr>
          <w:p>
            <w:pPr>
              <w:jc w:val="right"/>
              <w:ind w:right="677"/>
              <w:spacing w:after="0"/>
              <w:rPr>
                <w:sz w:val="20"/>
                <w:szCs w:val="20"/>
                <w:color w:val="auto"/>
              </w:rPr>
            </w:pPr>
            <w:r>
              <w:rPr>
                <w:rFonts w:ascii="Arial" w:cs="Arial" w:eastAsia="Arial" w:hAnsi="Arial"/>
                <w:sz w:val="17"/>
                <w:szCs w:val="17"/>
                <w:color w:val="0000FF"/>
              </w:rPr>
              <w:t>10/20/2020</w:t>
            </w: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vMerge w:val="restart"/>
          </w:tcPr>
          <w:p>
            <w:pPr>
              <w:ind w:left="120"/>
              <w:spacing w:after="0"/>
              <w:rPr>
                <w:sz w:val="20"/>
                <w:szCs w:val="20"/>
                <w:color w:val="auto"/>
              </w:rPr>
            </w:pPr>
            <w:r>
              <w:rPr>
                <w:rFonts w:ascii="Arial" w:cs="Arial" w:eastAsia="Arial" w:hAnsi="Arial"/>
                <w:sz w:val="12"/>
                <w:szCs w:val="12"/>
                <w:color w:val="0000FF"/>
                <w:w w:val="74"/>
              </w:rPr>
              <w:t>P</w:t>
            </w:r>
          </w:p>
        </w:tc>
        <w:tc>
          <w:tcPr>
            <w:tcW w:w="540" w:type="dxa"/>
            <w:vAlign w:val="bottom"/>
          </w:tcPr>
          <w:p>
            <w:pPr>
              <w:spacing w:after="0"/>
              <w:rPr>
                <w:sz w:val="22"/>
                <w:szCs w:val="22"/>
                <w:color w:val="auto"/>
              </w:rPr>
            </w:pPr>
          </w:p>
        </w:tc>
        <w:tc>
          <w:tcPr>
            <w:tcW w:w="860" w:type="dxa"/>
            <w:vAlign w:val="bottom"/>
            <w:vMerge w:val="restart"/>
          </w:tcPr>
          <w:p>
            <w:pPr>
              <w:jc w:val="right"/>
              <w:ind w:right="109"/>
              <w:spacing w:after="0"/>
              <w:rPr>
                <w:sz w:val="20"/>
                <w:szCs w:val="20"/>
                <w:color w:val="auto"/>
              </w:rPr>
            </w:pPr>
            <w:r>
              <w:rPr>
                <w:rFonts w:ascii="Arial" w:cs="Arial" w:eastAsia="Arial" w:hAnsi="Arial"/>
                <w:sz w:val="17"/>
                <w:szCs w:val="17"/>
                <w:color w:val="0000FF"/>
              </w:rPr>
              <w:t>910,000</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820" w:type="dxa"/>
            <w:vAlign w:val="bottom"/>
            <w:gridSpan w:val="5"/>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2.2123</w:t>
            </w:r>
            <w:r>
              <w:rPr>
                <w:rFonts w:ascii="Arial" w:cs="Arial" w:eastAsia="Arial" w:hAnsi="Arial"/>
                <w:sz w:val="22"/>
                <w:szCs w:val="22"/>
                <w:color w:val="008000"/>
                <w:w w:val="88"/>
                <w:vertAlign w:val="superscript"/>
              </w:rPr>
              <w:t>(4)</w:t>
            </w:r>
          </w:p>
        </w:tc>
        <w:tc>
          <w:tcPr>
            <w:tcW w:w="20" w:type="dxa"/>
            <w:vAlign w:val="bottom"/>
          </w:tcPr>
          <w:p>
            <w:pPr>
              <w:spacing w:after="0"/>
              <w:rPr>
                <w:sz w:val="22"/>
                <w:szCs w:val="22"/>
                <w:color w:val="auto"/>
              </w:rPr>
            </w:pP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1"/>
              </w:rPr>
              <w:t>10,836,256</w:t>
            </w:r>
          </w:p>
        </w:tc>
        <w:tc>
          <w:tcPr>
            <w:tcW w:w="24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top w:val="single" w:sz="8" w:color="2C2C2C"/>
            </w:tcBorders>
          </w:tcPr>
          <w:p>
            <w:pPr>
              <w:spacing w:after="0"/>
              <w:rPr>
                <w:sz w:val="23"/>
                <w:szCs w:val="23"/>
                <w:color w:val="auto"/>
              </w:rPr>
            </w:pPr>
          </w:p>
        </w:tc>
        <w:tc>
          <w:tcPr>
            <w:tcW w:w="88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ind w:right="40"/>
              <w:spacing w:after="0"/>
              <w:rPr>
                <w:sz w:val="20"/>
                <w:szCs w:val="20"/>
                <w:color w:val="auto"/>
              </w:rPr>
            </w:pPr>
            <w:r>
              <w:rPr>
                <w:rFonts w:ascii="Arial" w:cs="Arial" w:eastAsia="Arial" w:hAnsi="Arial"/>
                <w:sz w:val="17"/>
                <w:szCs w:val="17"/>
                <w:color w:val="0000FF"/>
                <w:w w:val="92"/>
              </w:rPr>
              <w:t>7,293,625</w:t>
            </w:r>
          </w:p>
        </w:tc>
        <w:tc>
          <w:tcPr>
            <w:tcW w:w="2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7"/>
                <w:szCs w:val="17"/>
                <w:color w:val="0000FF"/>
                <w:w w:val="92"/>
              </w:rPr>
              <w:t>86,418</w:t>
            </w:r>
          </w:p>
        </w:tc>
        <w:tc>
          <w:tcPr>
            <w:tcW w:w="240" w:type="dxa"/>
            <w:vAlign w:val="bottom"/>
          </w:tcPr>
          <w:p>
            <w:pPr>
              <w:spacing w:after="0"/>
              <w:rPr>
                <w:sz w:val="23"/>
                <w:szCs w:val="23"/>
                <w:color w:val="auto"/>
              </w:rPr>
            </w:pPr>
          </w:p>
        </w:tc>
        <w:tc>
          <w:tcPr>
            <w:tcW w:w="600" w:type="dxa"/>
            <w:vAlign w:val="bottom"/>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2720" w:type="dxa"/>
            <w:vAlign w:val="bottom"/>
            <w:tcBorders>
              <w:bottom w:val="single" w:sz="8" w:color="2C2C2C"/>
            </w:tcBorders>
            <w:gridSpan w:val="8"/>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-4244340</wp:posOffset>
            </wp:positionV>
            <wp:extent cx="7031355" cy="429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29006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purchased in multiple transactions at per share prices ranging from $2.34 to $2.4992. The Reporting Person undertakes to provide upon request to the SEC staff, the Issuer, or any stockholder of the Issuer, full information regarding the number of shares purchased at each separate price within the range set forth in this footnote.</w:t>
      </w:r>
    </w:p>
    <w:p>
      <w:pPr>
        <w:ind w:left="40" w:right="1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by TAS Partners LLC. The reporting person is the managing member of TAS Partners LLC. The reporting person disclaims beneficial ownership of the securities held by TAS Partners LLC except to the extent of his pecuniary interest therein, if any.</w:t>
      </w:r>
    </w:p>
    <w:p>
      <w:pPr>
        <w:spacing w:after="0" w:line="15" w:lineRule="exact"/>
        <w:rPr>
          <w:rFonts w:ascii="Arial" w:cs="Arial" w:eastAsia="Arial" w:hAnsi="Arial"/>
          <w:sz w:val="13"/>
          <w:szCs w:val="13"/>
          <w:color w:val="008000"/>
        </w:rPr>
      </w:pPr>
    </w:p>
    <w:p>
      <w:pPr>
        <w:ind w:left="40" w:right="32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purchased in multiple transactions at per share prices ranging from $2.225 to $2.50. The Reporting Person undertakes to provide upon request to the SEC staff, the Issuer, or any stockholder of the Issuer, full information regarding the number of shares purchased at each separate price within the range set forth in this footnote.</w:t>
      </w:r>
    </w:p>
    <w:p>
      <w:pPr>
        <w:ind w:left="40" w:right="380" w:firstLine="7"/>
        <w:spacing w:after="0" w:line="29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purchased in multiple transactions at per share prices ranging from $2.17 to $2.30.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Timothy</w:t>
      </w:r>
      <w:r>
        <w:rPr>
          <w:sz w:val="20"/>
          <w:szCs w:val="20"/>
          <w:color w:val="auto"/>
        </w:rPr>
        <w:tab/>
      </w:r>
      <w:r>
        <w:rPr>
          <w:rFonts w:ascii="Arial" w:cs="Arial" w:eastAsia="Arial" w:hAnsi="Arial"/>
          <w:sz w:val="15"/>
          <w:szCs w:val="15"/>
          <w:color w:val="0000FF"/>
        </w:rPr>
        <w:t>10/20/2020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90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55624"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2020-10-20T17:08:38Z</dcterms:created>
  <dcterms:modified xsi:type="dcterms:W3CDTF">2020-10-20T17:08:38Z</dcterms:modified>
</cp:coreProperties>
</file>