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III LLC</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both"/>
        <w:ind w:firstLine="63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408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080" cy="308610"/>
                    </a:xfrm>
                    <a:prstGeom prst="rect">
                      <a:avLst/>
                    </a:prstGeom>
                    <a:noFill/>
                  </pic:spPr>
                </pic:pic>
              </a:graphicData>
            </a:graphic>
          </wp:anchor>
        </w:drawing>
        <w:t>CUSIP No. 816212104</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rPr>
              <w:t>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20" w:type="dxa"/>
            <w:vAlign w:val="bottom"/>
            <w:tcBorders>
              <w:left w:val="single" w:sz="8" w:color="auto"/>
              <w:right w:val="single" w:sz="8" w:color="auto"/>
            </w:tcBorders>
          </w:tcPr>
          <w:p>
            <w:pPr>
              <w:spacing w:after="0"/>
              <w:rPr>
                <w:sz w:val="23"/>
                <w:szCs w:val="23"/>
                <w:color w:val="auto"/>
              </w:rPr>
            </w:pP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OrbiMed Advisors LLC</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3</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4</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5</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6</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7</w:t>
            </w:r>
          </w:p>
        </w:tc>
        <w:tc>
          <w:tcPr>
            <w:tcW w:w="6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8</w:t>
            </w:r>
          </w:p>
        </w:tc>
        <w:tc>
          <w:tcPr>
            <w:tcW w:w="6900" w:type="dxa"/>
            <w:vAlign w:val="bottom"/>
            <w:vMerge w:val="continue"/>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1,579,064</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9</w:t>
            </w:r>
          </w:p>
        </w:tc>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6"/>
              </w:rPr>
              <w:t>10</w:t>
            </w: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1,579,064</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1,579,064</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200" w:type="dxa"/>
            <w:vAlign w:val="bottom"/>
            <w:tcBorders>
              <w:bottom w:val="single" w:sz="8" w:color="auto"/>
            </w:tcBorders>
            <w:gridSpan w:val="4"/>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13</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7.05%*</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gridSpan w:val="4"/>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14</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49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percentage is calculated based upon 22,396,183 shares of common stock, par value $0.0001 per share, of Selecta Biosciences,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as set forth in the Issuer’s Form 10-Q filed with the Securities and Exchange Commission on 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40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080" cy="308610"/>
                    </a:xfrm>
                    <a:prstGeom prst="rect">
                      <a:avLst/>
                    </a:prstGeom>
                    <a:noFill/>
                  </pic:spPr>
                </pic:pic>
              </a:graphicData>
            </a:graphic>
          </wp:anchor>
        </w:drawing>
        <w:t>CUSIP No. 816212104</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9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rPr>
              <w:t>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20" w:type="dxa"/>
            <w:vAlign w:val="bottom"/>
            <w:tcBorders>
              <w:left w:val="single" w:sz="8" w:color="auto"/>
              <w:right w:val="single" w:sz="8" w:color="auto"/>
            </w:tcBorders>
          </w:tcPr>
          <w:p>
            <w:pPr>
              <w:spacing w:after="0"/>
              <w:rPr>
                <w:sz w:val="23"/>
                <w:szCs w:val="23"/>
                <w:color w:val="auto"/>
              </w:rPr>
            </w:pP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OrbiMed Capital GP III LLC</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1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3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3</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4</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w w:val="94"/>
              </w:rPr>
              <w:t>SOURCE OF FUNDS</w:t>
            </w:r>
          </w:p>
        </w:tc>
        <w:tc>
          <w:tcPr>
            <w:tcW w:w="60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AF</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5</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9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rPr>
              <w:t>6</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7</w:t>
            </w:r>
          </w:p>
        </w:tc>
        <w:tc>
          <w:tcPr>
            <w:tcW w:w="69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left w:val="single" w:sz="8" w:color="auto"/>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8</w:t>
            </w:r>
          </w:p>
        </w:tc>
        <w:tc>
          <w:tcPr>
            <w:tcW w:w="6900" w:type="dxa"/>
            <w:vAlign w:val="bottom"/>
            <w:vMerge w:val="continue"/>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1,564,181</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69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2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5"/>
              </w:rPr>
              <w:t>9</w:t>
            </w:r>
          </w:p>
        </w:tc>
        <w:tc>
          <w:tcPr>
            <w:tcW w:w="69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69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20" w:type="dxa"/>
            <w:vAlign w:val="bottom"/>
            <w:tcBorders>
              <w:left w:val="single" w:sz="8" w:color="auto"/>
            </w:tcBorders>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9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center"/>
              <w:ind w:right="194"/>
              <w:spacing w:after="0"/>
              <w:rPr>
                <w:sz w:val="20"/>
                <w:szCs w:val="20"/>
                <w:color w:val="auto"/>
              </w:rPr>
            </w:pPr>
            <w:r>
              <w:rPr>
                <w:rFonts w:ascii="Arial" w:cs="Arial" w:eastAsia="Arial" w:hAnsi="Arial"/>
                <w:sz w:val="25"/>
                <w:szCs w:val="25"/>
                <w:color w:val="auto"/>
                <w:w w:val="86"/>
              </w:rPr>
              <w:t>10</w:t>
            </w: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9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1,564,181</w:t>
            </w: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9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1,564,181</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3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780" w:type="dxa"/>
            <w:vAlign w:val="bottom"/>
            <w:tcBorders>
              <w:bottom w:val="single" w:sz="8" w:color="auto"/>
            </w:tcBorders>
            <w:gridSpan w:val="3"/>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13</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6.98%*</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14</w:t>
            </w:r>
          </w:p>
        </w:tc>
        <w:tc>
          <w:tcPr>
            <w:tcW w:w="92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920" w:type="dxa"/>
            <w:vAlign w:val="bottom"/>
            <w:tcBorders>
              <w:left w:val="single" w:sz="8" w:color="auto"/>
              <w:right w:val="single" w:sz="8" w:color="auto"/>
            </w:tcBorders>
            <w:vMerge w:val="continue"/>
          </w:tcPr>
          <w:p>
            <w:pPr>
              <w:spacing w:after="0"/>
              <w:rPr>
                <w:sz w:val="23"/>
                <w:szCs w:val="23"/>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0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920" w:type="dxa"/>
            <w:vAlign w:val="bottom"/>
            <w:tcBorders>
              <w:left w:val="single" w:sz="8" w:color="auto"/>
              <w:right w:val="single" w:sz="8" w:color="auto"/>
            </w:tcBorders>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9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8"/>
        <w:spacing w:after="0" w:line="308" w:lineRule="auto"/>
        <w:tabs>
          <w:tab w:leader="none" w:pos="16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percentage is calculated based upon 22,396,183 shares of common stock, par value $0.0001 per share, of Selecta Biosciences,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as set forth in the Issuer’s Form 10-Q filed with the Securities and Exchange Commission on 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This Amendment No. 3 (“</w:t>
      </w:r>
      <w:r>
        <w:rPr>
          <w:rFonts w:ascii="Arial" w:cs="Arial" w:eastAsia="Arial" w:hAnsi="Arial"/>
          <w:sz w:val="17"/>
          <w:szCs w:val="17"/>
          <w:u w:val="single" w:color="auto"/>
          <w:color w:val="auto"/>
        </w:rPr>
        <w:t>Amendment No. 3</w:t>
      </w:r>
      <w:r>
        <w:rPr>
          <w:rFonts w:ascii="Arial" w:cs="Arial" w:eastAsia="Arial" w:hAnsi="Arial"/>
          <w:sz w:val="17"/>
          <w:szCs w:val="17"/>
          <w:color w:val="auto"/>
        </w:rPr>
        <w:t>”) to Schedule 13D supplements and amends the Statement on Schedule 13D of OrbiMed Advisors LLC and OrbiMed Capital GP III LLC (the “</w:t>
      </w:r>
      <w:r>
        <w:rPr>
          <w:rFonts w:ascii="Arial" w:cs="Arial" w:eastAsia="Arial" w:hAnsi="Arial"/>
          <w:sz w:val="17"/>
          <w:szCs w:val="17"/>
          <w:u w:val="single" w:color="auto"/>
          <w:color w:val="auto"/>
        </w:rPr>
        <w:t>Statement</w:t>
      </w:r>
      <w:r>
        <w:rPr>
          <w:rFonts w:ascii="Arial" w:cs="Arial" w:eastAsia="Arial" w:hAnsi="Arial"/>
          <w:sz w:val="17"/>
          <w:szCs w:val="17"/>
          <w:color w:val="auto"/>
        </w:rPr>
        <w:t>”) originally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July 7, 2016 with Samuel D. Isaly as an additional reporting person, and amended by Amendment No. 1 thereto filed with the SEC on August 15, 2017 and Amendment No. 2 filed on January 26, 2018. This Statement relates to the common stock, par value $0.0001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of Selecta Biosciences, Inc., a corporation organized under the laws of Delaware (the “</w:t>
      </w:r>
      <w:r>
        <w:rPr>
          <w:rFonts w:ascii="Arial" w:cs="Arial" w:eastAsia="Arial" w:hAnsi="Arial"/>
          <w:sz w:val="17"/>
          <w:szCs w:val="17"/>
          <w:u w:val="single" w:color="auto"/>
          <w:color w:val="auto"/>
        </w:rPr>
        <w:t>Issuer</w:t>
      </w:r>
      <w:r>
        <w:rPr>
          <w:rFonts w:ascii="Arial" w:cs="Arial" w:eastAsia="Arial" w:hAnsi="Arial"/>
          <w:sz w:val="17"/>
          <w:szCs w:val="17"/>
          <w:color w:val="auto"/>
        </w:rPr>
        <w:t>”), with its principal executive offices located at 480 Arsenal Way, Watertown, Massachusetts 02472. Information given in response to each item shall be deemed incorporated by reference in all other items, as applicable.</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firstLine="368"/>
        <w:spacing w:after="0" w:line="264" w:lineRule="auto"/>
        <w:tabs>
          <w:tab w:leader="none" w:pos="127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No. 2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and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368"/>
        <w:spacing w:after="0" w:line="259" w:lineRule="auto"/>
        <w:tabs>
          <w:tab w:leader="none" w:pos="622" w:val="left"/>
        </w:tabs>
        <w:numPr>
          <w:ilvl w:val="0"/>
          <w:numId w:val="2"/>
        </w:numPr>
        <w:rPr>
          <w:rFonts w:ascii="Arial" w:cs="Arial" w:eastAsia="Arial" w:hAnsi="Arial"/>
          <w:sz w:val="18"/>
          <w:szCs w:val="18"/>
          <w:color w:val="auto"/>
        </w:rPr>
      </w:pPr>
      <w:r>
        <w:rPr>
          <w:rFonts w:ascii="Arial" w:cs="Arial" w:eastAsia="Arial" w:hAnsi="Arial"/>
          <w:sz w:val="18"/>
          <w:szCs w:val="18"/>
          <w:color w:val="auto"/>
        </w:rPr>
        <w:t>– (c), (f)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and GP III have their principal offices at 601 Lexington Avenue, 54th Floor, New York, New York 10022.</w:t>
      </w:r>
    </w:p>
    <w:p>
      <w:pPr>
        <w:spacing w:after="0" w:line="18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170" w:lineRule="exact"/>
        <w:rPr>
          <w:sz w:val="20"/>
          <w:szCs w:val="20"/>
          <w:color w:val="auto"/>
        </w:rPr>
      </w:pPr>
    </w:p>
    <w:p>
      <w:pPr>
        <w:ind w:left="1120" w:hanging="61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120" w:hanging="61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25" w:lineRule="exact"/>
        <w:rPr>
          <w:rFonts w:ascii="Arial" w:cs="Arial" w:eastAsia="Arial" w:hAnsi="Arial"/>
          <w:sz w:val="18"/>
          <w:szCs w:val="18"/>
          <w:color w:val="auto"/>
        </w:rPr>
      </w:pPr>
    </w:p>
    <w:p>
      <w:pPr>
        <w:ind w:left="1120" w:hanging="612"/>
        <w:spacing w:after="0" w:line="277"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170" w:lineRule="exact"/>
        <w:rPr>
          <w:rFonts w:ascii="Arial" w:cs="Arial" w:eastAsia="Arial" w:hAnsi="Arial"/>
          <w:sz w:val="18"/>
          <w:szCs w:val="18"/>
          <w:color w:val="auto"/>
        </w:rPr>
      </w:pPr>
    </w:p>
    <w:p>
      <w:pPr>
        <w:ind w:left="1120" w:hanging="61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jc w:val="both"/>
        <w:ind w:firstLine="368"/>
        <w:spacing w:after="0" w:line="25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5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This Amendment No. 3 to the Statement relates to the transactions by the Reporting Persons more fully described in Item 5 below. The Shares initially had been acquired by the Reporting Persons for the purpose of making an investment in the Issuer and not with the intention of acquiring control of the Issuer’s business on behalf of OPI III or Associates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firstLine="360"/>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1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Except as set forth in this Amendment No. 3,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00" w:lineRule="exact"/>
        <w:rPr>
          <w:sz w:val="20"/>
          <w:szCs w:val="20"/>
          <w:color w:val="auto"/>
        </w:rPr>
      </w:pP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jc w:val="both"/>
        <w:ind w:firstLine="368"/>
        <w:spacing w:after="0" w:line="288" w:lineRule="auto"/>
        <w:tabs>
          <w:tab w:leader="none" w:pos="605" w:val="left"/>
        </w:tabs>
        <w:numPr>
          <w:ilvl w:val="1"/>
          <w:numId w:val="5"/>
        </w:numPr>
        <w:rPr>
          <w:rFonts w:ascii="Arial" w:cs="Arial" w:eastAsia="Arial" w:hAnsi="Arial"/>
          <w:sz w:val="16"/>
          <w:szCs w:val="16"/>
          <w:color w:val="auto"/>
        </w:rPr>
      </w:pPr>
      <w:r>
        <w:rPr>
          <w:rFonts w:ascii="Arial" w:cs="Arial" w:eastAsia="Arial" w:hAnsi="Arial"/>
          <w:sz w:val="16"/>
          <w:szCs w:val="16"/>
          <w:color w:val="auto"/>
        </w:rPr>
        <w:t>– (b) As of the date of this filing, the Reporting Persons may be deemed, for purposes of Rule 13d-3 of the Act, directly or indirectly, including by reason of their mutual affiliation, to be the beneficial owners of the Shares. Based upon information contained in the Issuer’s Form 10-Q, filed with the SEC on August 8, 2018, such Shares deemed to be indirectly beneficially owned by GP III constitutes approximately 6.98% of the issued and outstanding Shares, and such Shares deemed to be indirectly beneficially owned by Advisors constitutes approximately 7.05%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IIII. GP III, pursuant to its authority as the general partner of OPI III, may be deemed to indirectly beneficially own the Shares held by OPI III. As a result, Advisors and GP III share the power to direct the vote and the disposition of the Shares held by OPI III described in Item 6 below, and Advisors has the power to direct the vote and the disposition of the Shares held by Associates III. Advisors exercises this investment and voting power through a management committee comprised of Carl L. Gordon, Sven H. Borho and Jonathan T. Silverstein, each of whom disclaims beneficial ownership of the Shares held by OPI III and Associates III.</w:t>
      </w:r>
    </w:p>
    <w:p>
      <w:pPr>
        <w:spacing w:after="0" w:line="16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Date of Transaction</w:t>
            </w:r>
          </w:p>
        </w:tc>
        <w:tc>
          <w:tcPr>
            <w:tcW w:w="3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2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Number of Shares</w:t>
            </w:r>
          </w:p>
        </w:tc>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Price Per Share*</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20,520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$13.09</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200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$13.09</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28,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41,293</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28,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300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29,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88"/>
              </w:rPr>
              <w:t>9,800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29,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100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$13.04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30,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14,602</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$13.20</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30,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100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$13.20</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42,110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$13.54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600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$13.54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17,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58,678</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$15.27</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17,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559</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$15.27</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17,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756</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$15.64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17,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9"/>
              </w:rPr>
              <w:t>7</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$15.64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23,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88"/>
              </w:rPr>
              <w:t>9,707</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$9.84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23,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9"/>
              </w:rPr>
              <w:t>92</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$9.84</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23,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297</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$11.59</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23,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9"/>
              </w:rPr>
              <w:t>3</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$11.59</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24,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0"/>
              </w:rPr>
              <w:t>42,925</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$7.58</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24,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409</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$7.58</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OPI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24,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86"/>
              </w:rPr>
              <w:t>297</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$8.71</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Associates III</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October 24, 2018</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Sold</w:t>
            </w:r>
          </w:p>
        </w:tc>
        <w:tc>
          <w:tcPr>
            <w:tcW w:w="228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9"/>
              </w:rPr>
              <w:t>3</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$8.71</w:t>
            </w:r>
          </w:p>
        </w:tc>
      </w:tr>
      <w:tr>
        <w:trPr>
          <w:trHeight w:val="34"/>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1449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56" w:lineRule="auto"/>
        <w:tabs>
          <w:tab w:leader="none" w:pos="121"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Price Per Share reported above is a weighted average price. The Shares were sold in multiple transactions at prices ranging from: $13.00 to $13.25 (August 27, 2018); $13.00 to $13.15 (August 28, 2018); $13.00 to $13.14 (August 29, 2018); $13.05 to $13.31 (August 30, 2018); $13.38 to $13.75 (August 31, 2018); $14.60 to 15.59 (October 17, 2018); $15.60 to 15.73 (October 17, 2018); $9.82 to $9.96 (October 23, 2018); $11.51 to $11.63 (October 23, 2018); $7.55 to $8.49 (October 24, 2018) and $8.70 to $8.73 (October 24, 2018). Upon request, the Reporting Persons undertake to provide the Issuer, any security holder of the Issuer, or the SEC full information regarding the Shares purchased at each separate price within the ranges set forth above.</w:t>
      </w:r>
    </w:p>
    <w:p>
      <w:pPr>
        <w:spacing w:after="0" w:line="200" w:lineRule="exact"/>
        <w:rPr>
          <w:sz w:val="20"/>
          <w:szCs w:val="20"/>
          <w:color w:val="auto"/>
        </w:rPr>
      </w:pPr>
    </w:p>
    <w:p>
      <w:pPr>
        <w:spacing w:after="0" w:line="247"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 with Respect to Securities of the Issuer</w:t>
      </w:r>
    </w:p>
    <w:p>
      <w:pPr>
        <w:spacing w:after="0" w:line="25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ind w:right="140" w:firstLine="8"/>
        <w:spacing w:after="0" w:line="292"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by OPI III is 1,564,181 and the number of outstanding Shares held by Associates III is 14,883. Advisors may be considered to hold indirectly 1,579,064 Shares, and GP III may be considered to hold indirectly 1,564,181 Shares.</w:t>
      </w:r>
    </w:p>
    <w:p>
      <w:pPr>
        <w:spacing w:after="0" w:line="1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500"/>
              <w:spacing w:after="0"/>
              <w:rPr>
                <w:sz w:val="20"/>
                <w:szCs w:val="20"/>
                <w:color w:val="auto"/>
              </w:rPr>
            </w:pPr>
            <w:r>
              <w:rPr>
                <w:rFonts w:ascii="Arial" w:cs="Arial" w:eastAsia="Arial" w:hAnsi="Arial"/>
                <w:sz w:val="18"/>
                <w:szCs w:val="18"/>
                <w:b w:val="1"/>
                <w:bCs w:val="1"/>
                <w:color w:val="auto"/>
                <w:w w:val="86"/>
              </w:rPr>
              <w:t>Description</w:t>
            </w:r>
          </w:p>
        </w:tc>
      </w:tr>
    </w:tbl>
    <w:p>
      <w:pPr>
        <w:spacing w:after="0" w:line="67" w:lineRule="exact"/>
        <w:rPr>
          <w:sz w:val="20"/>
          <w:szCs w:val="20"/>
          <w:color w:val="auto"/>
        </w:rPr>
      </w:pPr>
    </w:p>
    <w:p>
      <w:pPr>
        <w:ind w:left="1220" w:hanging="692"/>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T. Silverstein</w:t>
            </w:r>
          </w:p>
        </w:tc>
        <w:tc>
          <w:tcPr>
            <w:tcW w:w="560" w:type="dxa"/>
            <w:vAlign w:val="bottom"/>
          </w:tcPr>
          <w:p>
            <w:pPr>
              <w:spacing w:after="0"/>
              <w:rPr>
                <w:sz w:val="20"/>
                <w:szCs w:val="20"/>
                <w:color w:val="auto"/>
              </w:rPr>
            </w:pPr>
          </w:p>
        </w:tc>
      </w:tr>
      <w:tr>
        <w:trPr>
          <w:trHeight w:val="202"/>
        </w:trPr>
        <w:tc>
          <w:tcPr>
            <w:tcW w:w="6300" w:type="dxa"/>
            <w:vAlign w:val="bottom"/>
          </w:tcPr>
          <w:p>
            <w:pPr>
              <w:spacing w:after="0"/>
              <w:rPr>
                <w:sz w:val="17"/>
                <w:szCs w:val="17"/>
                <w:color w:val="auto"/>
              </w:rPr>
            </w:pPr>
          </w:p>
        </w:tc>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4040" w:type="dxa"/>
            <w:vAlign w:val="bottom"/>
          </w:tcPr>
          <w:p>
            <w:pPr>
              <w:ind w:left="100"/>
              <w:spacing w:after="0" w:line="201" w:lineRule="exact"/>
              <w:rPr>
                <w:sz w:val="20"/>
                <w:szCs w:val="20"/>
                <w:color w:val="auto"/>
              </w:rPr>
            </w:pPr>
            <w:r>
              <w:rPr>
                <w:rFonts w:ascii="Arial" w:cs="Arial" w:eastAsia="Arial" w:hAnsi="Arial"/>
                <w:sz w:val="18"/>
                <w:szCs w:val="18"/>
                <w:color w:val="auto"/>
              </w:rPr>
              <w:t>Jonathan T. Silverstein</w:t>
            </w:r>
          </w:p>
        </w:tc>
        <w:tc>
          <w:tcPr>
            <w:tcW w:w="56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Title:  Member of OrbiMed Advisors LLC</w:t>
            </w:r>
          </w:p>
        </w:tc>
        <w:tc>
          <w:tcPr>
            <w:tcW w:w="560" w:type="dxa"/>
            <w:vAlign w:val="bottom"/>
          </w:tcPr>
          <w:p>
            <w:pPr>
              <w:spacing w:after="0"/>
              <w:rPr>
                <w:sz w:val="20"/>
                <w:szCs w:val="20"/>
                <w:color w:val="auto"/>
              </w:rPr>
            </w:pPr>
          </w:p>
        </w:tc>
      </w:tr>
      <w:tr>
        <w:trPr>
          <w:trHeight w:val="891"/>
        </w:trPr>
        <w:tc>
          <w:tcPr>
            <w:tcW w:w="10860" w:type="dxa"/>
            <w:vAlign w:val="bottom"/>
            <w:gridSpan w:val="3"/>
          </w:tcPr>
          <w:p>
            <w:pPr>
              <w:ind w:left="5720"/>
              <w:spacing w:after="0"/>
              <w:rPr>
                <w:sz w:val="20"/>
                <w:szCs w:val="20"/>
                <w:color w:val="auto"/>
              </w:rPr>
            </w:pPr>
            <w:r>
              <w:rPr>
                <w:rFonts w:ascii="Arial" w:cs="Arial" w:eastAsia="Arial" w:hAnsi="Arial"/>
                <w:sz w:val="18"/>
                <w:szCs w:val="18"/>
                <w:color w:val="auto"/>
              </w:rPr>
              <w:t>OrbiMed Capital GP III LLC</w:t>
            </w:r>
          </w:p>
        </w:tc>
        <w:tc>
          <w:tcPr>
            <w:tcW w:w="560" w:type="dxa"/>
            <w:vAlign w:val="bottom"/>
          </w:tcPr>
          <w:p>
            <w:pPr>
              <w:spacing w:after="0"/>
              <w:rPr>
                <w:sz w:val="24"/>
                <w:szCs w:val="24"/>
                <w:color w:val="auto"/>
              </w:rPr>
            </w:pPr>
          </w:p>
        </w:tc>
      </w:tr>
      <w:tr>
        <w:trPr>
          <w:trHeight w:val="418"/>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4560" w:type="dxa"/>
            <w:vAlign w:val="bottom"/>
            <w:gridSpan w:val="2"/>
          </w:tcPr>
          <w:p>
            <w:pPr>
              <w:spacing w:after="0"/>
              <w:rPr>
                <w:sz w:val="20"/>
                <w:szCs w:val="20"/>
                <w:color w:val="auto"/>
              </w:rPr>
            </w:pPr>
            <w:r>
              <w:rPr>
                <w:rFonts w:ascii="Arial" w:cs="Arial" w:eastAsia="Arial" w:hAnsi="Arial"/>
                <w:sz w:val="18"/>
                <w:szCs w:val="18"/>
                <w:color w:val="auto"/>
              </w:rPr>
              <w:t>OrbiMed Advisors LLC</w:t>
            </w:r>
          </w:p>
        </w:tc>
        <w:tc>
          <w:tcPr>
            <w:tcW w:w="560" w:type="dxa"/>
            <w:vAlign w:val="bottom"/>
          </w:tcPr>
          <w:p>
            <w:pPr>
              <w:spacing w:after="0"/>
              <w:rPr>
                <w:sz w:val="24"/>
                <w:szCs w:val="24"/>
                <w:color w:val="auto"/>
              </w:rPr>
            </w:pPr>
          </w:p>
        </w:tc>
      </w:tr>
      <w:tr>
        <w:trPr>
          <w:trHeight w:val="230"/>
        </w:trPr>
        <w:tc>
          <w:tcPr>
            <w:tcW w:w="63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its Managing Member</w:t>
            </w:r>
          </w:p>
        </w:tc>
        <w:tc>
          <w:tcPr>
            <w:tcW w:w="560" w:type="dxa"/>
            <w:vAlign w:val="bottom"/>
          </w:tcPr>
          <w:p>
            <w:pPr>
              <w:spacing w:after="0"/>
              <w:rPr>
                <w:sz w:val="20"/>
                <w:szCs w:val="20"/>
                <w:color w:val="auto"/>
              </w:rPr>
            </w:pPr>
          </w:p>
        </w:tc>
      </w:tr>
      <w:tr>
        <w:trPr>
          <w:trHeight w:val="655"/>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T. Silverstein</w:t>
            </w:r>
          </w:p>
        </w:tc>
        <w:tc>
          <w:tcPr>
            <w:tcW w:w="560" w:type="dxa"/>
            <w:vAlign w:val="bottom"/>
          </w:tcPr>
          <w:p>
            <w:pPr>
              <w:spacing w:after="0"/>
              <w:rPr>
                <w:sz w:val="24"/>
                <w:szCs w:val="24"/>
                <w:color w:val="auto"/>
              </w:rPr>
            </w:pPr>
          </w:p>
        </w:tc>
      </w:tr>
      <w:tr>
        <w:trPr>
          <w:trHeight w:val="202"/>
        </w:trPr>
        <w:tc>
          <w:tcPr>
            <w:tcW w:w="6300" w:type="dxa"/>
            <w:vAlign w:val="bottom"/>
          </w:tcPr>
          <w:p>
            <w:pPr>
              <w:spacing w:after="0"/>
              <w:rPr>
                <w:sz w:val="17"/>
                <w:szCs w:val="17"/>
                <w:color w:val="auto"/>
              </w:rPr>
            </w:pPr>
          </w:p>
        </w:tc>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4040" w:type="dxa"/>
            <w:vAlign w:val="bottom"/>
          </w:tcPr>
          <w:p>
            <w:pPr>
              <w:ind w:left="100"/>
              <w:spacing w:after="0" w:line="201" w:lineRule="exact"/>
              <w:rPr>
                <w:sz w:val="20"/>
                <w:szCs w:val="20"/>
                <w:color w:val="auto"/>
              </w:rPr>
            </w:pPr>
            <w:r>
              <w:rPr>
                <w:rFonts w:ascii="Arial" w:cs="Arial" w:eastAsia="Arial" w:hAnsi="Arial"/>
                <w:sz w:val="18"/>
                <w:szCs w:val="18"/>
                <w:color w:val="auto"/>
              </w:rPr>
              <w:t>Jonathan T. Silverstein</w:t>
            </w:r>
          </w:p>
        </w:tc>
        <w:tc>
          <w:tcPr>
            <w:tcW w:w="560" w:type="dxa"/>
            <w:vAlign w:val="bottom"/>
          </w:tcPr>
          <w:p>
            <w:pPr>
              <w:spacing w:after="0"/>
              <w:rPr>
                <w:sz w:val="17"/>
                <w:szCs w:val="17"/>
                <w:color w:val="auto"/>
              </w:rPr>
            </w:pPr>
          </w:p>
        </w:tc>
      </w:tr>
      <w:tr>
        <w:trPr>
          <w:trHeight w:val="230"/>
        </w:trPr>
        <w:tc>
          <w:tcPr>
            <w:tcW w:w="63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40"/>
              <w:spacing w:after="0"/>
              <w:rPr>
                <w:sz w:val="20"/>
                <w:szCs w:val="20"/>
                <w:color w:val="auto"/>
              </w:rPr>
            </w:pPr>
            <w:r>
              <w:rPr>
                <w:rFonts w:ascii="Arial" w:cs="Arial" w:eastAsia="Arial" w:hAnsi="Arial"/>
                <w:sz w:val="18"/>
                <w:szCs w:val="18"/>
                <w:color w:val="auto"/>
              </w:rPr>
              <w:t>Member of OrbiMed Advisors LLC</w:t>
            </w:r>
          </w:p>
        </w:tc>
        <w:tc>
          <w:tcPr>
            <w:tcW w:w="560" w:type="dxa"/>
            <w:vAlign w:val="bottom"/>
          </w:tcPr>
          <w:p>
            <w:pPr>
              <w:spacing w:after="0"/>
              <w:rPr>
                <w:sz w:val="20"/>
                <w:szCs w:val="20"/>
                <w:color w:val="auto"/>
              </w:rPr>
            </w:pPr>
          </w:p>
        </w:tc>
      </w:tr>
      <w:tr>
        <w:trPr>
          <w:trHeight w:val="1344"/>
        </w:trPr>
        <w:tc>
          <w:tcPr>
            <w:tcW w:w="6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Schedule I</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600" w:type="dxa"/>
            <w:vAlign w:val="bottom"/>
            <w:tcBorders>
              <w:top w:val="single" w:sz="8" w:color="auto"/>
              <w:left w:val="single" w:sz="8" w:color="auto"/>
              <w:right w:val="single" w:sz="8" w:color="auto"/>
            </w:tcBorders>
          </w:tcPr>
          <w:p>
            <w:pPr>
              <w:spacing w:after="0"/>
              <w:rPr>
                <w:sz w:val="22"/>
                <w:szCs w:val="22"/>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400" w:type="dxa"/>
            <w:vAlign w:val="bottom"/>
            <w:tcBorders>
              <w:top w:val="single" w:sz="8" w:color="auto"/>
              <w:right w:val="single" w:sz="8" w:color="auto"/>
            </w:tcBorders>
          </w:tcPr>
          <w:p>
            <w:pPr>
              <w:spacing w:after="0"/>
              <w:rPr>
                <w:sz w:val="22"/>
                <w:szCs w:val="22"/>
                <w:color w:val="auto"/>
              </w:rPr>
            </w:pPr>
          </w:p>
        </w:tc>
      </w:tr>
      <w:tr>
        <w:trPr>
          <w:trHeight w:val="230"/>
        </w:trPr>
        <w:tc>
          <w:tcPr>
            <w:tcW w:w="460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4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Principal Occupation</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9"/>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Evan D. Sotiriou</w:t>
            </w:r>
          </w:p>
        </w:tc>
        <w:tc>
          <w:tcPr>
            <w:tcW w:w="3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OrbiMed Advisors LLC</w:t>
            </w:r>
          </w:p>
        </w:tc>
      </w:tr>
      <w:tr>
        <w:trPr>
          <w:trHeight w:val="34"/>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669"/>
        </w:trPr>
        <w:tc>
          <w:tcPr>
            <w:tcW w:w="4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9" w:name="page10"/>
    <w:bookmarkEnd w:id="9"/>
    <w:p>
      <w:pPr>
        <w:ind w:left="464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172085</wp:posOffset>
            </wp:positionV>
            <wp:extent cx="724662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60" w:type="dxa"/>
            <w:vAlign w:val="bottom"/>
          </w:tcPr>
          <w:p>
            <w:pPr>
              <w:ind w:left="2480"/>
              <w:spacing w:after="0"/>
              <w:rPr>
                <w:sz w:val="20"/>
                <w:szCs w:val="20"/>
                <w:color w:val="auto"/>
              </w:rPr>
            </w:pPr>
            <w:r>
              <w:rPr>
                <w:rFonts w:ascii="Arial" w:cs="Arial" w:eastAsia="Arial" w:hAnsi="Arial"/>
                <w:sz w:val="18"/>
                <w:szCs w:val="18"/>
                <w:b w:val="1"/>
                <w:bCs w:val="1"/>
                <w:color w:val="auto"/>
                <w:w w:val="86"/>
              </w:rPr>
              <w:t>Description</w:t>
            </w:r>
          </w:p>
        </w:tc>
      </w:tr>
    </w:tbl>
    <w:p>
      <w:pPr>
        <w:spacing w:after="0" w:line="67" w:lineRule="exact"/>
        <w:rPr>
          <w:sz w:val="20"/>
          <w:szCs w:val="20"/>
          <w:color w:val="auto"/>
        </w:rPr>
      </w:pPr>
    </w:p>
    <w:p>
      <w:pPr>
        <w:ind w:left="980" w:hanging="75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904240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39"/>
          </w:cols>
          <w:pgMar w:left="620" w:top="607"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1426"/>
        <w:spacing w:after="0" w:line="297" w:lineRule="auto"/>
        <w:rPr>
          <w:sz w:val="20"/>
          <w:szCs w:val="20"/>
          <w:color w:val="auto"/>
        </w:rPr>
      </w:pPr>
      <w:r>
        <w:rPr>
          <w:rFonts w:ascii="Arial" w:cs="Arial" w:eastAsia="Arial" w:hAnsi="Arial"/>
          <w:sz w:val="16"/>
          <w:szCs w:val="16"/>
          <w:color w:val="auto"/>
        </w:rPr>
        <w:t>The undersigned hereby agree that the Statement on this Schedule 13D, dated October 25, 2018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of Selecta Biosciences, Inc., is filed on behalf of each of us pursuant to and in accordance with the provisions of Rule 13d-1(k) under the Securities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have executed this Agreement as of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w:t>
      </w:r>
    </w:p>
    <w:p>
      <w:pPr>
        <w:spacing w:after="0" w:line="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OrbiMed Advisors LLC</w:t>
      </w:r>
    </w:p>
    <w:p>
      <w:pPr>
        <w:spacing w:after="0" w:line="225"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28898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Member of OrbiMed Advisors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OrbiMed Capital GP III LLC</w:t>
      </w:r>
    </w:p>
    <w:p>
      <w:pPr>
        <w:spacing w:after="0" w:line="225"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OrbiMed Advisors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T.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28898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Jonathan T. Silverstein</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lvl w:ilvl="1">
      <w:lvlJc w:val="left"/>
      <w:lvlText w:val="(%2)"/>
      <w:numFmt w:val="lowerRoman"/>
      <w:start w:val="1"/>
    </w:lvl>
  </w:abstractNum>
  <w:abstractNum w:abstractNumId="3">
    <w:nsid w:val="41B71EFB"/>
    <w:multiLevelType w:val="hybridMultilevel"/>
    <w:lvl w:ilvl="0">
      <w:lvlJc w:val="left"/>
      <w:lvlText w:val="(%1)"/>
      <w:numFmt w:val="lowerLetter"/>
      <w:start w:val="4"/>
    </w:lvl>
    <w:lvl w:ilvl="1">
      <w:lvlJc w:val="left"/>
      <w:lvlText w:val="%2"/>
      <w:numFmt w:val="lowerRoman"/>
      <w:start w:val="1"/>
    </w:lvl>
  </w:abstractNum>
  <w:abstractNum w:abstractNumId="4">
    <w:nsid w:val="79E2A9E3"/>
    <w:multiLevelType w:val="hybridMultilevel"/>
    <w:lvl w:ilvl="0">
      <w:lvlJc w:val="left"/>
      <w:lvlText w:val="%1"/>
      <w:numFmt w:val="upperLetter"/>
      <w:start w:val="1"/>
    </w:lvl>
    <w:lvl w:ilvl="1">
      <w:lvlJc w:val="left"/>
      <w:lvlText w:val="(%2)"/>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upperLetter"/>
      <w:start w:val="6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2019-12-07T15:16:24Z</dcterms:created>
  <dcterms:modified xsi:type="dcterms:W3CDTF">2019-12-07T15:16:24Z</dcterms:modified>
</cp:coreProperties>
</file>