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30,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On April 30, 2026, Cartesian Therapeutics, Inc. (the “Company”) announced its financial results for the quarter ended March 31, 2026.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440" w:type="dxa"/>
            <w:vAlign w:val="bottom"/>
            <w:gridSpan w:val="3"/>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124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April 30, 2026.</w:t>
            </w: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50"/>
        </w:trPr>
        <w:tc>
          <w:tcPr>
            <w:tcW w:w="12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2026</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Cartesian Therapeutics Reports First Quarter 2026 Financial Results and Provides Business Update</w:t>
      </w:r>
    </w:p>
    <w:p>
      <w:pPr>
        <w:spacing w:after="0" w:line="17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Enrollment continues to progress in Phase 3 AURORA trial of Descartes-08 in myasthenia gravis</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Phase 2 TRITON trial of Descartes-08 in dermatomyositis and antisynthetase syndrome initiated</w:t>
      </w:r>
    </w:p>
    <w:p>
      <w:pPr>
        <w:spacing w:after="0" w:line="17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Multiple patients enrolled in Phase 1/2 HELIOS pediatric trial of Descartes-08 in juvenile dermatomyositis</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Approximately $120.4 million cash, cash equivalents and restricted cash as of March 31, 2026, expected to support planned operations into mid-2027,</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including completion of ongoing Phase 3 AURORA trial</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Frederick, Md., April 30, 2026 (GLOBE NEWSWIRE) – Cartesian Therapeutics, Inc. (NASDAQ: RNAC) (“we”, the “Company” or “Cartesian”), a late clinical-stage biotechnology company pioneering cell therapy for autoimmune diseases, today reported financial results for the first quarter ended March 31, 2026, and outlined recent business updates.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“Descartes-08 represents a significant opportunity to address the many unmet needs of patients living with autoimmune diseases, with the potential to simultaneously improve quality of life through depth and durability of response. With three clinical programs in progress, we remain focused on advancing this mission with near-term milestones across our pipeline,” said Carsten Brunn, Ph.D., President and Chief Executive Officer of Cartesian. “We continue to prioritize our myasthenia gravis (MG) program as we enroll patients into the Phase 3 AURORA trial. In parallel, we initiated our Phase 2 TRITON trial of adult patients with dermatomyositis and antisynthetase syndrome. We have also enrolled multiple patients in the Phase 1/2 HELIOS pediatric trial in juvenile dermatomyositis (JDM) and are encouraged by the early enrollment observed to-date. The momentum across all three programs strengthens our conviction in Descartes-08’s promise as we advance it toward its full potential.”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Progress and Anticipated Milestones</w:t>
      </w:r>
    </w:p>
    <w:p>
      <w:pPr>
        <w:spacing w:after="0" w:line="171" w:lineRule="exact"/>
        <w:rPr>
          <w:sz w:val="20"/>
          <w:szCs w:val="20"/>
          <w:color w:val="auto"/>
        </w:rPr>
      </w:pPr>
    </w:p>
    <w:p>
      <w:pPr>
        <w:jc w:val="both"/>
        <w:ind w:left="340" w:hanging="332"/>
        <w:spacing w:after="0" w:line="257"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Enrollment Continues to Progress in the Phase 3 AURORA Trial of Descartes-08 in Participants with MG. </w:t>
      </w:r>
      <w:r>
        <w:rPr>
          <w:rFonts w:ascii="Times New Roman" w:cs="Times New Roman" w:eastAsia="Times New Roman" w:hAnsi="Times New Roman"/>
          <w:sz w:val="18"/>
          <w:szCs w:val="18"/>
          <w:color w:val="auto"/>
        </w:rPr>
        <w:t>The randomized, double-blind,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placebo-controlled 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patients with acetylcholine receptor autoantibody positive (AChR Ab+) MG. The primary endpoint will assess the proportion of Descartes-08 participants with an improvement in MG Activities of Daily Living (MG-ADL) score of three points or more at Month 4 compared to placebo.</w:t>
      </w:r>
    </w:p>
    <w:p>
      <w:pPr>
        <w:spacing w:after="0" w:line="128"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TRITON Trial Initiated in Myositis. </w:t>
      </w:r>
      <w:r>
        <w:rPr>
          <w:rFonts w:ascii="Times New Roman" w:cs="Times New Roman" w:eastAsia="Times New Roman" w:hAnsi="Times New Roman"/>
          <w:sz w:val="18"/>
          <w:szCs w:val="18"/>
          <w:color w:val="auto"/>
        </w:rPr>
        <w:t>The randomized, double-blind, placebo-controlled Phase 2 TRITON trial in myositis is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 Descartes-08 versus placebo (1:1 randomization) administered as six weekly outpatient infusions without preconditioning chemotherapy in patients with moderate to severe multi-refractory dermatomyositis and antisynthetase syndrome. The primary endpoint is expected to assess safety and efficacy of Descartes-08 compared to placebo added to standard of care in participants with myositis at Week 24. The Company plans to evaluate the first 10 patients from the study to determine the path to a pivotal trial in this indication with significant unmet need.</w:t>
      </w:r>
    </w:p>
    <w:p>
      <w:pPr>
        <w:spacing w:after="0" w:line="1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Patients Enrolled in Phase 1/2 HELIOS Pediatric Trial of Descartes-08 in Autoimmune Diseases, Including JDM. </w:t>
      </w:r>
      <w:r>
        <w:rPr>
          <w:rFonts w:ascii="Times New Roman" w:cs="Times New Roman" w:eastAsia="Times New Roman" w:hAnsi="Times New Roman"/>
          <w:sz w:val="18"/>
          <w:szCs w:val="18"/>
          <w:color w:val="auto"/>
        </w:rPr>
        <w:t>In January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Cartesian announced the initiation of its Phase 1/2 HELIOS pediatric trial of Descartes-08 in children and young adults with autoimmune diseases, including JDM. JDM is a rare pediatric autoimmune disorder marked by pathognomonic skin rash and muscle inflammation affecting multiple organ systems. The FDA previously granted Rare Pediatric Disease Designation to Descartes-08 for the treatment of JDM.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2026 Financial Results</w:t>
      </w:r>
    </w:p>
    <w:p>
      <w:pPr>
        <w:spacing w:after="0" w:line="175" w:lineRule="exact"/>
        <w:rPr>
          <w:sz w:val="20"/>
          <w:szCs w:val="20"/>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restricted cash as of March 31, 2026 was $120.4 million. During the first quarter of 2026, the Company raised $14.6 million after commissions and expenses through its active at the market (ATM) offering program. The Company’s current cash resources on hand are expected to support planned operations, including completion of the ongoing Phase 3 AURORA trial, into mid-2027.</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$19.5 million for the three months ended March 31, 2026, compared to $14.7 million for the three months ended March 31, 2025. The increase was primarily a result of increased expenses associated with the ongoing Phase 3 AURORA trial, partially offset by a decrease in expenses for early stage programs, primarily related to the decision to no longer pursue development of Descartes-08 in systematic lupus erythematosus.</w:t>
      </w:r>
    </w:p>
    <w:p>
      <w:pPr>
        <w:sectPr>
          <w:pgSz w:w="11900" w:h="16838" w:orient="portrait"/>
          <w:cols w:equalWidth="0" w:num="1">
            <w:col w:w="11240"/>
          </w:cols>
          <w:pgMar w:left="320" w:top="117" w:right="339" w:bottom="1440" w:gutter="0" w:footer="0" w:header="0"/>
        </w:sectPr>
      </w:pPr>
    </w:p>
    <w:bookmarkStart w:id="4" w:name="page5"/>
    <w:bookmarkEnd w:id="4"/>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General and administrative expenses were $7.1 million for the three months ended March 31, 2026, compared to $8.3 million for the three months ended March 31, 2025. The decrease was primarily the result of lower professional and consulting fees.</w:t>
      </w:r>
    </w:p>
    <w:p>
      <w:pPr>
        <w:spacing w:after="0" w:line="107"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$39.2 million, or $1.46 net loss per share allocable to common stockholders (basic), for the three months ended March 31, 2026, compared to net loss of $17.7 million, or $0.68 net loss per share allocable to common stockholders (basic), for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Descartes-08</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Descartes-08, Cartesian’s lead cell therapy candidate, is an autologous CAR-T product targeting BCMA in clinical development for generalized MG and myositis, specifically dermatomyositis and 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JDM.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Cartesian Therapeutics is a late clinical-stage company pioneering cell therapy for the treatment of autoimmune diseases. The Company’s lead asset, Descartes-08, is a CAR-T in Phase 3 clinical development for patients with generalized myasthenia gravis, Phase 2 clinical development in myositis, specifically dermatomyositis and antisynthetase syndrome, and in Phase 1/2 clinical development for pediatric autoimmune diseases, including juvenile dermatomyositis. For more information, please visit www.cartesiantherapeutics.com or follow the Company on LinkedIn or 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or any of the Company’s other product candidates to treat MG, juvenile MG, myositis, JDM, or any other disease, the anticipated timing or the outcome of ongoing and planned clinical trials, studies and data readouts, including the ongoing Phase 3 AURORA trial of Descartes-08 in MG, the ongoing Phase 2 TRITON trial of Descartes-08 in myositis, and the ongoing Phase 1/2 HELIOS pediatric trial of Descartes-08 in autoimmune diseases, including JDM, the anticipated timing or the outcome of the FDA’s review of the Company’s regulatory filings, including the number of trials that may be necessary in order to obtain marketing approval, the potential for in-vivo delivery of the Company’s product candidates,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w:t>
      </w:r>
    </w:p>
    <w:p>
      <w:pPr>
        <w:sectPr>
          <w:pgSz w:w="11900" w:h="16838" w:orient="portrait"/>
          <w:cols w:equalWidth="0" w:num="1">
            <w:col w:w="11240"/>
          </w:cols>
          <w:pgMar w:left="320" w:top="125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date. The Company specifically disclaims any intention to update any forward-looking statements included in this press release, except as required by law.</w:t>
      </w:r>
    </w:p>
    <w:p>
      <w:pPr>
        <w:sectPr>
          <w:pgSz w:w="11900" w:h="16838" w:orient="portrait"/>
          <w:cols w:equalWidth="0" w:num="1">
            <w:col w:w="11120"/>
          </w:cols>
          <w:pgMar w:left="320" w:top="1255" w:right="45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125,139</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r>
      <w:tr>
        <w:trPr>
          <w:trHeight w:val="223"/>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129,276</w:t>
            </w:r>
          </w:p>
        </w:tc>
      </w:tr>
      <w:tr>
        <w:trPr>
          <w:trHeight w:val="270"/>
        </w:trPr>
        <w:tc>
          <w:tcPr>
            <w:tcW w:w="8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29"/>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r>
      <w:tr>
        <w:trPr>
          <w:trHeight w:val="270"/>
        </w:trPr>
        <w:tc>
          <w:tcPr>
            <w:tcW w:w="8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value right liability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392,100</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422,651</w:t>
            </w:r>
          </w:p>
        </w:tc>
      </w:tr>
      <w:tr>
        <w:trPr>
          <w:trHeight w:val="250"/>
        </w:trPr>
        <w:tc>
          <w:tcPr>
            <w:tcW w:w="8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9"/>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deficit: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6"/>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Preferred Stock, $0.0001 par value; 134,904.563 shares authorized as of March 31, 2026 and 2025;</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120,790.402 shares issued and outstanding as of March 31, 2026 and 2025</w:t>
            </w:r>
          </w:p>
        </w:tc>
        <w:tc>
          <w:tcPr>
            <w:tcW w:w="1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Preferred Stock, $0.0001 par value; 437,927 shares authorized, issued and outstanding as of March 31, 2026</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2025</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9,427,168.437 shares authorized as of March 31, 2026 and 2025; no shares issued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outstanding as of March 31, 2026 and 2025</w:t>
            </w:r>
          </w:p>
        </w:tc>
        <w:tc>
          <w:tcPr>
            <w:tcW w:w="1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March 31, 2026 and 2025; 28,544,728 and</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26,011,106 shares issued and outstanding as of March 31, 2026 and 2025, respectively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700,706</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(861,555)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(822,373)</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(126,240)</w:t>
            </w: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288,391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5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3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7"/>
        </w:trPr>
        <w:tc>
          <w:tcPr>
            <w:tcW w:w="8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r>
      <w:tr>
        <w:trPr>
          <w:trHeight w:val="229"/>
        </w:trPr>
        <w:tc>
          <w:tcPr>
            <w:tcW w:w="8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r>
      <w:tr>
        <w:trPr>
          <w:trHeight w:val="223"/>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r>
      <w:tr>
        <w:trPr>
          <w:trHeight w:val="256"/>
        </w:trPr>
        <w:tc>
          <w:tcPr>
            <w:tcW w:w="8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(21,889)</w:t>
            </w:r>
          </w:p>
        </w:tc>
      </w:tr>
      <w:tr>
        <w:trPr>
          <w:trHeight w:val="257"/>
        </w:trPr>
        <w:tc>
          <w:tcPr>
            <w:tcW w:w="8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r>
      <w:tr>
        <w:trPr>
          <w:trHeight w:val="22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contingent value right liability</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r>
      <w:tr>
        <w:trPr>
          <w:trHeight w:val="270"/>
        </w:trPr>
        <w:tc>
          <w:tcPr>
            <w:tcW w:w="85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w:t>
            </w:r>
          </w:p>
        </w:tc>
      </w:tr>
      <w:tr>
        <w:trPr>
          <w:trHeight w:val="237"/>
        </w:trPr>
        <w:tc>
          <w:tcPr>
            <w:tcW w:w="8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(17,678)</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w:t>
            </w:r>
          </w:p>
        </w:tc>
      </w:tr>
      <w:tr>
        <w:trPr>
          <w:trHeight w:val="256"/>
        </w:trPr>
        <w:tc>
          <w:tcPr>
            <w:tcW w:w="8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allocable to common stockholders: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26,855,158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25,902,650</w:t>
            </w: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219" w:lineRule="auto"/>
        <w:rPr>
          <w:sz w:val="20"/>
          <w:szCs w:val="20"/>
          <w:color w:val="auto"/>
        </w:rPr>
      </w:pPr>
      <w:r>
        <w:rPr>
          <w:rFonts w:ascii="Times New Roman" w:cs="Times New Roman" w:eastAsia="Times New Roman" w:hAnsi="Times New Roman"/>
          <w:sz w:val="18"/>
          <w:szCs w:val="18"/>
          <w:color w:val="auto"/>
        </w:rPr>
        <w:t>Associate Director of Investor Relations</w:t>
      </w:r>
    </w:p>
    <w:p>
      <w:pPr>
        <w:spacing w:after="0"/>
        <w:rPr>
          <w:sz w:val="20"/>
          <w:szCs w:val="20"/>
          <w:color w:val="auto"/>
        </w:rPr>
      </w:pPr>
      <w:r>
        <w:rPr>
          <w:rFonts w:ascii="Times New Roman" w:cs="Times New Roman" w:eastAsia="Times New Roman" w:hAnsi="Times New Roman"/>
          <w:sz w:val="18"/>
          <w:szCs w:val="18"/>
          <w:color w:val="auto"/>
        </w:rPr>
        <w:t>megan.leduc@cartesiantx.com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19" w:lineRule="auto"/>
        <w:rPr>
          <w:sz w:val="20"/>
          <w:szCs w:val="20"/>
          <w:color w:val="auto"/>
        </w:rPr>
      </w:pPr>
      <w:r>
        <w:rPr>
          <w:rFonts w:ascii="Times New Roman" w:cs="Times New Roman" w:eastAsia="Times New Roman" w:hAnsi="Times New Roman"/>
          <w:sz w:val="18"/>
          <w:szCs w:val="18"/>
          <w:color w:val="auto"/>
        </w:rPr>
        <w:t>Argot Partners</w:t>
      </w:r>
    </w:p>
    <w:p>
      <w:pPr>
        <w:spacing w:after="0"/>
        <w:rPr>
          <w:sz w:val="20"/>
          <w:szCs w:val="20"/>
          <w:color w:val="auto"/>
        </w:rPr>
      </w:pPr>
      <w:r>
        <w:rPr>
          <w:rFonts w:ascii="Times New Roman" w:cs="Times New Roman" w:eastAsia="Times New Roman" w:hAnsi="Times New Roman"/>
          <w:sz w:val="18"/>
          <w:szCs w:val="18"/>
          <w:color w:val="auto"/>
        </w:rPr>
        <w:t>david.rosen@argotpartners.com</w:t>
      </w:r>
    </w:p>
    <w:sectPr>
      <w:pgSz w:w="11900" w:h="16838" w:orient="portrait"/>
      <w:cols w:equalWidth="0" w:num="1">
        <w:col w:w="10139"/>
      </w:cols>
      <w:pgMar w:left="320" w:top="1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2026-04-30T06:07:51Z</dcterms:created>
  <dcterms:modified xsi:type="dcterms:W3CDTF">2026-04-30T06:07:51Z</dcterms:modified>
</cp:coreProperties>
</file>