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17,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5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June 17, 2022, Selecta Biosciences, Inc. (the “Company”) held its 2022 Annual Meeting of Stockholders. A total of 104,352,933 shares of the Company’s common stock, par value $0.0001 per share (the “common stock”), were present electronically or represented by proxy at the meeting, representing approximately 68.74% of the Company’s outstanding common stock as of the April 18, 2022 record date. The following are the voting results for the proposals considered and voted upon at the meeting, all of which were described in the Company’s definitive proxy statement filed with the Securities and Exchange Commission on May 3, 2022.</w:t>
      </w:r>
    </w:p>
    <w:p>
      <w:pPr>
        <w:spacing w:after="0" w:line="215" w:lineRule="exact"/>
        <w:rPr>
          <w:sz w:val="20"/>
          <w:szCs w:val="20"/>
          <w:color w:val="auto"/>
        </w:rPr>
      </w:pPr>
    </w:p>
    <w:p>
      <w:pPr>
        <w:ind w:right="220" w:firstLine="324"/>
        <w:spacing w:after="0" w:line="273" w:lineRule="auto"/>
        <w:rPr>
          <w:sz w:val="20"/>
          <w:szCs w:val="20"/>
          <w:color w:val="auto"/>
        </w:rPr>
      </w:pPr>
      <w:r>
        <w:rPr>
          <w:rFonts w:ascii="Arial" w:cs="Arial" w:eastAsia="Arial" w:hAnsi="Arial"/>
          <w:sz w:val="18"/>
          <w:szCs w:val="18"/>
          <w:color w:val="auto"/>
        </w:rPr>
        <w:t>Item 1 - Election of three Class III Directors to serve until the 2025 Annual Meeting of Stockholders, and until their respective successors have been duly elected and qualified.</w:t>
      </w:r>
    </w:p>
    <w:p>
      <w:pPr>
        <w:spacing w:after="0" w:line="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NOMINEE</w:t>
            </w:r>
          </w:p>
        </w:tc>
        <w:tc>
          <w:tcPr>
            <w:tcW w:w="2380" w:type="dxa"/>
            <w:vAlign w:val="bottom"/>
          </w:tcPr>
          <w:p>
            <w:pPr>
              <w:ind w:left="720"/>
              <w:spacing w:after="0"/>
              <w:rPr>
                <w:sz w:val="20"/>
                <w:szCs w:val="20"/>
                <w:color w:val="auto"/>
              </w:rPr>
            </w:pPr>
            <w:r>
              <w:rPr>
                <w:rFonts w:ascii="Arial" w:cs="Arial" w:eastAsia="Arial" w:hAnsi="Arial"/>
                <w:sz w:val="18"/>
                <w:szCs w:val="18"/>
                <w:color w:val="auto"/>
              </w:rPr>
              <w:t>Votes FOR</w:t>
            </w:r>
          </w:p>
        </w:tc>
        <w:tc>
          <w:tcPr>
            <w:tcW w:w="2980" w:type="dxa"/>
            <w:vAlign w:val="bottom"/>
          </w:tcPr>
          <w:p>
            <w:pPr>
              <w:ind w:left="860"/>
              <w:spacing w:after="0"/>
              <w:rPr>
                <w:sz w:val="20"/>
                <w:szCs w:val="20"/>
                <w:color w:val="auto"/>
              </w:rPr>
            </w:pPr>
            <w:r>
              <w:rPr>
                <w:rFonts w:ascii="Arial" w:cs="Arial" w:eastAsia="Arial" w:hAnsi="Arial"/>
                <w:sz w:val="18"/>
                <w:szCs w:val="18"/>
                <w:color w:val="auto"/>
              </w:rPr>
              <w:t>Votes WITHHELD</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92"/>
              </w:rPr>
              <w:t>Broker Non-Votes</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Timothy C. Barabe</w:t>
            </w:r>
          </w:p>
        </w:tc>
        <w:tc>
          <w:tcPr>
            <w:tcW w:w="2380" w:type="dxa"/>
            <w:vAlign w:val="bottom"/>
          </w:tcPr>
          <w:p>
            <w:pPr>
              <w:ind w:left="720"/>
              <w:spacing w:after="0"/>
              <w:rPr>
                <w:sz w:val="20"/>
                <w:szCs w:val="20"/>
                <w:color w:val="auto"/>
              </w:rPr>
            </w:pPr>
            <w:r>
              <w:rPr>
                <w:rFonts w:ascii="Arial" w:cs="Arial" w:eastAsia="Arial" w:hAnsi="Arial"/>
                <w:sz w:val="18"/>
                <w:szCs w:val="18"/>
                <w:color w:val="auto"/>
              </w:rPr>
              <w:t>53,043,719</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0"/>
              </w:rPr>
              <w:t>12,406,976</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38,902,238</w:t>
            </w:r>
          </w:p>
        </w:tc>
      </w:tr>
      <w:tr>
        <w:trPr>
          <w:trHeight w:val="486"/>
        </w:trPr>
        <w:tc>
          <w:tcPr>
            <w:tcW w:w="2900" w:type="dxa"/>
            <w:vAlign w:val="bottom"/>
          </w:tcPr>
          <w:p>
            <w:pPr>
              <w:spacing w:after="0"/>
              <w:rPr>
                <w:sz w:val="20"/>
                <w:szCs w:val="20"/>
                <w:color w:val="auto"/>
              </w:rPr>
            </w:pPr>
            <w:r>
              <w:rPr>
                <w:rFonts w:ascii="Arial" w:cs="Arial" w:eastAsia="Arial" w:hAnsi="Arial"/>
                <w:sz w:val="18"/>
                <w:szCs w:val="18"/>
                <w:color w:val="auto"/>
              </w:rPr>
              <w:t>Carsten Brunn, Ph.D.</w:t>
            </w:r>
          </w:p>
        </w:tc>
        <w:tc>
          <w:tcPr>
            <w:tcW w:w="2380" w:type="dxa"/>
            <w:vAlign w:val="bottom"/>
          </w:tcPr>
          <w:p>
            <w:pPr>
              <w:ind w:left="720"/>
              <w:spacing w:after="0"/>
              <w:rPr>
                <w:sz w:val="20"/>
                <w:szCs w:val="20"/>
                <w:color w:val="auto"/>
              </w:rPr>
            </w:pPr>
            <w:r>
              <w:rPr>
                <w:rFonts w:ascii="Arial" w:cs="Arial" w:eastAsia="Arial" w:hAnsi="Arial"/>
                <w:sz w:val="18"/>
                <w:szCs w:val="18"/>
                <w:color w:val="auto"/>
              </w:rPr>
              <w:t>55,802,321</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87"/>
              </w:rPr>
              <w:t>9,648,374</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38,902,238</w:t>
            </w:r>
          </w:p>
        </w:tc>
      </w:tr>
      <w:tr>
        <w:trPr>
          <w:trHeight w:val="486"/>
        </w:trPr>
        <w:tc>
          <w:tcPr>
            <w:tcW w:w="2900" w:type="dxa"/>
            <w:vAlign w:val="bottom"/>
          </w:tcPr>
          <w:p>
            <w:pPr>
              <w:spacing w:after="0"/>
              <w:rPr>
                <w:sz w:val="20"/>
                <w:szCs w:val="20"/>
                <w:color w:val="auto"/>
              </w:rPr>
            </w:pPr>
            <w:r>
              <w:rPr>
                <w:rFonts w:ascii="Arial" w:cs="Arial" w:eastAsia="Arial" w:hAnsi="Arial"/>
                <w:sz w:val="18"/>
                <w:szCs w:val="18"/>
                <w:color w:val="auto"/>
              </w:rPr>
              <w:t>Nishan de Silva, M.D.,M.B.A.</w:t>
            </w:r>
          </w:p>
        </w:tc>
        <w:tc>
          <w:tcPr>
            <w:tcW w:w="2380" w:type="dxa"/>
            <w:vAlign w:val="bottom"/>
          </w:tcPr>
          <w:p>
            <w:pPr>
              <w:ind w:left="720"/>
              <w:spacing w:after="0"/>
              <w:rPr>
                <w:sz w:val="20"/>
                <w:szCs w:val="20"/>
                <w:color w:val="auto"/>
              </w:rPr>
            </w:pPr>
            <w:r>
              <w:rPr>
                <w:rFonts w:ascii="Arial" w:cs="Arial" w:eastAsia="Arial" w:hAnsi="Arial"/>
                <w:sz w:val="18"/>
                <w:szCs w:val="18"/>
                <w:color w:val="auto"/>
              </w:rPr>
              <w:t>55,732,822</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87"/>
              </w:rPr>
              <w:t>9,717,873</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38,902,238</w:t>
            </w:r>
          </w:p>
        </w:tc>
      </w:tr>
    </w:tbl>
    <w:p>
      <w:pPr>
        <w:spacing w:after="0" w:line="200" w:lineRule="exact"/>
        <w:rPr>
          <w:sz w:val="20"/>
          <w:szCs w:val="20"/>
          <w:color w:val="auto"/>
        </w:rPr>
      </w:pPr>
    </w:p>
    <w:p>
      <w:pPr>
        <w:spacing w:after="0" w:line="380"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Based on the votes set forth above, each director nominee was duly elected to serve until the Company’s 2025 Annual Meeting of Stockholders, and until their respective successors have been duly elected and qualified.</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Item 2 - Approval, on a non-binding and advisory basis, of a resolution approving the compensation of the Company’s named executive officers.</w:t>
      </w:r>
    </w:p>
    <w:p>
      <w:pPr>
        <w:sectPr>
          <w:pgSz w:w="11900" w:h="16838" w:orient="portrait"/>
          <w:cols w:equalWidth="0" w:num="1">
            <w:col w:w="11240"/>
          </w:cols>
          <w:pgMar w:left="320" w:top="769" w:right="339" w:bottom="1440" w:gutter="0" w:footer="0" w:header="0"/>
        </w:sectPr>
      </w:pPr>
    </w:p>
    <w:p>
      <w:pPr>
        <w:spacing w:after="0" w:line="6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Votes FOR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Votes AGAINST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Votes ABSTAINED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59" w:lineRule="exact"/>
        <w:rPr>
          <w:sz w:val="20"/>
          <w:szCs w:val="20"/>
          <w:color w:val="auto"/>
        </w:rPr>
      </w:pPr>
    </w:p>
    <w:p>
      <w:pPr>
        <w:sectPr>
          <w:pgSz w:w="11900" w:h="16838" w:orient="portrait"/>
          <w:cols w:equalWidth="0" w:num="4">
            <w:col w:w="3040" w:space="720"/>
            <w:col w:w="1980" w:space="720"/>
            <w:col w:w="2160" w:space="720"/>
            <w:col w:w="1900"/>
          </w:cols>
          <w:pgMar w:left="320" w:top="769" w:right="3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59,419,306</w:t>
      </w:r>
    </w:p>
    <w:p>
      <w:pPr>
        <w:spacing w:after="0" w:line="20" w:lineRule="exact"/>
        <w:rPr>
          <w:sz w:val="20"/>
          <w:szCs w:val="20"/>
          <w:color w:val="auto"/>
        </w:rPr>
      </w:pPr>
      <w:r>
        <w:rPr>
          <w:sz w:val="20"/>
          <w:szCs w:val="20"/>
          <w:color w:val="auto"/>
        </w:rPr>
        <w:br w:type="column"/>
      </w:r>
    </w:p>
    <w:p>
      <w:pPr>
        <w:jc w:val="center"/>
        <w:ind w:right="1380"/>
        <w:spacing w:after="0"/>
        <w:rPr>
          <w:sz w:val="20"/>
          <w:szCs w:val="20"/>
          <w:color w:val="auto"/>
        </w:rPr>
      </w:pPr>
      <w:r>
        <w:rPr>
          <w:rFonts w:ascii="Arial" w:cs="Arial" w:eastAsia="Arial" w:hAnsi="Arial"/>
          <w:sz w:val="16"/>
          <w:szCs w:val="16"/>
          <w:color w:val="auto"/>
        </w:rPr>
        <w:t>3,352,586</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5"/>
          <w:szCs w:val="15"/>
          <w:color w:val="auto"/>
        </w:rPr>
        <w:t>2,678,803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38,902,238</w:t>
      </w:r>
    </w:p>
    <w:p>
      <w:pPr>
        <w:spacing w:after="0" w:line="211" w:lineRule="exact"/>
        <w:rPr>
          <w:sz w:val="20"/>
          <w:szCs w:val="20"/>
          <w:color w:val="auto"/>
        </w:rPr>
      </w:pPr>
    </w:p>
    <w:p>
      <w:pPr>
        <w:sectPr>
          <w:pgSz w:w="11900" w:h="16838" w:orient="portrait"/>
          <w:cols w:equalWidth="0" w:num="4">
            <w:col w:w="3300" w:space="720"/>
            <w:col w:w="2100" w:space="720"/>
            <w:col w:w="2040" w:space="720"/>
            <w:col w:w="1640"/>
          </w:cols>
          <w:pgMar w:left="320" w:top="769" w:right="339" w:bottom="1440" w:gutter="0" w:footer="0" w:header="0"/>
          <w:type w:val="continuous"/>
        </w:sectPr>
      </w:pPr>
    </w:p>
    <w:p>
      <w:pPr>
        <w:spacing w:after="0" w:line="170"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Based on the votes set forth above, the stockholders approved, on a non-binding and advisory basis, a resolution approving the compensation of our named executive officers.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Item 3 - Approval, on a non-binding and advisory basis, of the frequency of solicitation of advisory stockholder approval of executive compensation.</w:t>
      </w:r>
    </w:p>
    <w:p>
      <w:pPr>
        <w:sectPr>
          <w:pgSz w:w="11900" w:h="16838" w:orient="portrait"/>
          <w:cols w:equalWidth="0" w:num="1">
            <w:col w:w="11240"/>
          </w:cols>
          <w:pgMar w:left="320" w:top="769" w:right="339" w:bottom="1440" w:gutter="0" w:footer="0" w:header="0"/>
          <w:type w:val="continuous"/>
        </w:sectPr>
      </w:pPr>
    </w:p>
    <w:p>
      <w:pPr>
        <w:spacing w:after="0" w:line="59" w:lineRule="exact"/>
        <w:rPr>
          <w:sz w:val="20"/>
          <w:szCs w:val="20"/>
          <w:color w:val="auto"/>
        </w:rPr>
      </w:pPr>
    </w:p>
    <w:p>
      <w:pPr>
        <w:ind w:left="940"/>
        <w:spacing w:after="0"/>
        <w:rPr>
          <w:sz w:val="20"/>
          <w:szCs w:val="20"/>
          <w:color w:val="auto"/>
        </w:rPr>
      </w:pPr>
      <w:r>
        <w:rPr>
          <w:rFonts w:ascii="Arial" w:cs="Arial" w:eastAsia="Arial" w:hAnsi="Arial"/>
          <w:sz w:val="15"/>
          <w:szCs w:val="15"/>
          <w:color w:val="auto"/>
        </w:rPr>
        <w:t>One Year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700"/>
        <w:spacing w:after="0"/>
        <w:rPr>
          <w:sz w:val="20"/>
          <w:szCs w:val="20"/>
          <w:color w:val="auto"/>
        </w:rPr>
      </w:pPr>
      <w:r>
        <w:rPr>
          <w:rFonts w:ascii="Arial" w:cs="Arial" w:eastAsia="Arial" w:hAnsi="Arial"/>
          <w:sz w:val="15"/>
          <w:szCs w:val="15"/>
          <w:color w:val="auto"/>
        </w:rPr>
        <w:t>Two Years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Three Years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Votes ABSTAINED</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59" w:lineRule="exact"/>
        <w:rPr>
          <w:sz w:val="20"/>
          <w:szCs w:val="20"/>
          <w:color w:val="auto"/>
        </w:rPr>
      </w:pPr>
    </w:p>
    <w:p>
      <w:pPr>
        <w:sectPr>
          <w:pgSz w:w="11900" w:h="16838" w:orient="portrait"/>
          <w:cols w:equalWidth="0" w:num="5">
            <w:col w:w="2400" w:space="720"/>
            <w:col w:w="1460" w:space="720"/>
            <w:col w:w="1220" w:space="720"/>
            <w:col w:w="1600" w:space="720"/>
            <w:col w:w="1680"/>
          </w:cols>
          <w:pgMar w:left="320" w:top="769" w:right="3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63,240,010</w:t>
      </w:r>
    </w:p>
    <w:p>
      <w:pPr>
        <w:spacing w:after="0" w:line="20" w:lineRule="exact"/>
        <w:rPr>
          <w:sz w:val="20"/>
          <w:szCs w:val="20"/>
          <w:color w:val="auto"/>
        </w:rPr>
      </w:pPr>
      <w:r>
        <w:rPr>
          <w:sz w:val="20"/>
          <w:szCs w:val="20"/>
          <w:color w:val="auto"/>
        </w:rPr>
        <w:br w:type="column"/>
      </w:r>
    </w:p>
    <w:p>
      <w:pPr>
        <w:jc w:val="center"/>
        <w:ind w:right="980"/>
        <w:spacing w:after="0"/>
        <w:rPr>
          <w:sz w:val="20"/>
          <w:szCs w:val="20"/>
          <w:color w:val="auto"/>
        </w:rPr>
      </w:pPr>
      <w:r>
        <w:rPr>
          <w:rFonts w:ascii="Arial" w:cs="Arial" w:eastAsia="Arial" w:hAnsi="Arial"/>
          <w:sz w:val="15"/>
          <w:szCs w:val="15"/>
          <w:color w:val="auto"/>
        </w:rPr>
        <w:t>92,727</w:t>
      </w:r>
    </w:p>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Arial" w:cs="Arial" w:eastAsia="Arial" w:hAnsi="Arial"/>
          <w:sz w:val="16"/>
          <w:szCs w:val="16"/>
          <w:color w:val="auto"/>
        </w:rPr>
        <w:t>168,969</w:t>
      </w:r>
    </w:p>
    <w:p>
      <w:pPr>
        <w:spacing w:after="0" w:line="20" w:lineRule="exact"/>
        <w:rPr>
          <w:sz w:val="20"/>
          <w:szCs w:val="20"/>
          <w:color w:val="auto"/>
        </w:rPr>
      </w:pPr>
      <w:r>
        <w:rPr>
          <w:sz w:val="20"/>
          <w:szCs w:val="20"/>
          <w:color w:val="auto"/>
        </w:rPr>
        <w:br w:type="column"/>
      </w:r>
    </w:p>
    <w:p>
      <w:pPr>
        <w:jc w:val="center"/>
        <w:ind w:right="740"/>
        <w:spacing w:after="0"/>
        <w:rPr>
          <w:sz w:val="20"/>
          <w:szCs w:val="20"/>
          <w:color w:val="auto"/>
        </w:rPr>
      </w:pPr>
      <w:r>
        <w:rPr>
          <w:rFonts w:ascii="Arial" w:cs="Arial" w:eastAsia="Arial" w:hAnsi="Arial"/>
          <w:sz w:val="16"/>
          <w:szCs w:val="16"/>
          <w:color w:val="auto"/>
        </w:rPr>
        <w:t>1,948,989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38,902,238</w:t>
      </w:r>
    </w:p>
    <w:p>
      <w:pPr>
        <w:spacing w:after="0" w:line="200" w:lineRule="exact"/>
        <w:rPr>
          <w:sz w:val="20"/>
          <w:szCs w:val="20"/>
          <w:color w:val="auto"/>
        </w:rPr>
      </w:pPr>
    </w:p>
    <w:p>
      <w:pPr>
        <w:sectPr>
          <w:pgSz w:w="11900" w:h="16838" w:orient="portrait"/>
          <w:cols w:equalWidth="0" w:num="5">
            <w:col w:w="2540" w:space="720"/>
            <w:col w:w="1460" w:space="720"/>
            <w:col w:w="1460" w:space="720"/>
            <w:col w:w="1460" w:space="720"/>
            <w:col w:w="1440"/>
          </w:cols>
          <w:pgMar w:left="320" w:top="769" w:right="339" w:bottom="1440" w:gutter="0" w:footer="0" w:header="0"/>
          <w:type w:val="continuous"/>
        </w:sectPr>
      </w:pPr>
    </w:p>
    <w:p>
      <w:pPr>
        <w:spacing w:after="0" w:line="183"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Based on the results of this proposal, the Compensation Committee of the Board of Directors of the Company has determined to hold annual advisory votes on executive compensation until the next required vote on the frequency of future advisory votes to approve executive compensation.</w:t>
      </w:r>
    </w:p>
    <w:p>
      <w:pPr>
        <w:spacing w:after="0" w:line="394" w:lineRule="exact"/>
        <w:rPr>
          <w:sz w:val="20"/>
          <w:szCs w:val="20"/>
          <w:color w:val="auto"/>
        </w:rPr>
      </w:pPr>
    </w:p>
    <w:p>
      <w:pPr>
        <w:ind w:right="260" w:firstLine="324"/>
        <w:spacing w:after="0" w:line="273" w:lineRule="auto"/>
        <w:rPr>
          <w:sz w:val="20"/>
          <w:szCs w:val="20"/>
          <w:color w:val="auto"/>
        </w:rPr>
      </w:pPr>
      <w:r>
        <w:rPr>
          <w:rFonts w:ascii="Arial" w:cs="Arial" w:eastAsia="Arial" w:hAnsi="Arial"/>
          <w:sz w:val="18"/>
          <w:szCs w:val="18"/>
          <w:color w:val="auto"/>
        </w:rPr>
        <w:t>Item 4 - Approval of an amendment to the Company’s Restated Certificate of Incorporation to increase our authorized number of shares of common stock from 200,000,000 to 350,000,000.</w:t>
      </w:r>
    </w:p>
    <w:p>
      <w:pPr>
        <w:sectPr>
          <w:pgSz w:w="11900" w:h="16838" w:orient="portrait"/>
          <w:cols w:equalWidth="0" w:num="1">
            <w:col w:w="11240"/>
          </w:cols>
          <w:pgMar w:left="320" w:top="769" w:right="339" w:bottom="1440" w:gutter="0" w:footer="0" w:header="0"/>
          <w:type w:val="continuous"/>
        </w:sectPr>
      </w:pPr>
    </w:p>
    <w:p>
      <w:pPr>
        <w:spacing w:after="0" w:line="2"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Votes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Votes AGAINST</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Arial" w:cs="Arial" w:eastAsia="Arial" w:hAnsi="Arial"/>
          <w:sz w:val="17"/>
          <w:szCs w:val="17"/>
          <w:color w:val="auto"/>
        </w:rPr>
        <w:t>Votes ABSTAINED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Broker Non-Votes</w:t>
      </w:r>
    </w:p>
    <w:p>
      <w:pPr>
        <w:spacing w:after="0" w:line="59" w:lineRule="exact"/>
        <w:rPr>
          <w:sz w:val="20"/>
          <w:szCs w:val="20"/>
          <w:color w:val="auto"/>
        </w:rPr>
      </w:pPr>
    </w:p>
    <w:p>
      <w:pPr>
        <w:sectPr>
          <w:pgSz w:w="11900" w:h="16838" w:orient="portrait"/>
          <w:cols w:equalWidth="0" w:num="4">
            <w:col w:w="3040" w:space="720"/>
            <w:col w:w="1980" w:space="720"/>
            <w:col w:w="2160" w:space="720"/>
            <w:col w:w="1900"/>
          </w:cols>
          <w:pgMar w:left="320" w:top="769" w:right="3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88,637,534</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5"/>
          <w:szCs w:val="15"/>
          <w:color w:val="auto"/>
        </w:rPr>
        <w:t>12,505,682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3,209,717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260" w:space="720"/>
            <w:col w:w="2140" w:space="720"/>
            <w:col w:w="2340" w:space="720"/>
            <w:col w:w="1340"/>
          </w:cols>
          <w:pgMar w:left="320" w:top="769" w:right="339" w:bottom="1440" w:gutter="0" w:footer="0" w:header="0"/>
          <w:type w:val="continuous"/>
        </w:sectPr>
      </w:pPr>
    </w:p>
    <w:p>
      <w:pPr>
        <w:spacing w:after="0" w:line="16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Based on the results of this proposal, the stockholders approved the Company’s Restated Certificate of Incorporation to increase our authorized number of shares of common stock from 200,000,000 to 350,000,000.</w:t>
      </w:r>
    </w:p>
    <w:p>
      <w:pPr>
        <w:spacing w:after="0" w:line="200" w:lineRule="exact"/>
        <w:rPr>
          <w:sz w:val="20"/>
          <w:szCs w:val="20"/>
          <w:color w:val="auto"/>
        </w:rPr>
      </w:pPr>
    </w:p>
    <w:p>
      <w:pPr>
        <w:spacing w:after="0" w:line="240" w:lineRule="exact"/>
        <w:rPr>
          <w:sz w:val="20"/>
          <w:szCs w:val="20"/>
          <w:color w:val="auto"/>
        </w:rPr>
      </w:pPr>
    </w:p>
    <w:p>
      <w:pPr>
        <w:ind w:right="260" w:firstLine="324"/>
        <w:spacing w:after="0" w:line="273" w:lineRule="auto"/>
        <w:rPr>
          <w:sz w:val="20"/>
          <w:szCs w:val="20"/>
          <w:color w:val="auto"/>
        </w:rPr>
      </w:pPr>
      <w:r>
        <w:rPr>
          <w:rFonts w:ascii="Arial" w:cs="Arial" w:eastAsia="Arial" w:hAnsi="Arial"/>
          <w:sz w:val="18"/>
          <w:szCs w:val="18"/>
          <w:color w:val="auto"/>
        </w:rPr>
        <w:t>Item 5 - Ratification of the appointment of Ernst &amp; Young LLP as the Company’s independent registered public accounting firm for the year ending December 31, 2022.</w:t>
      </w:r>
    </w:p>
    <w:p>
      <w:pPr>
        <w:sectPr>
          <w:pgSz w:w="11900" w:h="16838" w:orient="portrait"/>
          <w:cols w:equalWidth="0" w:num="1">
            <w:col w:w="11240"/>
          </w:cols>
          <w:pgMar w:left="320" w:top="769" w:right="339" w:bottom="1440" w:gutter="0" w:footer="0" w:header="0"/>
          <w:type w:val="continuous"/>
        </w:sectPr>
      </w:pPr>
    </w:p>
    <w:p>
      <w:pPr>
        <w:spacing w:after="0" w:line="2"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Votes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Votes AGAINST</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Arial" w:cs="Arial" w:eastAsia="Arial" w:hAnsi="Arial"/>
          <w:sz w:val="17"/>
          <w:szCs w:val="17"/>
          <w:color w:val="auto"/>
        </w:rPr>
        <w:t>Votes ABSTAINED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Broker Non-Votes</w:t>
      </w:r>
    </w:p>
    <w:p>
      <w:pPr>
        <w:spacing w:after="0" w:line="59" w:lineRule="exact"/>
        <w:rPr>
          <w:sz w:val="20"/>
          <w:szCs w:val="20"/>
          <w:color w:val="auto"/>
        </w:rPr>
      </w:pPr>
    </w:p>
    <w:p>
      <w:pPr>
        <w:sectPr>
          <w:pgSz w:w="11900" w:h="16838" w:orient="portrait"/>
          <w:cols w:equalWidth="0" w:num="4">
            <w:col w:w="3040" w:space="720"/>
            <w:col w:w="1980" w:space="720"/>
            <w:col w:w="2160" w:space="720"/>
            <w:col w:w="1900"/>
          </w:cols>
          <w:pgMar w:left="320" w:top="769" w:right="3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102,644,325</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Arial" w:cs="Arial" w:eastAsia="Arial" w:hAnsi="Arial"/>
          <w:sz w:val="16"/>
          <w:szCs w:val="16"/>
          <w:color w:val="auto"/>
        </w:rPr>
        <w:t>119,292</w:t>
      </w:r>
    </w:p>
    <w:p>
      <w:pPr>
        <w:spacing w:after="0" w:line="20" w:lineRule="exact"/>
        <w:rPr>
          <w:sz w:val="20"/>
          <w:szCs w:val="20"/>
          <w:color w:val="auto"/>
        </w:rPr>
      </w:pPr>
      <w:r>
        <w:rPr>
          <w:sz w:val="20"/>
          <w:szCs w:val="20"/>
          <w:color w:val="auto"/>
        </w:rPr>
        <w:br w:type="column"/>
      </w:r>
    </w:p>
    <w:p>
      <w:pPr>
        <w:jc w:val="center"/>
        <w:ind w:right="1640"/>
        <w:spacing w:after="0"/>
        <w:rPr>
          <w:sz w:val="20"/>
          <w:szCs w:val="20"/>
          <w:color w:val="auto"/>
        </w:rPr>
      </w:pPr>
      <w:r>
        <w:rPr>
          <w:rFonts w:ascii="Arial" w:cs="Arial" w:eastAsia="Arial" w:hAnsi="Arial"/>
          <w:sz w:val="15"/>
          <w:szCs w:val="15"/>
          <w:color w:val="auto"/>
        </w:rPr>
        <w:t>1,589,316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380" w:space="720"/>
            <w:col w:w="2020" w:space="720"/>
            <w:col w:w="2340" w:space="720"/>
            <w:col w:w="1340"/>
          </w:cols>
          <w:pgMar w:left="320" w:top="769" w:right="339" w:bottom="1440" w:gutter="0" w:footer="0" w:header="0"/>
          <w:type w:val="continuous"/>
        </w:sectPr>
      </w:pPr>
    </w:p>
    <w:p>
      <w:pPr>
        <w:spacing w:after="0" w:line="14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Based on the votes set forth above, the stockholders ratified the appointment of Ernst &amp; Young LLP as the Company’s independent registered public accounting firm for the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Arial" w:cs="Arial" w:eastAsia="Arial" w:hAnsi="Arial"/>
                <w:sz w:val="18"/>
                <w:szCs w:val="18"/>
                <w:color w:val="auto"/>
              </w:rPr>
              <w:t>SELECTA BIOSCIENCES, INC.</w:t>
            </w:r>
          </w:p>
        </w:tc>
      </w:tr>
      <w:tr>
        <w:trPr>
          <w:trHeight w:val="688"/>
        </w:trPr>
        <w:tc>
          <w:tcPr>
            <w:tcW w:w="3460" w:type="dxa"/>
            <w:vAlign w:val="bottom"/>
          </w:tcPr>
          <w:p>
            <w:pPr>
              <w:spacing w:after="0"/>
              <w:rPr>
                <w:sz w:val="20"/>
                <w:szCs w:val="20"/>
                <w:color w:val="auto"/>
              </w:rPr>
            </w:pPr>
            <w:r>
              <w:rPr>
                <w:rFonts w:ascii="Arial" w:cs="Arial" w:eastAsia="Arial" w:hAnsi="Arial"/>
                <w:sz w:val="18"/>
                <w:szCs w:val="18"/>
                <w:color w:val="auto"/>
              </w:rPr>
              <w:t>Date: June 17, 2022</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2022-06-17T15:20:12Z</dcterms:created>
  <dcterms:modified xsi:type="dcterms:W3CDTF">2022-06-17T15:20:12Z</dcterms:modified>
</cp:coreProperties>
</file>