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300"/>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4"/>
          </w:tcPr>
          <w:p>
            <w:pPr>
              <w:jc w:val="center"/>
              <w:ind w:right="680"/>
              <w:spacing w:after="0"/>
              <w:rPr>
                <w:sz w:val="20"/>
                <w:szCs w:val="20"/>
                <w:color w:val="auto"/>
              </w:rPr>
            </w:pPr>
            <w:r>
              <w:rPr>
                <w:rFonts w:ascii="Times New Roman" w:cs="Times New Roman" w:eastAsia="Times New Roman" w:hAnsi="Times New Roman"/>
                <w:sz w:val="25"/>
                <w:szCs w:val="25"/>
                <w:b w:val="1"/>
                <w:bCs w:val="1"/>
                <w:color w:val="auto"/>
                <w:w w:val="96"/>
              </w:rPr>
              <w:t>UNITED STATES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20" w:type="dxa"/>
            <w:vAlign w:val="bottom"/>
          </w:tcPr>
          <w:p>
            <w:pPr>
              <w:spacing w:after="0"/>
              <w:rPr>
                <w:sz w:val="24"/>
                <w:szCs w:val="24"/>
                <w:color w:val="auto"/>
              </w:rPr>
            </w:pPr>
          </w:p>
        </w:tc>
        <w:tc>
          <w:tcPr>
            <w:tcW w:w="10640" w:type="dxa"/>
            <w:vAlign w:val="bottom"/>
            <w:gridSpan w:val="7"/>
          </w:tcPr>
          <w:p>
            <w:pPr>
              <w:jc w:val="center"/>
              <w:ind w:right="543"/>
              <w:spacing w:after="0"/>
              <w:rPr>
                <w:sz w:val="20"/>
                <w:szCs w:val="20"/>
                <w:color w:val="auto"/>
              </w:rPr>
            </w:pPr>
            <w:r>
              <w:rPr>
                <w:rFonts w:ascii="Times New Roman" w:cs="Times New Roman" w:eastAsia="Times New Roman" w:hAnsi="Times New Roman"/>
                <w:sz w:val="25"/>
                <w:szCs w:val="25"/>
                <w:b w:val="1"/>
                <w:bCs w:val="1"/>
                <w:color w:val="auto"/>
                <w:w w:val="98"/>
              </w:rPr>
              <w:t>SECURITIES AND EXCHANGE COMMISSION</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40" w:type="dxa"/>
            <w:vAlign w:val="bottom"/>
            <w:gridSpan w:val="4"/>
          </w:tcPr>
          <w:p>
            <w:pPr>
              <w:jc w:val="center"/>
              <w:ind w:right="6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WASHINGTON, D.C. 20549</w:t>
            </w:r>
          </w:p>
        </w:tc>
        <w:tc>
          <w:tcPr>
            <w:tcW w:w="3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620" w:type="dxa"/>
            <w:vAlign w:val="bottom"/>
            <w:vMerge w:val="restart"/>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4"/>
          </w:tcPr>
          <w:p>
            <w:pPr>
              <w:jc w:val="center"/>
              <w:ind w:right="660"/>
              <w:spacing w:after="0"/>
              <w:rPr>
                <w:sz w:val="20"/>
                <w:szCs w:val="20"/>
                <w:color w:val="auto"/>
              </w:rPr>
            </w:pPr>
            <w:r>
              <w:rPr>
                <w:rFonts w:ascii="Times New Roman" w:cs="Times New Roman" w:eastAsia="Times New Roman" w:hAnsi="Times New Roman"/>
                <w:sz w:val="25"/>
                <w:szCs w:val="25"/>
                <w:b w:val="1"/>
                <w:bCs w:val="1"/>
                <w:color w:val="auto"/>
                <w:w w:val="98"/>
              </w:rPr>
              <w:t>FORM 10-Q</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0" w:type="dxa"/>
            <w:vAlign w:val="bottom"/>
            <w:vMerge w:val="continue"/>
          </w:tcPr>
          <w:p>
            <w:pPr>
              <w:spacing w:after="0"/>
              <w:rPr>
                <w:sz w:val="22"/>
                <w:szCs w:val="22"/>
                <w:color w:val="auto"/>
              </w:rPr>
            </w:pPr>
          </w:p>
        </w:tc>
        <w:tc>
          <w:tcPr>
            <w:tcW w:w="10640" w:type="dxa"/>
            <w:vAlign w:val="bottom"/>
            <w:gridSpan w:val="7"/>
          </w:tcPr>
          <w:p>
            <w:pPr>
              <w:ind w:left="1420"/>
              <w:spacing w:after="0"/>
              <w:rPr>
                <w:sz w:val="20"/>
                <w:szCs w:val="20"/>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8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6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2025</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gridSpan w:val="3"/>
          </w:tcPr>
          <w:p>
            <w:pPr>
              <w:jc w:val="center"/>
              <w:ind w:right="1480"/>
              <w:spacing w:after="0"/>
              <w:rPr>
                <w:sz w:val="20"/>
                <w:szCs w:val="20"/>
                <w:color w:val="auto"/>
              </w:rPr>
            </w:pPr>
            <w:r>
              <w:rPr>
                <w:rFonts w:ascii="Times New Roman" w:cs="Times New Roman" w:eastAsia="Times New Roman" w:hAnsi="Times New Roman"/>
                <w:sz w:val="15"/>
                <w:szCs w:val="15"/>
                <w:b w:val="1"/>
                <w:bCs w:val="1"/>
                <w:color w:val="auto"/>
              </w:rPr>
              <w:t>OR</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10640" w:type="dxa"/>
            <w:vAlign w:val="bottom"/>
            <w:gridSpan w:val="7"/>
          </w:tcPr>
          <w:p>
            <w:pPr>
              <w:ind w:left="142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8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 to _______</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6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Commission File Number: 001-37798</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620" w:type="dxa"/>
            <w:vAlign w:val="bottom"/>
          </w:tcPr>
          <w:p>
            <w:pPr>
              <w:spacing w:after="0"/>
              <w:rPr>
                <w:sz w:val="24"/>
                <w:szCs w:val="24"/>
                <w:color w:val="auto"/>
              </w:rPr>
            </w:pPr>
          </w:p>
        </w:tc>
        <w:tc>
          <w:tcPr>
            <w:tcW w:w="10640" w:type="dxa"/>
            <w:vAlign w:val="bottom"/>
            <w:gridSpan w:val="7"/>
          </w:tcPr>
          <w:p>
            <w:pPr>
              <w:jc w:val="center"/>
              <w:ind w:right="543"/>
              <w:spacing w:after="0"/>
              <w:rPr>
                <w:sz w:val="20"/>
                <w:szCs w:val="20"/>
                <w:color w:val="auto"/>
              </w:rPr>
            </w:pPr>
            <w:r>
              <w:rPr>
                <w:rFonts w:ascii="Times New Roman" w:cs="Times New Roman" w:eastAsia="Times New Roman" w:hAnsi="Times New Roman"/>
                <w:sz w:val="37"/>
                <w:szCs w:val="37"/>
                <w:color w:val="auto"/>
                <w:w w:val="99"/>
              </w:rPr>
              <w:t>Cartesian Therapeutics, Inc.</w:t>
            </w:r>
          </w:p>
        </w:tc>
        <w:tc>
          <w:tcPr>
            <w:tcW w:w="0" w:type="dxa"/>
            <w:vAlign w:val="bottom"/>
          </w:tcPr>
          <w:p>
            <w:pPr>
              <w:spacing w:after="0"/>
              <w:rPr>
                <w:sz w:val="1"/>
                <w:szCs w:val="1"/>
                <w:color w:val="auto"/>
              </w:rPr>
            </w:pPr>
          </w:p>
        </w:tc>
      </w:tr>
      <w:tr>
        <w:trPr>
          <w:trHeight w:val="30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4"/>
                <w:szCs w:val="24"/>
                <w:color w:val="auto"/>
              </w:rPr>
            </w:pPr>
          </w:p>
        </w:tc>
        <w:tc>
          <w:tcPr>
            <w:tcW w:w="3300" w:type="dxa"/>
            <w:vAlign w:val="bottom"/>
          </w:tcPr>
          <w:p>
            <w:pPr>
              <w:jc w:val="center"/>
              <w:ind w:left="709"/>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Pr>
          <w:p>
            <w:pPr>
              <w:jc w:val="right"/>
              <w:ind w:right="2243"/>
              <w:spacing w:after="0"/>
              <w:rPr>
                <w:sz w:val="20"/>
                <w:szCs w:val="20"/>
                <w:color w:val="auto"/>
              </w:rPr>
            </w:pPr>
            <w:r>
              <w:rPr>
                <w:rFonts w:ascii="Times New Roman" w:cs="Times New Roman" w:eastAsia="Times New Roman" w:hAnsi="Times New Roman"/>
                <w:sz w:val="15"/>
                <w:szCs w:val="15"/>
                <w:b w:val="1"/>
                <w:bCs w:val="1"/>
                <w:color w:val="auto"/>
              </w:rPr>
              <w:t>26-1622110</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3300" w:type="dxa"/>
            <w:vAlign w:val="bottom"/>
          </w:tcPr>
          <w:p>
            <w:pPr>
              <w:jc w:val="center"/>
              <w:ind w:left="709"/>
              <w:spacing w:after="0" w:line="161" w:lineRule="exact"/>
              <w:rPr>
                <w:sz w:val="20"/>
                <w:szCs w:val="20"/>
                <w:color w:val="auto"/>
              </w:rPr>
            </w:pPr>
            <w:r>
              <w:rPr>
                <w:rFonts w:ascii="Times New Roman" w:cs="Times New Roman" w:eastAsia="Times New Roman" w:hAnsi="Times New Roman"/>
                <w:sz w:val="15"/>
                <w:szCs w:val="15"/>
                <w:color w:val="auto"/>
              </w:rPr>
              <w:t>(State or other jurisdiction</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80" w:type="dxa"/>
            <w:vAlign w:val="bottom"/>
          </w:tcPr>
          <w:p>
            <w:pPr>
              <w:jc w:val="center"/>
              <w:ind w:right="1403"/>
              <w:spacing w:after="0" w:line="161" w:lineRule="exact"/>
              <w:rPr>
                <w:sz w:val="20"/>
                <w:szCs w:val="20"/>
                <w:color w:val="auto"/>
              </w:rPr>
            </w:pPr>
            <w:r>
              <w:rPr>
                <w:rFonts w:ascii="Times New Roman" w:cs="Times New Roman" w:eastAsia="Times New Roman" w:hAnsi="Times New Roman"/>
                <w:sz w:val="15"/>
                <w:szCs w:val="15"/>
                <w:color w:val="auto"/>
              </w:rPr>
              <w:t>(I.R.S. Employer Identification No.)</w:t>
            </w: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3300" w:type="dxa"/>
            <w:vAlign w:val="bottom"/>
          </w:tcPr>
          <w:p>
            <w:pPr>
              <w:jc w:val="center"/>
              <w:ind w:left="709"/>
              <w:spacing w:after="0"/>
              <w:rPr>
                <w:sz w:val="20"/>
                <w:szCs w:val="20"/>
                <w:color w:val="auto"/>
              </w:rPr>
            </w:pPr>
            <w:r>
              <w:rPr>
                <w:rFonts w:ascii="Times New Roman" w:cs="Times New Roman" w:eastAsia="Times New Roman" w:hAnsi="Times New Roman"/>
                <w:sz w:val="15"/>
                <w:szCs w:val="15"/>
                <w:color w:val="auto"/>
              </w:rPr>
              <w:t>of incorporation or organization)</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620" w:type="dxa"/>
            <w:vAlign w:val="bottom"/>
          </w:tcPr>
          <w:p>
            <w:pPr>
              <w:spacing w:after="0"/>
              <w:rPr>
                <w:sz w:val="24"/>
                <w:szCs w:val="24"/>
                <w:color w:val="auto"/>
              </w:rPr>
            </w:pPr>
          </w:p>
        </w:tc>
        <w:tc>
          <w:tcPr>
            <w:tcW w:w="6760" w:type="dxa"/>
            <w:vAlign w:val="bottom"/>
            <w:gridSpan w:val="6"/>
          </w:tcPr>
          <w:p>
            <w:pPr>
              <w:jc w:val="center"/>
              <w:ind w:right="2660"/>
              <w:spacing w:after="0"/>
              <w:rPr>
                <w:sz w:val="20"/>
                <w:szCs w:val="20"/>
                <w:color w:val="auto"/>
              </w:rPr>
            </w:pPr>
            <w:r>
              <w:rPr>
                <w:rFonts w:ascii="Times New Roman" w:cs="Times New Roman" w:eastAsia="Times New Roman" w:hAnsi="Times New Roman"/>
                <w:sz w:val="15"/>
                <w:szCs w:val="15"/>
                <w:b w:val="1"/>
                <w:bCs w:val="1"/>
                <w:color w:val="auto"/>
              </w:rPr>
              <w:t>7495 New Horizon Way, Frederick, MD</w:t>
            </w:r>
          </w:p>
        </w:tc>
        <w:tc>
          <w:tcPr>
            <w:tcW w:w="3880" w:type="dxa"/>
            <w:vAlign w:val="bottom"/>
          </w:tcPr>
          <w:p>
            <w:pPr>
              <w:jc w:val="right"/>
              <w:ind w:right="2403"/>
              <w:spacing w:after="0"/>
              <w:rPr>
                <w:sz w:val="20"/>
                <w:szCs w:val="20"/>
                <w:color w:val="auto"/>
              </w:rPr>
            </w:pPr>
            <w:r>
              <w:rPr>
                <w:rFonts w:ascii="Times New Roman" w:cs="Times New Roman" w:eastAsia="Times New Roman" w:hAnsi="Times New Roman"/>
                <w:sz w:val="15"/>
                <w:szCs w:val="15"/>
                <w:b w:val="1"/>
                <w:bCs w:val="1"/>
                <w:color w:val="auto"/>
              </w:rPr>
              <w:t>21703</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3300" w:type="dxa"/>
            <w:vAlign w:val="bottom"/>
          </w:tcPr>
          <w:p>
            <w:pPr>
              <w:jc w:val="center"/>
              <w:ind w:left="689"/>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80" w:type="dxa"/>
            <w:vAlign w:val="bottom"/>
          </w:tcPr>
          <w:p>
            <w:pPr>
              <w:jc w:val="center"/>
              <w:ind w:right="1403"/>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424"/>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80" w:type="dxa"/>
            <w:vAlign w:val="bottom"/>
            <w:gridSpan w:val="4"/>
          </w:tcPr>
          <w:p>
            <w:pPr>
              <w:jc w:val="center"/>
              <w:ind w:left="543"/>
              <w:spacing w:after="0"/>
              <w:rPr>
                <w:sz w:val="20"/>
                <w:szCs w:val="20"/>
                <w:color w:val="auto"/>
              </w:rPr>
            </w:pPr>
            <w:r>
              <w:rPr>
                <w:rFonts w:ascii="Times New Roman" w:cs="Times New Roman" w:eastAsia="Times New Roman" w:hAnsi="Times New Roman"/>
                <w:sz w:val="15"/>
                <w:szCs w:val="15"/>
                <w:b w:val="1"/>
                <w:bCs w:val="1"/>
                <w:color w:val="auto"/>
              </w:rPr>
              <w:t>(301) 348-8698</w:t>
            </w: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3"/>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20" w:type="dxa"/>
            <w:vAlign w:val="bottom"/>
            <w:tcBorders>
              <w:left w:val="single" w:sz="8" w:color="auto"/>
              <w:bottom w:val="single" w:sz="8" w:color="auto"/>
            </w:tcBorders>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620" w:type="dxa"/>
            <w:vAlign w:val="bottom"/>
            <w:tcBorders>
              <w:bottom w:val="single" w:sz="8" w:color="auto"/>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680" w:type="dxa"/>
            <w:vAlign w:val="bottom"/>
            <w:tcBorders>
              <w:bottom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jc w:val="center"/>
              <w:ind w:right="643"/>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188"/>
        </w:trPr>
        <w:tc>
          <w:tcPr>
            <w:tcW w:w="620" w:type="dxa"/>
            <w:vAlign w:val="bottom"/>
            <w:tcBorders>
              <w:left w:val="single" w:sz="8" w:color="auto"/>
              <w:bottom w:val="single" w:sz="8" w:color="auto"/>
            </w:tcBorders>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Common Stock, $0.0001 par value per share</w:t>
            </w:r>
          </w:p>
        </w:tc>
        <w:tc>
          <w:tcPr>
            <w:tcW w:w="6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RNAC</w:t>
            </w:r>
          </w:p>
        </w:tc>
        <w:tc>
          <w:tcPr>
            <w:tcW w:w="680" w:type="dxa"/>
            <w:vAlign w:val="bottom"/>
            <w:tcBorders>
              <w:bottom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jc w:val="center"/>
              <w:ind w:right="643"/>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198120</wp:posOffset>
            </wp:positionH>
            <wp:positionV relativeFrom="page">
              <wp:posOffset>594360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565150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45020" cy="271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271145"/>
                    </a:xfrm>
                    <a:prstGeom prst="rect">
                      <a:avLst/>
                    </a:prstGeom>
                    <a:noFill/>
                  </pic:spPr>
                </pic:pic>
              </a:graphicData>
            </a:graphic>
          </wp:anchor>
        </w:drawing>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Contingent Value Rights</w:t>
      </w:r>
    </w:p>
    <w:p>
      <w:pPr>
        <w:spacing w:after="0" w:line="231" w:lineRule="exact"/>
        <w:rPr>
          <w:sz w:val="24"/>
          <w:szCs w:val="24"/>
          <w:color w:val="auto"/>
        </w:rPr>
      </w:pPr>
    </w:p>
    <w:p>
      <w:pPr>
        <w:jc w:val="both"/>
        <w:ind w:right="20" w:firstLine="277"/>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jc w:val="both"/>
        <w:ind w:right="20" w:firstLine="277"/>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1300"/>
              <w:spacing w:after="0" w:line="141" w:lineRule="exact"/>
              <w:rPr>
                <w:sz w:val="20"/>
                <w:szCs w:val="20"/>
                <w:color w:val="auto"/>
              </w:rPr>
            </w:pPr>
            <w:r>
              <w:rPr>
                <w:rFonts w:ascii="MS PGothic" w:cs="MS PGothic" w:eastAsia="MS PGothic" w:hAnsi="MS PGothic"/>
                <w:sz w:val="14"/>
                <w:szCs w:val="14"/>
                <w:color w:val="auto"/>
              </w:rPr>
              <w:t>☐</w:t>
            </w:r>
          </w:p>
        </w:tc>
        <w:tc>
          <w:tcPr>
            <w:tcW w:w="43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30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1300"/>
              <w:spacing w:after="0" w:line="141" w:lineRule="exact"/>
              <w:rPr>
                <w:sz w:val="20"/>
                <w:szCs w:val="20"/>
                <w:color w:val="auto"/>
              </w:rPr>
            </w:pPr>
            <w:r>
              <w:rPr>
                <w:rFonts w:ascii="MS PGothic" w:cs="MS PGothic" w:eastAsia="MS PGothic" w:hAnsi="MS PGothic"/>
                <w:sz w:val="14"/>
                <w:szCs w:val="14"/>
                <w:color w:val="auto"/>
              </w:rPr>
              <w:t>☑</w:t>
            </w:r>
          </w:p>
        </w:tc>
        <w:tc>
          <w:tcPr>
            <w:tcW w:w="43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0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2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0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9" w:lineRule="exact"/>
        <w:rPr>
          <w:sz w:val="24"/>
          <w:szCs w:val="24"/>
          <w:color w:val="auto"/>
        </w:rPr>
      </w:pPr>
    </w:p>
    <w:p>
      <w:pPr>
        <w:ind w:firstLine="277"/>
        <w:spacing w:after="0" w:line="20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5" w:lineRule="exact"/>
        <w:rPr>
          <w:sz w:val="24"/>
          <w:szCs w:val="24"/>
          <w:color w:val="auto"/>
        </w:rPr>
      </w:pPr>
    </w:p>
    <w:p>
      <w:pPr>
        <w:ind w:left="260" w:right="3180"/>
        <w:spacing w:after="0" w:line="27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October 31, 2025, the registrant had 26,003,606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102870</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34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8"/>
          </w:tcPr>
          <w:p>
            <w:pPr>
              <w:jc w:val="center"/>
              <w:ind w:right="40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23"/>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60" w:type="dxa"/>
            <w:vAlign w:val="bottom"/>
            <w:gridSpan w:val="10"/>
          </w:tcPr>
          <w:p>
            <w:pPr>
              <w:jc w:val="center"/>
              <w:ind w:right="3700"/>
              <w:spacing w:after="0"/>
              <w:rPr>
                <w:sz w:val="20"/>
                <w:szCs w:val="20"/>
                <w:color w:val="auto"/>
              </w:rPr>
            </w:pPr>
            <w:r>
              <w:rPr>
                <w:rFonts w:ascii="Times New Roman" w:cs="Times New Roman" w:eastAsia="Times New Roman" w:hAnsi="Times New Roman"/>
                <w:sz w:val="15"/>
                <w:szCs w:val="15"/>
                <w:color w:val="0000FF"/>
              </w:rPr>
              <w:t>PART I. FINANCIAL INFORMATION</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1.</w:t>
            </w:r>
          </w:p>
        </w:tc>
        <w:tc>
          <w:tcPr>
            <w:tcW w:w="336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700" w:type="dxa"/>
            <w:vAlign w:val="bottom"/>
            <w:gridSpan w:val="4"/>
          </w:tcPr>
          <w:p>
            <w:pPr>
              <w:spacing w:after="0"/>
              <w:rPr>
                <w:sz w:val="24"/>
                <w:szCs w:val="24"/>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0000FF"/>
              </w:rPr>
              <w:t>5</w:t>
            </w: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Consolidated Balance Sheets as of September 30, 2025 and December 31, 2024</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0000FF"/>
              </w:rPr>
              <w:t>5</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4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Consolidated Statements of Operations and Comprehensive Loss for the Three and Nine Months ended September 30, 2025 and 2024</w:t>
            </w:r>
          </w:p>
        </w:tc>
        <w:tc>
          <w:tcPr>
            <w:tcW w:w="1280" w:type="dxa"/>
            <w:vAlign w:val="bottom"/>
            <w:gridSpan w:val="2"/>
          </w:tcPr>
          <w:p>
            <w:pPr>
              <w:spacing w:after="0"/>
              <w:rPr>
                <w:sz w:val="15"/>
                <w:szCs w:val="15"/>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0000FF"/>
              </w:rPr>
              <w:t>6</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Consolidated Statements of Changes in Convertible Preferred Stock and Stockholders’ Deficit for the Three Months ended March 31, June 30, and</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0000FF"/>
              </w:rPr>
              <w:t>7</w:t>
            </w:r>
          </w:p>
        </w:tc>
      </w:tr>
      <w:tr>
        <w:trPr>
          <w:trHeight w:val="130"/>
        </w:trPr>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40" w:type="dxa"/>
            <w:vAlign w:val="bottom"/>
            <w:tcBorders>
              <w:top w:val="single" w:sz="8" w:color="0000FF"/>
            </w:tcBorders>
            <w:gridSpan w:val="18"/>
          </w:tcPr>
          <w:p>
            <w:pPr>
              <w:spacing w:after="0" w:line="130" w:lineRule="exact"/>
              <w:rPr>
                <w:sz w:val="20"/>
                <w:szCs w:val="20"/>
                <w:color w:val="auto"/>
              </w:rPr>
            </w:pPr>
            <w:r>
              <w:rPr>
                <w:rFonts w:ascii="Times New Roman" w:cs="Times New Roman" w:eastAsia="Times New Roman" w:hAnsi="Times New Roman"/>
                <w:sz w:val="15"/>
                <w:szCs w:val="15"/>
                <w:color w:val="0000FF"/>
              </w:rPr>
              <w:t>September 30, 2025 and 2024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88"/>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4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Consolidated Statements of Cash Flows for the Nine Months ended September 30, 2025 and 2024</w:t>
            </w:r>
          </w:p>
        </w:tc>
        <w:tc>
          <w:tcPr>
            <w:tcW w:w="3480" w:type="dxa"/>
            <w:vAlign w:val="bottom"/>
            <w:gridSpan w:val="3"/>
          </w:tcPr>
          <w:p>
            <w:pPr>
              <w:spacing w:after="0"/>
              <w:rPr>
                <w:sz w:val="16"/>
                <w:szCs w:val="16"/>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0000FF"/>
              </w:rPr>
              <w:t>9</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5"/>
                <w:szCs w:val="15"/>
                <w:color w:val="0000FF"/>
              </w:rPr>
              <w:t>Notes to Consolidated Financial Statements</w:t>
            </w:r>
          </w:p>
        </w:tc>
        <w:tc>
          <w:tcPr>
            <w:tcW w:w="3340" w:type="dxa"/>
            <w:vAlign w:val="bottom"/>
            <w:gridSpan w:val="8"/>
          </w:tcPr>
          <w:p>
            <w:pPr>
              <w:spacing w:after="0"/>
              <w:rPr>
                <w:sz w:val="15"/>
                <w:szCs w:val="15"/>
                <w:color w:val="auto"/>
              </w:rPr>
            </w:pPr>
          </w:p>
        </w:tc>
        <w:tc>
          <w:tcPr>
            <w:tcW w:w="34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5"/>
                <w:szCs w:val="15"/>
                <w:color w:val="0000FF"/>
                <w:w w:val="93"/>
              </w:rPr>
              <w:t>10</w:t>
            </w:r>
          </w:p>
        </w:tc>
        <w:tc>
          <w:tcPr>
            <w:tcW w:w="120" w:type="dxa"/>
            <w:vAlign w:val="bottom"/>
          </w:tcPr>
          <w:p>
            <w:pPr>
              <w:spacing w:after="0"/>
              <w:rPr>
                <w:sz w:val="15"/>
                <w:szCs w:val="15"/>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31</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3.</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41</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41</w:t>
            </w:r>
          </w:p>
        </w:tc>
        <w:tc>
          <w:tcPr>
            <w:tcW w:w="120" w:type="dxa"/>
            <w:vAlign w:val="bottom"/>
          </w:tcPr>
          <w:p>
            <w:pPr>
              <w:spacing w:after="0"/>
              <w:rPr>
                <w:sz w:val="15"/>
                <w:szCs w:val="15"/>
                <w:color w:val="auto"/>
              </w:rPr>
            </w:pPr>
          </w:p>
        </w:tc>
      </w:tr>
      <w:tr>
        <w:trPr>
          <w:trHeight w:val="407"/>
        </w:trPr>
        <w:tc>
          <w:tcPr>
            <w:tcW w:w="4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60" w:type="dxa"/>
            <w:vAlign w:val="bottom"/>
            <w:gridSpan w:val="10"/>
          </w:tcPr>
          <w:p>
            <w:pPr>
              <w:jc w:val="center"/>
              <w:ind w:right="3680"/>
              <w:spacing w:after="0"/>
              <w:rPr>
                <w:sz w:val="20"/>
                <w:szCs w:val="20"/>
                <w:color w:val="auto"/>
              </w:rPr>
            </w:pPr>
            <w:r>
              <w:rPr>
                <w:rFonts w:ascii="Times New Roman" w:cs="Times New Roman" w:eastAsia="Times New Roman" w:hAnsi="Times New Roman"/>
                <w:sz w:val="15"/>
                <w:szCs w:val="15"/>
                <w:color w:val="0000FF"/>
              </w:rPr>
              <w:t>PART II. OTHER INFORMATION</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1.</w:t>
            </w:r>
          </w:p>
        </w:tc>
        <w:tc>
          <w:tcPr>
            <w:tcW w:w="350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Legal Proceedings</w:t>
            </w:r>
          </w:p>
        </w:tc>
        <w:tc>
          <w:tcPr>
            <w:tcW w:w="2200" w:type="dxa"/>
            <w:vAlign w:val="bottom"/>
            <w:tcBorders>
              <w:top w:val="single" w:sz="8" w:color="0000FF"/>
            </w:tcBorders>
            <w:gridSpan w:val="4"/>
          </w:tcPr>
          <w:p>
            <w:pPr>
              <w:spacing w:after="0"/>
              <w:rPr>
                <w:sz w:val="24"/>
                <w:szCs w:val="24"/>
                <w:color w:val="auto"/>
              </w:rPr>
            </w:pPr>
          </w:p>
        </w:tc>
        <w:tc>
          <w:tcPr>
            <w:tcW w:w="3820" w:type="dxa"/>
            <w:vAlign w:val="bottom"/>
            <w:gridSpan w:val="5"/>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Item 1A.</w:t>
            </w:r>
          </w:p>
        </w:tc>
        <w:tc>
          <w:tcPr>
            <w:tcW w:w="380" w:type="dxa"/>
            <w:vAlign w:val="bottom"/>
          </w:tcPr>
          <w:p>
            <w:pPr>
              <w:spacing w:after="0"/>
              <w:rPr>
                <w:sz w:val="15"/>
                <w:szCs w:val="15"/>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Risk Factors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15"/>
                <w:szCs w:val="15"/>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Item 2.</w:t>
            </w:r>
          </w:p>
        </w:tc>
        <w:tc>
          <w:tcPr>
            <w:tcW w:w="380" w:type="dxa"/>
            <w:vAlign w:val="bottom"/>
          </w:tcPr>
          <w:p>
            <w:pPr>
              <w:spacing w:after="0"/>
              <w:rPr>
                <w:sz w:val="15"/>
                <w:szCs w:val="15"/>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4"/>
            <w:shd w:val="clear" w:color="auto" w:fill="0000FF"/>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3.</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Defaults Upon Senior Securities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Mine Safety Disclosures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5.</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42</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6.</w:t>
            </w:r>
          </w:p>
        </w:tc>
        <w:tc>
          <w:tcPr>
            <w:tcW w:w="952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Exhibits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0000FF"/>
              </w:rPr>
              <w:t>43</w:t>
            </w:r>
          </w:p>
        </w:tc>
        <w:tc>
          <w:tcPr>
            <w:tcW w:w="12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8860" w:type="dxa"/>
            <w:vAlign w:val="bottom"/>
            <w:gridSpan w:val="17"/>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649"/>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12"/>
          </w:tcPr>
          <w:p>
            <w:pPr>
              <w:ind w:left="4740"/>
              <w:spacing w:after="0"/>
              <w:rPr>
                <w:sz w:val="20"/>
                <w:szCs w:val="20"/>
                <w:color w:val="auto"/>
              </w:rPr>
            </w:pPr>
            <w:r>
              <w:rPr>
                <w:rFonts w:ascii="Times New Roman" w:cs="Times New Roman" w:eastAsia="Times New Roman" w:hAnsi="Times New Roman"/>
                <w:sz w:val="15"/>
                <w:szCs w:val="15"/>
                <w:color w:val="auto"/>
              </w:rPr>
              <w:t>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220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48" w:right="31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5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0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08" w:lineRule="exact"/>
        <w:rPr>
          <w:sz w:val="20"/>
          <w:szCs w:val="20"/>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future payouts under the contingent value right, or CVR, issued to our holders of record as of the close of business on December 4, 2023;</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the expected benefits or opportunities and related timing with respect to the Merger (as defined below) or to monetize any of our legacy assets;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results of operations and financial position, business strategy, and the length of time that we believe our existing cash resources will fund our operations;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market size and our potential growth opportunities;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preclinical and clinical development activities;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on third-parties, including contract research organizations, or CROs, in the conduct of our preclinical studies and clinical trials;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and safety profile of our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therapeutic benefits and economic value of our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results of preclinical studies and clinical trials;</w:t>
      </w:r>
    </w:p>
    <w:p>
      <w:pPr>
        <w:spacing w:after="0" w:line="150" w:lineRule="exact"/>
        <w:rPr>
          <w:rFonts w:ascii="Times New Roman" w:cs="Times New Roman" w:eastAsia="Times New Roman" w:hAnsi="Times New Roman"/>
          <w:sz w:val="15"/>
          <w:szCs w:val="15"/>
          <w:color w:val="auto"/>
        </w:rPr>
      </w:pPr>
    </w:p>
    <w:p>
      <w:pPr>
        <w:ind w:left="540" w:right="20" w:hanging="271"/>
        <w:spacing w:after="0" w:line="266" w:lineRule="auto"/>
        <w:tabs>
          <w:tab w:leader="none" w:pos="536"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impact of macroeconomic conditions, including from inflation, changes in interest rates, volatile market conditions, current or potential bank failures, and tariffs;</w:t>
      </w:r>
    </w:p>
    <w:p>
      <w:pPr>
        <w:spacing w:after="0" w:line="316" w:lineRule="exact"/>
        <w:rPr>
          <w:rFonts w:ascii="Times New Roman" w:cs="Times New Roman" w:eastAsia="Times New Roman" w:hAnsi="Times New Roman"/>
          <w:sz w:val="15"/>
          <w:szCs w:val="15"/>
          <w:color w:val="auto"/>
        </w:rPr>
      </w:pPr>
    </w:p>
    <w:p>
      <w:pPr>
        <w:ind w:left="540" w:hanging="271"/>
        <w:spacing w:after="0" w:line="266" w:lineRule="auto"/>
        <w:tabs>
          <w:tab w:leader="none" w:pos="536"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global events, including the ongoing conflicts between Russia and Ukraine and in the Middle East and geopolitical tensions in and with China, on our operations;</w:t>
      </w:r>
    </w:p>
    <w:p>
      <w:pPr>
        <w:spacing w:after="0" w:line="31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and timing of potential regulatory designations, approvals and commercialization of our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prevent or minimize the effects of litigation and other contingencies;</w:t>
      </w:r>
    </w:p>
    <w:p>
      <w:pPr>
        <w:spacing w:after="0" w:line="150" w:lineRule="exact"/>
        <w:rPr>
          <w:rFonts w:ascii="Times New Roman" w:cs="Times New Roman" w:eastAsia="Times New Roman" w:hAnsi="Times New Roman"/>
          <w:sz w:val="15"/>
          <w:szCs w:val="15"/>
          <w:color w:val="auto"/>
        </w:rPr>
      </w:pPr>
    </w:p>
    <w:p>
      <w:pPr>
        <w:ind w:left="540" w:hanging="271"/>
        <w:spacing w:after="0" w:line="266" w:lineRule="auto"/>
        <w:tabs>
          <w:tab w:leader="none" w:pos="536"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status as a preclinical and development-stage company and our expectation to incur losses in the future, and the possibility that we never achieve or maintain profitability;</w:t>
      </w:r>
    </w:p>
    <w:p>
      <w:pPr>
        <w:spacing w:after="0" w:line="31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with respect to our ability to access future capital;</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maximize the value of our pipeline of product candidates;</w:t>
      </w:r>
    </w:p>
    <w:p>
      <w:pPr>
        <w:spacing w:after="0" w:line="3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3" w:right="319" w:bottom="1440" w:gutter="0" w:footer="0" w:header="0"/>
        </w:sectPr>
      </w:pPr>
    </w:p>
    <w:bookmarkStart w:id="3" w:name="page4"/>
    <w:bookmarkEnd w:id="3"/>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unproven approach to therapeutic intervention;</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enroll patients in clinical trials, timely and successfully complete those trials and receive necessary regulatory approvals;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grow our manufacturing capabilities and resources;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manufacture our product candidates, which in some cases are manufactured on a patient-by-patient basis;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access manufacturing facilities and to receive or manufacture sufficient quantities of our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existing or future collaborations or licenses and to seek new collaborations, licenses or partnerships;</w:t>
      </w:r>
    </w:p>
    <w:p>
      <w:pPr>
        <w:spacing w:after="0" w:line="150" w:lineRule="exact"/>
        <w:rPr>
          <w:rFonts w:ascii="Times New Roman" w:cs="Times New Roman" w:eastAsia="Times New Roman" w:hAnsi="Times New Roman"/>
          <w:sz w:val="15"/>
          <w:szCs w:val="15"/>
          <w:color w:val="auto"/>
        </w:rPr>
      </w:pPr>
    </w:p>
    <w:p>
      <w:pPr>
        <w:ind w:left="540" w:right="20" w:hanging="271"/>
        <w:spacing w:after="0" w:line="266" w:lineRule="auto"/>
        <w:tabs>
          <w:tab w:leader="none" w:pos="536"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pandemics or similar events on our operations, the continuity of our business, including our preclinical studies and clinical trials, and general economic conditions;</w:t>
      </w:r>
    </w:p>
    <w:p>
      <w:pPr>
        <w:spacing w:after="0" w:line="31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and enforce our intellectual property rights;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state, and foreign regulatory requirements, including U.S. Food and Drug Administration, or FDA, regulation of our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retain key executives and retain qualified personnel; and</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impact of government regulation and policy changes.</w:t>
      </w:r>
    </w:p>
    <w:p>
      <w:pPr>
        <w:spacing w:after="0" w:line="15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Moreover, we operate in an evolving environment. New risks and uncertainties may emerge from time to time, and it is not possible for management to predict all risk and uncertainties.</w:t>
      </w:r>
    </w:p>
    <w:p>
      <w:pPr>
        <w:spacing w:after="0" w:line="8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810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1"/>
        </w:trPr>
        <w:tc>
          <w:tcPr>
            <w:tcW w:w="2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740" w:type="dxa"/>
            <w:vAlign w:val="bottom"/>
          </w:tcPr>
          <w:p>
            <w:pPr>
              <w:jc w:val="center"/>
              <w:ind w:left="2003"/>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100" w:type="dxa"/>
            <w:vAlign w:val="bottom"/>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Item 1. Financial Statements (unaudited)</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740" w:type="dxa"/>
            <w:vAlign w:val="bottom"/>
          </w:tcPr>
          <w:p>
            <w:pPr>
              <w:jc w:val="center"/>
              <w:ind w:left="1983"/>
              <w:spacing w:after="0"/>
              <w:rPr>
                <w:sz w:val="20"/>
                <w:szCs w:val="20"/>
                <w:color w:val="auto"/>
              </w:rPr>
            </w:pPr>
            <w:r>
              <w:rPr>
                <w:rFonts w:ascii="Times New Roman" w:cs="Times New Roman" w:eastAsia="Times New Roman" w:hAnsi="Times New Roman"/>
                <w:sz w:val="15"/>
                <w:szCs w:val="15"/>
                <w:b w:val="1"/>
                <w:bCs w:val="1"/>
                <w:color w:val="auto"/>
              </w:rPr>
              <w:t>Cartesian Therapeutics, Inc. and Subsidiaries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740" w:type="dxa"/>
            <w:vAlign w:val="bottom"/>
          </w:tcPr>
          <w:p>
            <w:pPr>
              <w:jc w:val="center"/>
              <w:ind w:left="1983"/>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740" w:type="dxa"/>
            <w:vAlign w:val="bottom"/>
          </w:tcPr>
          <w:p>
            <w:pPr>
              <w:jc w:val="center"/>
              <w:ind w:left="2003"/>
              <w:spacing w:after="0"/>
              <w:rPr>
                <w:sz w:val="20"/>
                <w:szCs w:val="20"/>
                <w:color w:val="auto"/>
              </w:rPr>
            </w:pPr>
            <w:r>
              <w:rPr>
                <w:rFonts w:ascii="Times New Roman" w:cs="Times New Roman" w:eastAsia="Times New Roman" w:hAnsi="Times New Roman"/>
                <w:sz w:val="15"/>
                <w:szCs w:val="15"/>
                <w:b w:val="1"/>
                <w:bCs w:val="1"/>
                <w:color w:val="auto"/>
              </w:rPr>
              <w:t>(Amounts in thousands, except share data and par value)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8"/>
                <w:szCs w:val="18"/>
                <w:color w:val="auto"/>
              </w:rPr>
            </w:pPr>
          </w:p>
        </w:tc>
        <w:tc>
          <w:tcPr>
            <w:tcW w:w="13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2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6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88"/>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212,610</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0" w:type="dxa"/>
            <w:vAlign w:val="bottom"/>
          </w:tcPr>
          <w:p>
            <w:pPr>
              <w:spacing w:after="0"/>
              <w:rPr>
                <w:sz w:val="1"/>
                <w:szCs w:val="1"/>
                <w:color w:val="auto"/>
              </w:rPr>
            </w:pPr>
          </w:p>
        </w:tc>
      </w:tr>
      <w:tr>
        <w:trPr>
          <w:trHeight w:val="188"/>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147,260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216,626</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9,912</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 net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5,535</w:t>
            </w: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In-process research and development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150,600</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48,163</w:t>
            </w: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Long-term restricted cash</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Long-term prepaid expenses and other assets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435,023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2,225</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12,076</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Lease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Contingent value right liability</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7,761</w:t>
            </w:r>
          </w:p>
        </w:tc>
        <w:tc>
          <w:tcPr>
            <w:tcW w:w="0" w:type="dxa"/>
            <w:vAlign w:val="bottom"/>
          </w:tcPr>
          <w:p>
            <w:pPr>
              <w:spacing w:after="0"/>
              <w:rPr>
                <w:sz w:val="1"/>
                <w:szCs w:val="1"/>
                <w:color w:val="auto"/>
              </w:rPr>
            </w:pPr>
          </w:p>
        </w:tc>
      </w:tr>
      <w:tr>
        <w:trPr>
          <w:trHeight w:val="188"/>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13,803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22,976</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11,133</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w:t>
            </w: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Contingent value right liability, net of current portion</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387,739</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16,141</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408,519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441,825</w:t>
            </w:r>
          </w:p>
        </w:tc>
        <w:tc>
          <w:tcPr>
            <w:tcW w:w="0" w:type="dxa"/>
            <w:vAlign w:val="bottom"/>
          </w:tcPr>
          <w:p>
            <w:pPr>
              <w:spacing w:after="0"/>
              <w:rPr>
                <w:sz w:val="1"/>
                <w:szCs w:val="1"/>
                <w:color w:val="auto"/>
              </w:rPr>
            </w:pPr>
          </w:p>
        </w:tc>
      </w:tr>
      <w:tr>
        <w:trPr>
          <w:trHeight w:val="17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17)</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Stockholders’ deficit: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1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Series A Preferred Stock, $0.0001 par value; 134,904.563 shares authorized as of September 30, 2025 and December 31, 2024;</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120,790.402 shares issued and outstanding as of September 30, 2025 and December 31, 2024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100" w:type="dxa"/>
            <w:vAlign w:val="bottom"/>
            <w:gridSpan w:val="3"/>
          </w:tcPr>
          <w:p>
            <w:pPr>
              <w:spacing w:after="0" w:line="150" w:lineRule="exact"/>
              <w:rPr>
                <w:sz w:val="20"/>
                <w:szCs w:val="20"/>
                <w:color w:val="auto"/>
              </w:rPr>
            </w:pPr>
            <w:r>
              <w:rPr>
                <w:rFonts w:ascii="Times New Roman" w:cs="Times New Roman" w:eastAsia="Times New Roman" w:hAnsi="Times New Roman"/>
                <w:sz w:val="15"/>
                <w:szCs w:val="15"/>
                <w:color w:val="auto"/>
              </w:rPr>
              <w:t>Series B Preferred Stock, $0.0001 par value; 437,927 shares authorized as of September 30, 2025 and December 31, 2024;</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437,927 shares issued and outstanding as of September 30, 2025 and December 31, 2024</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100" w:type="dxa"/>
            <w:vAlign w:val="bottom"/>
            <w:gridSpan w:val="3"/>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Preferred stock, $0.0001 par value; 9,427,168.437 shares authorized as of September 30, 2025 and December 31, 2024; no shares</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issued and outstanding as of September 30, 2025 and December 31, 2024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100" w:type="dxa"/>
            <w:vAlign w:val="bottom"/>
            <w:gridSpan w:val="3"/>
          </w:tcPr>
          <w:p>
            <w:pPr>
              <w:spacing w:after="0" w:line="150" w:lineRule="exact"/>
              <w:rPr>
                <w:sz w:val="20"/>
                <w:szCs w:val="20"/>
                <w:color w:val="auto"/>
              </w:rPr>
            </w:pPr>
            <w:r>
              <w:rPr>
                <w:rFonts w:ascii="Times New Roman" w:cs="Times New Roman" w:eastAsia="Times New Roman" w:hAnsi="Times New Roman"/>
                <w:sz w:val="15"/>
                <w:szCs w:val="15"/>
                <w:color w:val="auto"/>
              </w:rPr>
              <w:t>Common stock, $0.0001 par value; 350,000,000 shares authorized as of September 30, 2025 and December 31, 2024; 26,003,606</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and 25,767,369 shares issued and outstanding as of September 30, 2025 and December 31, 2024, respectively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698,537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689,887</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(729,797)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(692,071)</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(4,621)</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(35,844)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stockholders’ deficit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435,023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consolidated financial statements.</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424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2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3860" w:type="dxa"/>
            <w:vAlign w:val="bottom"/>
            <w:gridSpan w:val="7"/>
          </w:tcPr>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Cartesian Therapeutics, Inc. and Subsidiaries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740" w:type="dxa"/>
            <w:vAlign w:val="bottom"/>
            <w:gridSpan w:val="8"/>
          </w:tcPr>
          <w:p>
            <w:pPr>
              <w:jc w:val="center"/>
              <w:ind w:left="1983"/>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740" w:type="dxa"/>
            <w:vAlign w:val="bottom"/>
            <w:gridSpan w:val="8"/>
          </w:tcPr>
          <w:p>
            <w:pPr>
              <w:ind w:left="2400"/>
              <w:spacing w:after="0"/>
              <w:rPr>
                <w:sz w:val="20"/>
                <w:szCs w:val="20"/>
                <w:color w:val="auto"/>
              </w:rPr>
            </w:pPr>
            <w:r>
              <w:rPr>
                <w:rFonts w:ascii="Times New Roman" w:cs="Times New Roman" w:eastAsia="Times New Roman" w:hAnsi="Times New Roman"/>
                <w:sz w:val="15"/>
                <w:szCs w:val="15"/>
                <w:b w:val="1"/>
                <w:bCs w:val="1"/>
                <w:color w:val="auto"/>
              </w:rPr>
              <w:t>(Amounts in thousands, except share and per share data)</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w w:val="93"/>
              </w:rPr>
              <w:t>2024</w:t>
            </w:r>
          </w:p>
        </w:tc>
        <w:tc>
          <w:tcPr>
            <w:tcW w:w="0" w:type="dxa"/>
            <w:vAlign w:val="bottom"/>
          </w:tcPr>
          <w:p>
            <w:pPr>
              <w:spacing w:after="0"/>
              <w:rPr>
                <w:sz w:val="1"/>
                <w:szCs w:val="1"/>
                <w:color w:val="auto"/>
              </w:rPr>
            </w:pPr>
          </w:p>
        </w:tc>
      </w:tr>
      <w:tr>
        <w:trPr>
          <w:trHeight w:val="17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Collaboration and license revenue</w:t>
            </w:r>
          </w:p>
        </w:tc>
        <w:tc>
          <w:tcPr>
            <w:tcW w:w="94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39,111</w:t>
            </w: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6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188"/>
        </w:trPr>
        <w:tc>
          <w:tcPr>
            <w:tcW w:w="4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39,672</w:t>
            </w: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43,345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33,799</w:t>
            </w: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23,271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23,039</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21,518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17,962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66,616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56,838</w:t>
            </w:r>
          </w:p>
        </w:tc>
        <w:tc>
          <w:tcPr>
            <w:tcW w:w="0" w:type="dxa"/>
            <w:vAlign w:val="bottom"/>
          </w:tcPr>
          <w:p>
            <w:pPr>
              <w:spacing w:after="0"/>
              <w:rPr>
                <w:sz w:val="1"/>
                <w:szCs w:val="1"/>
                <w:color w:val="auto"/>
              </w:rPr>
            </w:pPr>
          </w:p>
        </w:tc>
      </w:tr>
      <w:tr>
        <w:trPr>
          <w:trHeight w:val="188"/>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(21,066)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(64,766)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(17,166)</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4,932</w:t>
            </w: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2,803</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(Loss) gain on change in fair value of contingent value right liability</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(51,900)</w:t>
            </w: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change in fair value of forward contract liabilities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(6,890)</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88"/>
        </w:trPr>
        <w:tc>
          <w:tcPr>
            <w:tcW w:w="4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(67,171)</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 income:</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(35,912)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(37,692)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(67,171)</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loss per share allocable to common stockholders:</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Basic and diluted</w:t>
            </w:r>
          </w:p>
        </w:tc>
        <w:tc>
          <w:tcPr>
            <w:tcW w:w="9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5"/>
                <w:szCs w:val="15"/>
                <w:color w:val="auto"/>
              </w:rPr>
              <w:t>Weighted-average common shares outstanding:</w:t>
            </w: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2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Basic and diluted</w:t>
            </w: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26,002,892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21,471,408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25,962,302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14,561,613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consolidated financial statements.</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14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7"/>
        </w:trPr>
        <w:tc>
          <w:tcPr>
            <w:tcW w:w="2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10"/>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Cartesian Therapeutics, Inc. and Subsidiaries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60" w:type="dxa"/>
            <w:vAlign w:val="bottom"/>
            <w:gridSpan w:val="19"/>
          </w:tcPr>
          <w:p>
            <w:pPr>
              <w:jc w:val="center"/>
              <w:ind w:left="863"/>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Deficit</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8"/>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(Amounts in thousands, except share data)</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gridSpan w:val="2"/>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Series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vMerge w:val="restart"/>
          </w:tcPr>
          <w:p>
            <w:pPr>
              <w:spacing w:after="0"/>
              <w:rPr>
                <w:sz w:val="11"/>
                <w:szCs w:val="1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vMerge w:val="restart"/>
          </w:tcPr>
          <w:p>
            <w:pPr>
              <w:spacing w:after="0"/>
              <w:rPr>
                <w:sz w:val="11"/>
                <w:szCs w:val="11"/>
                <w:color w:val="auto"/>
              </w:rPr>
            </w:pPr>
          </w:p>
        </w:tc>
        <w:tc>
          <w:tcPr>
            <w:tcW w:w="138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vMerge w:val="restart"/>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paid-in</w:t>
            </w:r>
          </w:p>
        </w:tc>
        <w:tc>
          <w:tcPr>
            <w:tcW w:w="960" w:type="dxa"/>
            <w:vAlign w:val="bottom"/>
            <w:gridSpan w:val="3"/>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7"/>
                <w:szCs w:val="17"/>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88"/>
        </w:trPr>
        <w:tc>
          <w:tcPr>
            <w:tcW w:w="3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120,790.402</w:t>
            </w: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25,767,369</w:t>
            </w:r>
          </w:p>
        </w:tc>
        <w:tc>
          <w:tcPr>
            <w:tcW w:w="44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689,887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(692,071)</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(4,621)</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(6,802)</w:t>
            </w:r>
          </w:p>
        </w:tc>
        <w:tc>
          <w:tcPr>
            <w:tcW w:w="0" w:type="dxa"/>
            <w:vAlign w:val="bottom"/>
          </w:tcPr>
          <w:p>
            <w:pPr>
              <w:spacing w:after="0"/>
              <w:rPr>
                <w:sz w:val="1"/>
                <w:szCs w:val="1"/>
                <w:color w:val="auto"/>
              </w:rPr>
            </w:pPr>
          </w:p>
        </w:tc>
      </w:tr>
      <w:tr>
        <w:trPr>
          <w:trHeight w:val="150"/>
        </w:trPr>
        <w:tc>
          <w:tcPr>
            <w:tcW w:w="314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55,690</w:t>
            </w:r>
          </w:p>
        </w:tc>
        <w:tc>
          <w:tcPr>
            <w:tcW w:w="4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50"/>
        </w:trPr>
        <w:tc>
          <w:tcPr>
            <w:tcW w:w="3140" w:type="dxa"/>
            <w:vAlign w:val="bottom"/>
            <w:gridSpan w:val="3"/>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Issuance of common stock upon vesting of</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113,042</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2,508</w:t>
            </w:r>
          </w:p>
        </w:tc>
        <w:tc>
          <w:tcPr>
            <w:tcW w:w="0" w:type="dxa"/>
            <w:vAlign w:val="bottom"/>
          </w:tcPr>
          <w:p>
            <w:pPr>
              <w:spacing w:after="0"/>
              <w:rPr>
                <w:sz w:val="1"/>
                <w:szCs w:val="1"/>
                <w:color w:val="auto"/>
              </w:rPr>
            </w:pPr>
          </w:p>
        </w:tc>
      </w:tr>
      <w:tr>
        <w:trPr>
          <w:trHeight w:val="19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(17,710)</w:t>
            </w:r>
          </w:p>
        </w:tc>
        <w:tc>
          <w:tcPr>
            <w:tcW w:w="0" w:type="dxa"/>
            <w:vAlign w:val="bottom"/>
          </w:tcPr>
          <w:p>
            <w:pPr>
              <w:spacing w:after="0"/>
              <w:rPr>
                <w:sz w:val="1"/>
                <w:szCs w:val="1"/>
                <w:color w:val="auto"/>
              </w:rPr>
            </w:pPr>
          </w:p>
        </w:tc>
      </w:tr>
      <w:tr>
        <w:trPr>
          <w:trHeight w:val="190"/>
        </w:trPr>
        <w:tc>
          <w:tcPr>
            <w:tcW w:w="3140" w:type="dxa"/>
            <w:vAlign w:val="bottom"/>
            <w:tcBorders>
              <w:top w:val="single" w:sz="8" w:color="CCEEFF"/>
              <w:bottom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8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120,790.402</w:t>
            </w:r>
          </w:p>
        </w:tc>
        <w:tc>
          <w:tcPr>
            <w:tcW w:w="240" w:type="dxa"/>
            <w:vAlign w:val="bottom"/>
            <w:tcBorders>
              <w:top w:val="single" w:sz="8" w:color="auto"/>
              <w:bottom w:val="single" w:sz="8" w:color="auto"/>
            </w:tcBorders>
            <w:shd w:val="clear" w:color="auto" w:fill="CCEEFF"/>
          </w:tcPr>
          <w:p>
            <w:pPr>
              <w:jc w:val="right"/>
              <w:ind w:right="43"/>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437,927</w:t>
            </w:r>
          </w:p>
        </w:tc>
        <w:tc>
          <w:tcPr>
            <w:tcW w:w="360" w:type="dxa"/>
            <w:vAlign w:val="bottom"/>
            <w:tcBorders>
              <w:top w:val="single" w:sz="8" w:color="auto"/>
              <w:bottom w:val="single" w:sz="8" w:color="auto"/>
            </w:tcBorders>
            <w:shd w:val="clear" w:color="auto" w:fill="CCEEFF"/>
          </w:tcPr>
          <w:p>
            <w:pPr>
              <w:jc w:val="right"/>
              <w:ind w:right="183"/>
              <w:spacing w:after="0" w:line="165"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bottom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25,936,101</w:t>
            </w:r>
          </w:p>
        </w:tc>
        <w:tc>
          <w:tcPr>
            <w:tcW w:w="440" w:type="dxa"/>
            <w:vAlign w:val="bottom"/>
            <w:tcBorders>
              <w:top w:val="single" w:sz="8" w:color="auto"/>
              <w:bottom w:val="single" w:sz="8" w:color="auto"/>
            </w:tcBorders>
            <w:shd w:val="clear" w:color="auto" w:fill="CCEEFF"/>
          </w:tcPr>
          <w:p>
            <w:pPr>
              <w:jc w:val="right"/>
              <w:ind w:right="243"/>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692,578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(709,781)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(4,589)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(21,789)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3"/>
            <w:vMerge w:val="restart"/>
          </w:tcPr>
          <w:p>
            <w:pPr>
              <w:ind w:left="20"/>
              <w:spacing w:after="0" w:line="133"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14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25,690</w:t>
            </w:r>
          </w:p>
        </w:tc>
        <w:tc>
          <w:tcPr>
            <w:tcW w:w="4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50"/>
        </w:trPr>
        <w:tc>
          <w:tcPr>
            <w:tcW w:w="3140" w:type="dxa"/>
            <w:vAlign w:val="bottom"/>
            <w:gridSpan w:val="3"/>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Issuance of common stock upon vesting of</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38,274</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3,279</w:t>
            </w:r>
          </w:p>
        </w:tc>
        <w:tc>
          <w:tcPr>
            <w:tcW w:w="0" w:type="dxa"/>
            <w:vAlign w:val="bottom"/>
          </w:tcPr>
          <w:p>
            <w:pPr>
              <w:spacing w:after="0"/>
              <w:rPr>
                <w:sz w:val="1"/>
                <w:szCs w:val="1"/>
                <w:color w:val="auto"/>
              </w:rPr>
            </w:pPr>
          </w:p>
        </w:tc>
      </w:tr>
      <w:tr>
        <w:trPr>
          <w:trHeight w:val="19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15,886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15,886</w:t>
            </w:r>
          </w:p>
        </w:tc>
        <w:tc>
          <w:tcPr>
            <w:tcW w:w="0" w:type="dxa"/>
            <w:vAlign w:val="bottom"/>
          </w:tcPr>
          <w:p>
            <w:pPr>
              <w:spacing w:after="0"/>
              <w:rPr>
                <w:sz w:val="1"/>
                <w:szCs w:val="1"/>
                <w:color w:val="auto"/>
              </w:rPr>
            </w:pPr>
          </w:p>
        </w:tc>
      </w:tr>
      <w:tr>
        <w:trPr>
          <w:trHeight w:val="190"/>
        </w:trPr>
        <w:tc>
          <w:tcPr>
            <w:tcW w:w="3140" w:type="dxa"/>
            <w:vAlign w:val="bottom"/>
            <w:tcBorders>
              <w:top w:val="single" w:sz="8" w:color="CCEEFF"/>
              <w:bottom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8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120,790.402</w:t>
            </w:r>
          </w:p>
        </w:tc>
        <w:tc>
          <w:tcPr>
            <w:tcW w:w="240" w:type="dxa"/>
            <w:vAlign w:val="bottom"/>
            <w:tcBorders>
              <w:top w:val="single" w:sz="8" w:color="auto"/>
              <w:bottom w:val="single" w:sz="8" w:color="auto"/>
            </w:tcBorders>
            <w:shd w:val="clear" w:color="auto" w:fill="CCEEFF"/>
          </w:tcPr>
          <w:p>
            <w:pPr>
              <w:jc w:val="right"/>
              <w:ind w:right="43"/>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437,927</w:t>
            </w:r>
          </w:p>
        </w:tc>
        <w:tc>
          <w:tcPr>
            <w:tcW w:w="360" w:type="dxa"/>
            <w:vAlign w:val="bottom"/>
            <w:tcBorders>
              <w:top w:val="single" w:sz="8" w:color="auto"/>
              <w:bottom w:val="single" w:sz="8" w:color="auto"/>
            </w:tcBorders>
            <w:shd w:val="clear" w:color="auto" w:fill="CCEEFF"/>
          </w:tcPr>
          <w:p>
            <w:pPr>
              <w:jc w:val="right"/>
              <w:ind w:right="183"/>
              <w:spacing w:after="0" w:line="165"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bottom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26,000,065</w:t>
            </w:r>
          </w:p>
        </w:tc>
        <w:tc>
          <w:tcPr>
            <w:tcW w:w="440" w:type="dxa"/>
            <w:vAlign w:val="bottom"/>
            <w:tcBorders>
              <w:top w:val="single" w:sz="8" w:color="auto"/>
              <w:bottom w:val="single" w:sz="8" w:color="auto"/>
            </w:tcBorders>
            <w:shd w:val="clear" w:color="auto" w:fill="CCEEFF"/>
          </w:tcPr>
          <w:p>
            <w:pPr>
              <w:jc w:val="right"/>
              <w:ind w:right="243"/>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695,942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(693,895)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(4,577)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(2,527)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3"/>
            <w:vMerge w:val="restart"/>
          </w:tcPr>
          <w:p>
            <w:pPr>
              <w:ind w:left="20"/>
              <w:spacing w:after="0" w:line="146"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140" w:type="dxa"/>
            <w:vAlign w:val="bottom"/>
            <w:gridSpan w:val="3"/>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9"/>
                <w:szCs w:val="9"/>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9"/>
                <w:szCs w:val="9"/>
                <w:color w:val="auto"/>
              </w:rPr>
            </w:pPr>
          </w:p>
        </w:tc>
        <w:tc>
          <w:tcPr>
            <w:tcW w:w="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1,564</w:t>
            </w:r>
          </w:p>
        </w:tc>
        <w:tc>
          <w:tcPr>
            <w:tcW w:w="440" w:type="dxa"/>
            <w:vAlign w:val="bottom"/>
          </w:tcPr>
          <w:p>
            <w:pPr>
              <w:spacing w:after="0"/>
              <w:rPr>
                <w:sz w:val="9"/>
                <w:szCs w:val="9"/>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9"/>
                <w:szCs w:val="9"/>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5"/>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options</w:t>
            </w: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140" w:type="dxa"/>
            <w:vAlign w:val="bottom"/>
            <w:gridSpan w:val="3"/>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Issuance of common stock upon vesting of</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0"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1,977</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2,590</w:t>
            </w:r>
          </w:p>
        </w:tc>
        <w:tc>
          <w:tcPr>
            <w:tcW w:w="0" w:type="dxa"/>
            <w:vAlign w:val="bottom"/>
          </w:tcPr>
          <w:p>
            <w:pPr>
              <w:spacing w:after="0"/>
              <w:rPr>
                <w:sz w:val="1"/>
                <w:szCs w:val="1"/>
                <w:color w:val="auto"/>
              </w:rPr>
            </w:pPr>
          </w:p>
        </w:tc>
      </w:tr>
      <w:tr>
        <w:trPr>
          <w:trHeight w:val="19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September 30,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120,790.402</w:t>
            </w:r>
          </w:p>
        </w:tc>
        <w:tc>
          <w:tcPr>
            <w:tcW w:w="2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26,003,606</w:t>
            </w:r>
          </w:p>
        </w:tc>
        <w:tc>
          <w:tcPr>
            <w:tcW w:w="44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698,537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(729,797)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(35,844)</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2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Cartesian Therapeutics, Inc. and Subsidiaries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00" w:type="dxa"/>
            <w:vAlign w:val="bottom"/>
            <w:gridSpan w:val="18"/>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Deficit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7"/>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rPr>
              <w:t>(Amounts in thousands, except share data)</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for Series</w:t>
            </w:r>
          </w:p>
        </w:tc>
        <w:tc>
          <w:tcPr>
            <w:tcW w:w="1020" w:type="dxa"/>
            <w:vAlign w:val="bottom"/>
            <w:gridSpan w:val="2"/>
            <w:vMerge w:val="restart"/>
          </w:tcPr>
          <w:p>
            <w:pPr>
              <w:jc w:val="center"/>
              <w:ind w:left="363"/>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Series B</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center"/>
              <w:ind w:right="63"/>
              <w:spacing w:after="0" w:line="157" w:lineRule="exact"/>
              <w:rPr>
                <w:sz w:val="20"/>
                <w:szCs w:val="20"/>
                <w:color w:val="auto"/>
              </w:rPr>
            </w:pPr>
            <w:r>
              <w:rPr>
                <w:rFonts w:ascii="Times New Roman" w:cs="Times New Roman" w:eastAsia="Times New Roman" w:hAnsi="Times New Roman"/>
                <w:sz w:val="15"/>
                <w:szCs w:val="15"/>
                <w:b w:val="1"/>
                <w:bCs w:val="1"/>
                <w:color w:val="auto"/>
              </w:rPr>
              <w:t>A</w:t>
            </w:r>
          </w:p>
        </w:tc>
        <w:tc>
          <w:tcPr>
            <w:tcW w:w="10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Preferred</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vMerge w:val="restart"/>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center"/>
              <w:ind w:right="280"/>
              <w:spacing w:after="0" w:line="150"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vMerge w:val="restart"/>
          </w:tcPr>
          <w:p>
            <w:pPr>
              <w:spacing w:after="0"/>
              <w:rPr>
                <w:sz w:val="6"/>
                <w:szCs w:val="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vMerge w:val="restart"/>
          </w:tcPr>
          <w:p>
            <w:pPr>
              <w:spacing w:after="0"/>
              <w:rPr>
                <w:sz w:val="6"/>
                <w:szCs w:val="6"/>
                <w:color w:val="auto"/>
              </w:rPr>
            </w:pPr>
          </w:p>
        </w:tc>
        <w:tc>
          <w:tcPr>
            <w:tcW w:w="1340" w:type="dxa"/>
            <w:vAlign w:val="bottom"/>
            <w:gridSpan w:val="3"/>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vMerge w:val="restart"/>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tcBorders>
              <w:bottom w:val="single" w:sz="8" w:color="auto"/>
            </w:tcBorders>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paid-in</w:t>
            </w:r>
          </w:p>
        </w:tc>
        <w:tc>
          <w:tcPr>
            <w:tcW w:w="9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Shares  Amount</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7"/>
                <w:szCs w:val="17"/>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30"/>
        </w:trPr>
        <w:tc>
          <w:tcPr>
            <w:tcW w:w="880" w:type="dxa"/>
            <w:vAlign w:val="bottom"/>
            <w:tcBorders>
              <w:top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4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right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December</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435,120.513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$296,851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5,397,597</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179,062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(614,647)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(440,184)</w:t>
            </w: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Issuance of</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Series A</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Stock in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connection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with private</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placement</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and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settlement of</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related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forward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contract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99,140.326</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Transfer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Series A</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Stock and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options for</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Series A</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Stock to</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permanent</w:t>
            </w:r>
          </w:p>
        </w:tc>
        <w:tc>
          <w:tcPr>
            <w:tcW w:w="1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(534,260.839) (372,048)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(3,703)</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534,260.839</w:t>
            </w:r>
          </w:p>
        </w:tc>
        <w:tc>
          <w:tcPr>
            <w:tcW w:w="12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375,751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375,751</w:t>
            </w:r>
          </w:p>
        </w:tc>
        <w:tc>
          <w:tcPr>
            <w:tcW w:w="0" w:type="dxa"/>
            <w:vAlign w:val="bottom"/>
          </w:tcPr>
          <w:p>
            <w:pPr>
              <w:spacing w:after="0"/>
              <w:rPr>
                <w:sz w:val="1"/>
                <w:szCs w:val="1"/>
                <w:color w:val="auto"/>
              </w:rPr>
            </w:pPr>
          </w:p>
        </w:tc>
      </w:tr>
      <w:tr>
        <w:trPr>
          <w:trHeight w:val="19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56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Issuance of</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stock upon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exercise of</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options</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52,558</w:t>
            </w:r>
          </w:p>
        </w:tc>
        <w:tc>
          <w:tcPr>
            <w:tcW w:w="3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Issuance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stock upon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exercise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65,681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Stock-based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compensation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expense</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Currency</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(56,824)</w:t>
            </w:r>
          </w:p>
        </w:tc>
        <w:tc>
          <w:tcPr>
            <w:tcW w:w="0" w:type="dxa"/>
            <w:vAlign w:val="bottom"/>
          </w:tcPr>
          <w:p>
            <w:pPr>
              <w:spacing w:after="0"/>
              <w:rPr>
                <w:sz w:val="1"/>
                <w:szCs w:val="1"/>
                <w:color w:val="auto"/>
              </w:rPr>
            </w:pPr>
          </w:p>
        </w:tc>
      </w:tr>
      <w:tr>
        <w:trPr>
          <w:trHeight w:val="130"/>
        </w:trPr>
        <w:tc>
          <w:tcPr>
            <w:tcW w:w="880" w:type="dxa"/>
            <w:vAlign w:val="bottom"/>
            <w:tcBorders>
              <w:top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4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right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4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534,260.839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5,515,836</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559,275</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(671,471)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(116,800)</w:t>
            </w:r>
          </w:p>
        </w:tc>
        <w:tc>
          <w:tcPr>
            <w:tcW w:w="0" w:type="dxa"/>
            <w:vAlign w:val="bottom"/>
          </w:tcPr>
          <w:p>
            <w:pPr>
              <w:spacing w:after="0"/>
              <w:rPr>
                <w:sz w:val="1"/>
                <w:szCs w:val="1"/>
                <w:color w:val="auto"/>
              </w:rPr>
            </w:pPr>
          </w:p>
        </w:tc>
      </w:tr>
      <w:tr>
        <w:trPr>
          <w:trHeight w:val="200"/>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bottom w:val="single" w:sz="8" w:color="CCEEFF"/>
            </w:tcBorders>
            <w:gridSpan w:val="2"/>
            <w:vMerge w:val="restart"/>
          </w:tcPr>
          <w:p>
            <w:pPr>
              <w:spacing w:after="0" w:line="133" w:lineRule="exact"/>
              <w:rPr>
                <w:sz w:val="20"/>
                <w:szCs w:val="20"/>
                <w:color w:val="auto"/>
              </w:rPr>
            </w:pPr>
            <w:r>
              <w:rPr>
                <w:rFonts w:ascii="Times New Roman" w:cs="Times New Roman" w:eastAsia="Times New Roman" w:hAnsi="Times New Roman"/>
                <w:sz w:val="15"/>
                <w:szCs w:val="15"/>
                <w:color w:val="auto"/>
              </w:rPr>
              <w:t>Conversion</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of Series A</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Stock to</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(367,919.247)</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12,263,951</w:t>
            </w:r>
          </w:p>
        </w:tc>
        <w:tc>
          <w:tcPr>
            <w:tcW w:w="32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Issuance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stock upon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exercise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36,451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Equity</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offering costs</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Stock-based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compensation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Currency</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600"/>
              <w:spacing w:after="0" w:line="150" w:lineRule="exact"/>
              <w:rPr>
                <w:sz w:val="20"/>
                <w:szCs w:val="20"/>
                <w:color w:val="auto"/>
              </w:rPr>
            </w:pPr>
            <w:r>
              <w:rPr>
                <w:rFonts w:ascii="Times New Roman" w:cs="Times New Roman" w:eastAsia="Times New Roman" w:hAnsi="Times New Roman"/>
                <w:sz w:val="15"/>
                <w:szCs w:val="15"/>
                <w:color w:val="auto"/>
              </w:rPr>
              <w:t>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adjustment</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9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13,836</w:t>
            </w:r>
          </w:p>
        </w:tc>
        <w:tc>
          <w:tcPr>
            <w:tcW w:w="0" w:type="dxa"/>
            <w:vAlign w:val="bottom"/>
          </w:tcPr>
          <w:p>
            <w:pPr>
              <w:spacing w:after="0"/>
              <w:rPr>
                <w:sz w:val="1"/>
                <w:szCs w:val="1"/>
                <w:color w:val="auto"/>
              </w:rPr>
            </w:pPr>
          </w:p>
        </w:tc>
      </w:tr>
      <w:tr>
        <w:trPr>
          <w:trHeight w:val="130"/>
        </w:trPr>
        <w:tc>
          <w:tcPr>
            <w:tcW w:w="880" w:type="dxa"/>
            <w:vAlign w:val="bottom"/>
            <w:gridSpan w:val="2"/>
          </w:tcPr>
          <w:p>
            <w:pPr>
              <w:spacing w:after="0" w:line="130"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June 30,</w:t>
            </w:r>
          </w:p>
        </w:tc>
        <w:tc>
          <w:tcPr>
            <w:tcW w:w="480" w:type="dxa"/>
            <w:vAlign w:val="bottom"/>
          </w:tcPr>
          <w:p>
            <w:pPr>
              <w:spacing w:after="0"/>
              <w:rPr>
                <w:sz w:val="13"/>
                <w:szCs w:val="13"/>
                <w:color w:val="auto"/>
              </w:rPr>
            </w:pP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166,341.592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vMerge w:val="restart"/>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17,816,238</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560,766</w:t>
            </w:r>
          </w:p>
        </w:tc>
        <w:tc>
          <w:tcPr>
            <w:tcW w:w="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(657,635)</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(4,591)</w:t>
            </w:r>
          </w:p>
        </w:tc>
        <w:tc>
          <w:tcPr>
            <w:tcW w:w="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(101,458)</w:t>
            </w:r>
          </w:p>
        </w:tc>
        <w:tc>
          <w:tcPr>
            <w:tcW w:w="0" w:type="dxa"/>
            <w:vAlign w:val="bottom"/>
          </w:tcPr>
          <w:p>
            <w:pPr>
              <w:spacing w:after="0"/>
              <w:rPr>
                <w:sz w:val="1"/>
                <w:szCs w:val="1"/>
                <w:color w:val="auto"/>
              </w:rPr>
            </w:pPr>
          </w:p>
        </w:tc>
      </w:tr>
      <w:tr>
        <w:trPr>
          <w:trHeight w:val="180"/>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Issuance of</w:t>
            </w: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Series B</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Stock and</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stock in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connection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with private</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placement,</w:t>
            </w:r>
          </w:p>
        </w:tc>
        <w:tc>
          <w:tcPr>
            <w:tcW w:w="4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vMerge w:val="restart"/>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2,937,903</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3,563,247</w:t>
            </w:r>
          </w:p>
        </w:tc>
        <w:tc>
          <w:tcPr>
            <w:tcW w:w="3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124,657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124,657</w:t>
            </w:r>
          </w:p>
        </w:tc>
        <w:tc>
          <w:tcPr>
            <w:tcW w:w="0" w:type="dxa"/>
            <w:vAlign w:val="bottom"/>
          </w:tcPr>
          <w:p>
            <w:pPr>
              <w:spacing w:after="0"/>
              <w:rPr>
                <w:sz w:val="1"/>
                <w:szCs w:val="1"/>
                <w:color w:val="auto"/>
              </w:rPr>
            </w:pPr>
          </w:p>
        </w:tc>
      </w:tr>
      <w:tr>
        <w:trPr>
          <w:trHeight w:val="19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w:t>
            </w:r>
          </w:p>
        </w:tc>
        <w:tc>
          <w:tcPr>
            <w:tcW w:w="4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Conversion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line="150"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of Series B</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color w:val="auto"/>
              </w:rPr>
              <w:t>Preferred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8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Stock to</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99"/>
              </w:rPr>
              <w:t>(2,499,976)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2,499,976</w:t>
            </w:r>
          </w:p>
        </w:tc>
        <w:tc>
          <w:tcPr>
            <w:tcW w:w="3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8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Issuance of</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56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stock upon</w:t>
            </w: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exercise of</w:t>
            </w: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117"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17,064</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50"/>
        </w:trPr>
        <w:tc>
          <w:tcPr>
            <w:tcW w:w="880" w:type="dxa"/>
            <w:vAlign w:val="bottom"/>
          </w:tcPr>
          <w:p>
            <w:pPr>
              <w:spacing w:after="0" w:line="150" w:lineRule="exact"/>
              <w:rPr>
                <w:sz w:val="20"/>
                <w:szCs w:val="20"/>
                <w:color w:val="auto"/>
              </w:rPr>
            </w:pPr>
            <w:r>
              <w:rPr>
                <w:rFonts w:ascii="Times New Roman" w:cs="Times New Roman" w:eastAsia="Times New Roman" w:hAnsi="Times New Roman"/>
                <w:sz w:val="15"/>
                <w:szCs w:val="15"/>
                <w:color w:val="auto"/>
              </w:rPr>
              <w:t>Stock-based</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compensation</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expense</w:t>
            </w:r>
          </w:p>
        </w:tc>
        <w:tc>
          <w:tcPr>
            <w:tcW w:w="11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0" w:type="dxa"/>
            <w:vAlign w:val="bottom"/>
          </w:tcPr>
          <w:p>
            <w:pPr>
              <w:spacing w:after="0"/>
              <w:rPr>
                <w:sz w:val="1"/>
                <w:szCs w:val="1"/>
                <w:color w:val="auto"/>
              </w:rPr>
            </w:pPr>
          </w:p>
        </w:tc>
      </w:tr>
      <w:tr>
        <w:trPr>
          <w:trHeight w:val="150"/>
        </w:trPr>
        <w:tc>
          <w:tcPr>
            <w:tcW w:w="8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Currency</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(15)</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6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0" w:type="dxa"/>
            <w:vAlign w:val="bottom"/>
          </w:tcPr>
          <w:p>
            <w:pPr>
              <w:spacing w:after="0"/>
              <w:rPr>
                <w:sz w:val="1"/>
                <w:szCs w:val="1"/>
                <w:color w:val="auto"/>
              </w:rPr>
            </w:pPr>
          </w:p>
        </w:tc>
      </w:tr>
      <w:tr>
        <w:trPr>
          <w:trHeight w:val="130"/>
        </w:trPr>
        <w:tc>
          <w:tcPr>
            <w:tcW w:w="88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1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right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16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auto"/>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166,341.592</w:t>
            </w:r>
          </w:p>
        </w:tc>
        <w:tc>
          <w:tcPr>
            <w:tcW w:w="2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2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23,896,525</w:t>
            </w: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$ 687,174</w:t>
            </w:r>
          </w:p>
        </w:tc>
        <w:tc>
          <w:tcPr>
            <w:tcW w:w="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(681,818)</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2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0" w:type="dxa"/>
            <w:vAlign w:val="bottom"/>
          </w:tcPr>
          <w:p>
            <w:pPr>
              <w:spacing w:after="0"/>
              <w:rPr>
                <w:sz w:val="1"/>
                <w:szCs w:val="1"/>
                <w:color w:val="auto"/>
              </w:rPr>
            </w:pPr>
          </w:p>
        </w:tc>
      </w:tr>
      <w:tr>
        <w:trPr>
          <w:trHeight w:val="20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160" w:type="dxa"/>
            <w:vAlign w:val="bottom"/>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420" w:type="dxa"/>
            <w:vAlign w:val="bottom"/>
            <w:tcBorders>
              <w:right w:val="single" w:sz="8" w:color="auto"/>
            </w:tcBorders>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100" w:firstLine="277"/>
        <w:spacing w:after="0" w:line="275" w:lineRule="auto"/>
        <w:rPr>
          <w:sz w:val="20"/>
          <w:szCs w:val="20"/>
          <w:color w:val="auto"/>
        </w:rPr>
      </w:pPr>
      <w:r>
        <w:rPr>
          <w:rFonts w:ascii="Times New Roman" w:cs="Times New Roman" w:eastAsia="Times New Roman" w:hAnsi="Times New Roman"/>
          <w:sz w:val="15"/>
          <w:szCs w:val="15"/>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reflect the Reverse Stock Split for all periods presented.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consolidated financial statements</w:t>
      </w:r>
      <w:r>
        <w:rPr>
          <w:rFonts w:ascii="Times New Roman" w:cs="Times New Roman" w:eastAsia="Times New Roman" w:hAnsi="Times New Roman"/>
          <w:sz w:val="15"/>
          <w:szCs w:val="15"/>
          <w:color w:val="auto"/>
        </w:rPr>
        <w:t>.</w:t>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10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2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740" w:type="dxa"/>
            <w:vAlign w:val="bottom"/>
          </w:tcPr>
          <w:p>
            <w:pPr>
              <w:ind w:left="2880"/>
              <w:spacing w:after="0"/>
              <w:rPr>
                <w:sz w:val="20"/>
                <w:szCs w:val="20"/>
                <w:color w:val="auto"/>
              </w:rPr>
            </w:pPr>
            <w:r>
              <w:rPr>
                <w:rFonts w:ascii="Times New Roman" w:cs="Times New Roman" w:eastAsia="Times New Roman" w:hAnsi="Times New Roman"/>
                <w:sz w:val="15"/>
                <w:szCs w:val="15"/>
                <w:b w:val="1"/>
                <w:bCs w:val="1"/>
                <w:color w:val="auto"/>
              </w:rPr>
              <w:t>Cartesian Therapeutics, Inc. and Subsidiaries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740" w:type="dxa"/>
            <w:vAlign w:val="bottom"/>
          </w:tcPr>
          <w:p>
            <w:pPr>
              <w:jc w:val="center"/>
              <w:ind w:left="1983"/>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740" w:type="dxa"/>
            <w:vAlign w:val="bottom"/>
          </w:tcPr>
          <w:p>
            <w:pPr>
              <w:jc w:val="center"/>
              <w:ind w:left="1983"/>
              <w:spacing w:after="0"/>
              <w:rPr>
                <w:sz w:val="20"/>
                <w:szCs w:val="20"/>
                <w:color w:val="auto"/>
              </w:rPr>
            </w:pPr>
            <w:r>
              <w:rPr>
                <w:rFonts w:ascii="Times New Roman" w:cs="Times New Roman" w:eastAsia="Times New Roman" w:hAnsi="Times New Roman"/>
                <w:sz w:val="15"/>
                <w:szCs w:val="15"/>
                <w:b w:val="1"/>
                <w:bCs w:val="1"/>
                <w:color w:val="auto"/>
              </w:rPr>
              <w:t>(Amounts in thousands)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Nine Months Ended</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0" w:type="dxa"/>
            <w:vAlign w:val="bottom"/>
          </w:tcPr>
          <w:p>
            <w:pPr>
              <w:spacing w:after="0"/>
              <w:rPr>
                <w:sz w:val="1"/>
                <w:szCs w:val="1"/>
                <w:color w:val="auto"/>
              </w:rPr>
            </w:pPr>
          </w:p>
        </w:tc>
      </w:tr>
      <w:tr>
        <w:trPr>
          <w:trHeight w:val="17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(67,171)</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Non-cash lease expense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Loss on disposal of property and equipment</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(2,803)</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(Gain) loss on change in fair value of contingent value right liability</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51,900</w:t>
            </w:r>
          </w:p>
        </w:tc>
        <w:tc>
          <w:tcPr>
            <w:tcW w:w="0" w:type="dxa"/>
            <w:vAlign w:val="bottom"/>
          </w:tcPr>
          <w:p>
            <w:pPr>
              <w:spacing w:after="0"/>
              <w:rPr>
                <w:sz w:val="1"/>
                <w:szCs w:val="1"/>
                <w:color w:val="auto"/>
              </w:rPr>
            </w:pPr>
          </w:p>
        </w:tc>
      </w:tr>
      <w:tr>
        <w:trPr>
          <w:trHeight w:val="196"/>
        </w:trPr>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Loss on change in fair value of forward contract liabilities</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6,890</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8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Accounts receivable</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0" w:type="dxa"/>
            <w:vAlign w:val="bottom"/>
          </w:tcPr>
          <w:p>
            <w:pPr>
              <w:spacing w:after="0"/>
              <w:rPr>
                <w:sz w:val="1"/>
                <w:szCs w:val="1"/>
                <w:color w:val="auto"/>
              </w:rPr>
            </w:pPr>
          </w:p>
        </w:tc>
      </w:tr>
      <w:tr>
        <w:trPr>
          <w:trHeight w:val="196"/>
        </w:trPr>
        <w:tc>
          <w:tcPr>
            <w:tcW w:w="26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Unbilled receivable</w:t>
            </w: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8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Prepaid expenses, deposits and other assets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0" w:type="dxa"/>
            <w:vAlign w:val="bottom"/>
          </w:tcPr>
          <w:p>
            <w:pPr>
              <w:spacing w:after="0"/>
              <w:rPr>
                <w:sz w:val="1"/>
                <w:szCs w:val="1"/>
                <w:color w:val="auto"/>
              </w:rPr>
            </w:pPr>
          </w:p>
        </w:tc>
      </w:tr>
      <w:tr>
        <w:trPr>
          <w:trHeight w:val="196"/>
        </w:trPr>
        <w:tc>
          <w:tcPr>
            <w:tcW w:w="26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Accounts payable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78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Deferred revenue</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(5,849)</w:t>
            </w:r>
          </w:p>
        </w:tc>
        <w:tc>
          <w:tcPr>
            <w:tcW w:w="0" w:type="dxa"/>
            <w:vAlign w:val="bottom"/>
          </w:tcPr>
          <w:p>
            <w:pPr>
              <w:spacing w:after="0"/>
              <w:rPr>
                <w:sz w:val="1"/>
                <w:szCs w:val="1"/>
                <w:color w:val="auto"/>
              </w:rPr>
            </w:pPr>
          </w:p>
        </w:tc>
      </w:tr>
      <w:tr>
        <w:trPr>
          <w:trHeight w:val="196"/>
        </w:trPr>
        <w:tc>
          <w:tcPr>
            <w:tcW w:w="26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(4,647)</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(7,904)</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784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(56,229)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(16,672)</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(8,388)</w:t>
            </w: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(8,388)</w:t>
            </w:r>
          </w:p>
        </w:tc>
        <w:tc>
          <w:tcPr>
            <w:tcW w:w="0" w:type="dxa"/>
            <w:vAlign w:val="bottom"/>
          </w:tcPr>
          <w:p>
            <w:pPr>
              <w:spacing w:after="0"/>
              <w:rPr>
                <w:sz w:val="1"/>
                <w:szCs w:val="1"/>
                <w:color w:val="auto"/>
              </w:rPr>
            </w:pPr>
          </w:p>
        </w:tc>
      </w:tr>
      <w:tr>
        <w:trPr>
          <w:trHeight w:val="19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offering costs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Proceeds from exercise of common warrants</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issuance of Series A Preferred Stock, gross in private placement</w:t>
            </w: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0" w:type="dxa"/>
            <w:vAlign w:val="bottom"/>
          </w:tcPr>
          <w:p>
            <w:pPr>
              <w:spacing w:after="0"/>
              <w:rPr>
                <w:sz w:val="1"/>
                <w:szCs w:val="1"/>
                <w:color w:val="auto"/>
              </w:rPr>
            </w:pPr>
          </w:p>
        </w:tc>
      </w:tr>
      <w:tr>
        <w:trPr>
          <w:trHeight w:val="19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proceeds from issuance of common stock and Series B Preferred Stock in private placement</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124,438</w:t>
            </w: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Payments of contingent value rights distributions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(8,003)</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167,645</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8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(69,160)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142,579</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214,279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78,288</w:t>
            </w: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920" w:type="dxa"/>
            <w:vAlign w:val="bottom"/>
            <w:tcBorders>
              <w:bottom w:val="single" w:sz="8" w:color="auto"/>
            </w:tcBorders>
            <w:shd w:val="clear" w:color="auto" w:fill="CCEEFF"/>
          </w:tcPr>
          <w:p>
            <w:pPr>
              <w:jc w:val="right"/>
              <w:ind w:right="763"/>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145,119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3"/>
              <w:spacing w:after="0" w:line="165"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220,867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not yet paid</w:t>
            </w:r>
          </w:p>
        </w:tc>
        <w:tc>
          <w:tcPr>
            <w:tcW w:w="9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r>
        <w:rPr>
          <w:rFonts w:ascii="Times New Roman" w:cs="Times New Roman" w:eastAsia="Times New Roman" w:hAnsi="Times New Roman"/>
          <w:sz w:val="14"/>
          <w:szCs w:val="14"/>
          <w:color w:val="auto"/>
        </w:rPr>
        <w:t>.</w:t>
      </w:r>
    </w:p>
    <w:p>
      <w:pPr>
        <w:spacing w:after="0" w:line="3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 xml:space="preserve">Cartesian Therapeutics, Inc. </w:t>
      </w:r>
      <w:r>
        <w:rPr>
          <w:rFonts w:ascii="Times New Roman" w:cs="Times New Roman" w:eastAsia="Times New Roman" w:hAnsi="Times New Roman"/>
          <w:sz w:val="15"/>
          <w:szCs w:val="15"/>
          <w:b w:val="1"/>
          <w:bCs w:val="1"/>
          <w:color w:val="auto"/>
        </w:rPr>
        <w:t>and Subsidiaries</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Description of the Business</w:t>
      </w:r>
    </w:p>
    <w:p>
      <w:pPr>
        <w:spacing w:after="0" w:line="108"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Cartesian Therapeutics, Inc., or the Company (formerly known as Selecta Biosciences, Inc., or Selecta), was incorporated in Delaware on December 10, 2007, and is headquartered in Frederick, Maryland. The Company is a clinical-stage biotechnology company pioneering cell therapy for the treatment of autoimmune diseases. Unlike DNA cell therapies, the Company’s cell therapy method degrades naturally over time without integrating into the cell’s genetic material. Therefore, the Company’s cell therapy is distinguished by its capacity to be dosed repeatedly like conventional drugs, administered in an outpatient setting, and given without pre-treatment chemotherapy required with many conventional cell therapies.</w:t>
      </w:r>
    </w:p>
    <w:p>
      <w:pPr>
        <w:spacing w:after="0" w:line="294"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4, “Merger” to the consolidated financial statements included in the Company’s Annual Report on Form 10-K for the year ended December 31, 2024.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w:t>
      </w:r>
    </w:p>
    <w:p>
      <w:pPr>
        <w:spacing w:after="0" w:line="298"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In connection with the Merger, the Company entered into a definitive agreement, or the 2023 Securities Purchase Agreement, for a private investment in public equity transaction, or the 2023 Private Placement, with the Investors (as defined below). The 2023 Securities Purchase Agreement provided for the issuance to the Investors of an aggregate of 149,330.115 shares of Series A Preferred Stock for an aggregate purchase price of approximately $60.25 million. See Note 11, “Convertible Preferred Stock” to the consolidated financial statements included in the Company’s Annual Report on Form 10-K for the year ended December 31, 2024 for further discussion of the 2023 Private Placement.</w:t>
      </w:r>
    </w:p>
    <w:p>
      <w:pPr>
        <w:spacing w:after="0" w:line="104"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7, “Fair Value Measurements” to these unaudited consolidated financial statements.</w:t>
      </w:r>
    </w:p>
    <w:p>
      <w:pPr>
        <w:spacing w:after="0" w:line="106"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On March 27, 2024, the Company’s stockholders approved the conversion of shares of Series A Preferred Stock into shares of common stock. For additional information, see Note 11, “Convertible Preferred Stock” to the consolidated financial statements included in the Company’s Annual Report on Form 10-K for the year ended December 31, 2024.</w:t>
      </w:r>
    </w:p>
    <w:p>
      <w:pPr>
        <w:spacing w:after="0" w:line="87"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300"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On July 2, 2024, the Company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On September 20, 2024, the Company’s stockholders approved the conversion of shares of Series B Preferred Stock into shares of</w:t>
      </w:r>
    </w:p>
    <w:p>
      <w:pPr>
        <w:spacing w:after="0" w:line="3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common stock. For additional information, see Note 11, “Convertible Preferred Stock” to the consolidated financial statements included in the Company’s Annual Report on Form 10-K for the year ended December 31, 2024.</w:t>
      </w:r>
    </w:p>
    <w:p>
      <w:pPr>
        <w:spacing w:after="0" w:line="87"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04"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Interim Financial Information</w:t>
      </w:r>
    </w:p>
    <w:p>
      <w:pPr>
        <w:spacing w:after="0" w:line="15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for the three and nine months ended September 30, 2025 and 2024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2024 included in the Company’s Annual Report on Form 10-K that was filed with the SEC on March 13, 2025.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2025, the consolidated results of operations for the three and nine months ended September 30, 2025, and cash flows for the nine months ended September 30, 2025. Such adjustments are of a normal and recurring nature. The results of operations for the three and nine months ended September 30, 2025 are not necessarily indicative of the results of operations that may be expected for the year ending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Management’s Plan</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104"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106"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As of September 30, 2025, the Company’s cash, cash equivalents, and restricted cash were $145.1 million, of which $1.7 million was restricted cash related to lease commitments. The Company believes the cash, cash equivalents and restricted cash as of September 30, 2025 will enable it to fund its current planned operations for at least the next 12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of these strategic or financing opportunities will be executed on favorable terms, and some could be dilutive to existing stockholders. Further, the liability associated with the CVR Agreement (as defined below) will be settled solely through cash flows received under the Company’s License and</w:t>
      </w: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ind w:left="26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5"/>
          <w:szCs w:val="15"/>
          <w:color w:val="auto"/>
        </w:rPr>
        <w:t>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7, “Fair Value Measurement”, for more information on the CVR.</w:t>
      </w:r>
    </w:p>
    <w:p>
      <w:pPr>
        <w:spacing w:after="0" w:line="104"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September 30, 2025, the Company had an accumulated deficit of $729.8 million. The Company anticipates operating losses to continue for the foreseeable future due to, among other things, costs related to research and development of its product candidates and its administrative organization.</w:t>
      </w:r>
    </w:p>
    <w:p>
      <w:pPr>
        <w:spacing w:after="0" w:line="100" w:lineRule="exact"/>
        <w:rPr>
          <w:sz w:val="20"/>
          <w:szCs w:val="20"/>
          <w:color w:val="auto"/>
        </w:rPr>
      </w:pPr>
    </w:p>
    <w:p>
      <w:pPr>
        <w:ind w:left="8" w:right="9500" w:hanging="8"/>
        <w:spacing w:after="0" w:line="452" w:lineRule="auto"/>
        <w:tabs>
          <w:tab w:leader="none" w:pos="161"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Basis of Presentation Principles of Consolidation</w:t>
      </w:r>
    </w:p>
    <w:p>
      <w:pPr>
        <w:spacing w:after="0" w:line="1"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and its wholly owned subsidiaries, Selecta (RUS), LLC, or Selecta (RUS), a Russian limited liability corporation, Selecta Biosciences Security Corporation, a Massachusetts securities corporation which the Company dissolved in December 2024, and Cartesian Bio, LLC, a Delaware limited liability company, which is a variable interest entity for which the Company is the primary beneficiary. All significant intercompany accounts and transactions have been eliminated.</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55" w:lineRule="exact"/>
        <w:rPr>
          <w:sz w:val="20"/>
          <w:szCs w:val="20"/>
          <w:color w:val="auto"/>
        </w:rPr>
      </w:pPr>
    </w:p>
    <w:p>
      <w:pPr>
        <w:jc w:val="both"/>
        <w:ind w:left="8" w:firstLine="277"/>
        <w:spacing w:after="0" w:line="263" w:lineRule="auto"/>
        <w:rPr>
          <w:sz w:val="20"/>
          <w:szCs w:val="20"/>
          <w:color w:val="auto"/>
        </w:rPr>
      </w:pPr>
      <w:r>
        <w:rPr>
          <w:rFonts w:ascii="Times New Roman" w:cs="Times New Roman" w:eastAsia="Times New Roman" w:hAnsi="Times New Roman"/>
          <w:sz w:val="15"/>
          <w:szCs w:val="15"/>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fair value of the intangible assets acquired in connection with the Merger, fair value of the CVRs, deferred income taxes, revenue recognition, accrued research and development expenses, stock-based compensation expense, fair value of the liability-classified warrants, and impairment of long-lived assets. The Company assesses the above estimates on an ongoing basis; however, actual results could materially differ from those estimates.</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155" w:lineRule="exact"/>
        <w:rPr>
          <w:sz w:val="20"/>
          <w:szCs w:val="20"/>
          <w:color w:val="auto"/>
        </w:rPr>
      </w:pPr>
    </w:p>
    <w:p>
      <w:pPr>
        <w:jc w:val="both"/>
        <w:ind w:left="8" w:firstLine="277"/>
        <w:spacing w:after="0" w:line="262"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for which separate and discrete information is available for evaluation by the chief operating decision maker, or the CODM, for the purposes of assessing performance and allocating resources. 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 The Company’s CODM function is fulfilled by its Chief Executive Officer. The CODM function assesses performance for the segment and decides how to allocate resources based on consolidated net income (loss) that is also reported on the consolidated statements of operations and comprehensive income (loss). The CODM function uses net income (loss) to monitor budget versus actual results to assess performance of the segment. Segment assets are the same as total assets on the Company’s consolidated balance sheets. All long-lived assets are located in the United States. Long-lived assets consist of property and equipment, net, and operating lease right-of-use assets.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3. Summary of Significant Accounting Policies</w:t>
      </w:r>
    </w:p>
    <w:p>
      <w:pPr>
        <w:spacing w:after="0" w:line="155" w:lineRule="exact"/>
        <w:rPr>
          <w:sz w:val="20"/>
          <w:szCs w:val="20"/>
          <w:color w:val="auto"/>
        </w:rPr>
      </w:pPr>
    </w:p>
    <w:p>
      <w:pPr>
        <w:jc w:val="both"/>
        <w:ind w:left="8" w:firstLine="277"/>
        <w:spacing w:after="0" w:line="293" w:lineRule="auto"/>
        <w:rPr>
          <w:sz w:val="20"/>
          <w:szCs w:val="20"/>
          <w:color w:val="auto"/>
        </w:rPr>
      </w:pPr>
      <w:r>
        <w:rPr>
          <w:rFonts w:ascii="Times New Roman" w:cs="Times New Roman" w:eastAsia="Times New Roman" w:hAnsi="Times New Roman"/>
          <w:sz w:val="15"/>
          <w:szCs w:val="15"/>
          <w:color w:val="auto"/>
        </w:rPr>
        <w:t>The Company disclosed its significant accounting policies in Note 3, “Summary of Significant Accounting Policies” included in the Company’s Annual Report on Form 10-K for the year ended December 31, 2024. There have been no material changes to the Company’s significant accounting policies during the nine months ended September 30, 2025.</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5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i w:val="1"/>
          <w:iCs w:val="1"/>
          <w:color w:val="auto"/>
        </w:rPr>
        <w:t>Not Yet Adopted</w:t>
      </w:r>
    </w:p>
    <w:p>
      <w:pPr>
        <w:spacing w:after="0" w:line="155" w:lineRule="exact"/>
        <w:rPr>
          <w:sz w:val="20"/>
          <w:szCs w:val="20"/>
          <w:color w:val="auto"/>
        </w:rPr>
      </w:pPr>
    </w:p>
    <w:p>
      <w:pPr>
        <w:jc w:val="both"/>
        <w:ind w:left="8" w:right="20" w:firstLine="277"/>
        <w:spacing w:after="0" w:line="293" w:lineRule="auto"/>
        <w:rPr>
          <w:sz w:val="20"/>
          <w:szCs w:val="20"/>
          <w:color w:val="auto"/>
        </w:rPr>
      </w:pPr>
      <w:r>
        <w:rPr>
          <w:rFonts w:ascii="Times New Roman" w:cs="Times New Roman" w:eastAsia="Times New Roman" w:hAnsi="Times New Roman"/>
          <w:sz w:val="15"/>
          <w:szCs w:val="15"/>
          <w:color w:val="auto"/>
        </w:rPr>
        <w:t>In December 2023, the Financial Accounting Standards Board, or FASB, issued Accounting Standards Update, or ASU, 2023-09, Income Taxes (Topic 740): Improvements to Income Tax Disclosures (ASU 2023-09), which improves the</w:t>
      </w:r>
    </w:p>
    <w:p>
      <w:pPr>
        <w:spacing w:after="0" w:line="317" w:lineRule="exact"/>
        <w:rPr>
          <w:sz w:val="20"/>
          <w:szCs w:val="20"/>
          <w:color w:val="auto"/>
        </w:rPr>
      </w:pPr>
    </w:p>
    <w:p>
      <w:pPr>
        <w:jc w:val="center"/>
        <w:ind w:right="-267"/>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151130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with the year ended December 31, 2025. Early adoption is permitted. Upon adoption, the guidance can be applied prospectively or retrospectively. The Company is currently in the process of evaluating the impact of the standard’s adoption on its consolidated financial statements and related disclosures.</w:t>
      </w:r>
    </w:p>
    <w:p>
      <w:pPr>
        <w:spacing w:after="0" w:line="104"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Reporting - Comprehensive Income - Expense Disaggregation Disclosures (ASU 2024-03), which requires public companies to disclose, in interim and annual reporting periods, additional information about certain expenses in 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in the process of evaluating the impact of the standard’s adoption on its consolidated financial statements and related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Goodwill and Intangible Assets</w:t>
      </w:r>
    </w:p>
    <w:p>
      <w:pPr>
        <w:spacing w:after="0" w:line="155"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 As a result of the Merger, Selecta changed its corporate name to Cartesian Therapeutics, Inc. See Note 4, “Merger” to the consolidated financial statements included in the Company’s Annual Report on Form 10-K for the year ended December 31, 2024 for further discussion of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Goodwill</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Merger resulted in goodwill of approximately $48.2 million. There were no changes to the carrying value of the Company’s goodwill during the nine months ended September 30,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Intangible Assets</w:t>
      </w:r>
    </w:p>
    <w:p>
      <w:pPr>
        <w:spacing w:after="0" w:line="15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Merger resulted in total indefinite-lived intangible assets of $150.6 million, of which $93.9 million is related to Descartes-08 for myasthenia gravis, or MG and $56.7 million is related to Descartes-08 for systematic lupus erythematosus. There were no changes to the carrying value of the Company’s indefinite-lived intangible assets during the nine months ended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Investments</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September 2021, the Company and Cyrus Biotechnology, Inc., or Cyrus, entered into a stock purchase agreement, or the Series B Preferred Stock Purchase Agreement. Pursuant to the Series B Preferred Stock Purchase Agreement, the Company purchased 2,326,934 shares of Cyrus’ Series B Preferred Stock, par value $0.0001 per share, at a purchase price of $0.8595 per share, for $2.0 million.</w:t>
      </w:r>
    </w:p>
    <w:p>
      <w:pPr>
        <w:spacing w:after="0" w:line="99"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104"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During the nine months ended September 30, 2025 and the year ended December 31, 2024,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Net Loss Per Share Allocable to Common Stockholders</w:t>
      </w:r>
    </w:p>
    <w:p>
      <w:pPr>
        <w:spacing w:after="0" w:line="155"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sets forth the computation of basic and diluted net loss per share allocable to common stockholders for the three and nine months ended September 30, 2025 and 2024 (in thousands, except share and per-share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Pr>
          <w:p>
            <w:pPr>
              <w:spacing w:after="0"/>
              <w:rPr>
                <w:sz w:val="15"/>
                <w:szCs w:val="15"/>
                <w:color w:val="auto"/>
              </w:rPr>
            </w:pPr>
          </w:p>
        </w:tc>
        <w:tc>
          <w:tcPr>
            <w:tcW w:w="2440" w:type="dxa"/>
            <w:vAlign w:val="bottom"/>
            <w:gridSpan w:val="4"/>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(67,171)</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Weighted-average common shares outstanding - basic and diluted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26,002,892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21,471,408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25,962,302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14,561,613</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per share allocable to common stockholders: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r>
      <w:tr>
        <w:trPr>
          <w:trHeight w:val="188"/>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Basic and diluted</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w:t>
            </w: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5"/>
                <w:szCs w:val="15"/>
                <w:color w:val="auto"/>
              </w:rPr>
            </w:pPr>
          </w:p>
        </w:tc>
        <w:tc>
          <w:tcPr>
            <w:tcW w:w="284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568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7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7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options and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2,956,910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2,420,400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2,956,910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2,420,400</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692,523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974,954</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692,523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974,954</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4,026,346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5,544,719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4,026,346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5,544,719</w:t>
            </w: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437,927</w:t>
            </w:r>
          </w:p>
        </w:tc>
      </w:tr>
      <w:tr>
        <w:trPr>
          <w:trHeight w:val="213"/>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8,113,706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9,378,000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8,113,706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9,378,000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43"/>
        </w:trPr>
        <w:tc>
          <w:tcPr>
            <w:tcW w:w="5680" w:type="dxa"/>
            <w:vAlign w:val="bottom"/>
          </w:tcPr>
          <w:p>
            <w:pPr>
              <w:spacing w:after="0"/>
              <w:rPr>
                <w:sz w:val="24"/>
                <w:szCs w:val="24"/>
                <w:color w:val="auto"/>
              </w:rPr>
            </w:pPr>
          </w:p>
        </w:tc>
        <w:tc>
          <w:tcPr>
            <w:tcW w:w="1320" w:type="dxa"/>
            <w:vAlign w:val="bottom"/>
          </w:tcPr>
          <w:p>
            <w:pPr>
              <w:jc w:val="right"/>
              <w:ind w:right="1083"/>
              <w:spacing w:after="0"/>
              <w:rPr>
                <w:sz w:val="20"/>
                <w:szCs w:val="20"/>
                <w:color w:val="auto"/>
              </w:rPr>
            </w:pPr>
            <w:r>
              <w:rPr>
                <w:rFonts w:ascii="Times New Roman" w:cs="Times New Roman" w:eastAsia="Times New Roman" w:hAnsi="Times New Roman"/>
                <w:sz w:val="15"/>
                <w:szCs w:val="15"/>
                <w:color w:val="auto"/>
                <w:w w:val="93"/>
              </w:rPr>
              <w:t>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568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Fair Value Measurements</w:t>
      </w:r>
    </w:p>
    <w:p>
      <w:pPr>
        <w:spacing w:after="0" w:line="155"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The following tables present the Company’s assets and liabilities that are measured at fair value on a recurring basis as of September 30, 2025 and December 31, 2024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176"/>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Money market funds (included in cash equivalents)</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40,357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40,357</w:t>
            </w:r>
          </w:p>
        </w:tc>
        <w:tc>
          <w:tcPr>
            <w:tcW w:w="100" w:type="dxa"/>
            <w:vAlign w:val="bottom"/>
          </w:tcPr>
          <w:p>
            <w:pPr>
              <w:spacing w:after="0"/>
              <w:rPr>
                <w:sz w:val="17"/>
                <w:szCs w:val="17"/>
                <w:color w:val="auto"/>
              </w:rPr>
            </w:pP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 liability</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w:t>
            </w:r>
          </w:p>
        </w:tc>
      </w:tr>
      <w:tr>
        <w:trPr>
          <w:trHeight w:val="196"/>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Contingent value right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369,000</w:t>
            </w: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369,848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369,848</w:t>
            </w: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176"/>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Money market funds (included in cash equivalents)</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39,088</w:t>
            </w:r>
          </w:p>
        </w:tc>
        <w:tc>
          <w:tcPr>
            <w:tcW w:w="100" w:type="dxa"/>
            <w:vAlign w:val="bottom"/>
          </w:tcPr>
          <w:p>
            <w:pPr>
              <w:spacing w:after="0"/>
              <w:rPr>
                <w:sz w:val="17"/>
                <w:szCs w:val="17"/>
                <w:color w:val="auto"/>
              </w:rPr>
            </w:pP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 liability</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3,836</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3,836</w:t>
            </w:r>
          </w:p>
        </w:tc>
      </w:tr>
      <w:tr>
        <w:trPr>
          <w:trHeight w:val="196"/>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Contingent value right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395,500</w:t>
            </w: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399,336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399,336</w:t>
            </w: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were no transfers within the fair value hierarchy during the nine months ended September 30, 2025 or the year ended December 31, 2024.</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Cash Equivalents, and Restricted Cash</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and December 31, 2024, money market funds were classified as cash and cash equivalents on the accompanying consolidated balance sheets as they mature within 90 days from the date of purchase.</w:t>
      </w:r>
    </w:p>
    <w:p>
      <w:pPr>
        <w:spacing w:after="0" w:line="87"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the Company had restricted cash balances relating to secured letters of credit in connection with its real estate leases. The Company’s consolidated statements of cash flows include the following as of September 30, 2025 and 2024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8"/>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143,384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219,198</w:t>
            </w:r>
          </w:p>
        </w:tc>
      </w:tr>
      <w:tr>
        <w:trPr>
          <w:trHeight w:val="19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Long-term 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1,669</w:t>
            </w:r>
          </w:p>
        </w:tc>
      </w:tr>
      <w:tr>
        <w:trPr>
          <w:trHeight w:val="213"/>
        </w:trPr>
        <w:tc>
          <w:tcPr>
            <w:tcW w:w="8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145,119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220,867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Warrants to Purchase Common Stock</w:t>
      </w:r>
    </w:p>
    <w:p>
      <w:pPr>
        <w:spacing w:after="0" w:line="15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In December 2019, the Company issued warrants to purchase common stock in connection with a private placement, or the 2019 Warrants. The outstanding 2019 Warrants expired on December 23, 2024 in accordance with their terms. Pursuant to the terms of the 2019 Warrants, the Company could have been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w:t>
      </w: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99"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statements of operations and comprehensive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estimated fair values of the 2019 Warrants and the 2022 Warrants were determined using the following inputs to the Black-Scholes simulation valuation:</w:t>
      </w:r>
    </w:p>
    <w:p>
      <w:pPr>
        <w:spacing w:after="0" w:line="151" w:lineRule="exact"/>
        <w:rPr>
          <w:sz w:val="20"/>
          <w:szCs w:val="20"/>
          <w:color w:val="auto"/>
        </w:rPr>
      </w:pPr>
    </w:p>
    <w:p>
      <w:pPr>
        <w:ind w:left="540" w:hanging="271"/>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fair value of the underlying stock. The Company estimates the fair value of the common stock based on the closing stock price at the end of each reporting period.</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Risk-free interest rate. The risk-free interest rate is based on the U.S. Treasury at the valuation date commensurate with the expected remaining life assumption.</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 rate. The dividend rate is based on the historical rate, which the Company anticipates will remain at zero.</w:t>
      </w:r>
    </w:p>
    <w:p>
      <w:pPr>
        <w:spacing w:after="0" w:line="150" w:lineRule="exact"/>
        <w:rPr>
          <w:rFonts w:ascii="Times New Roman" w:cs="Times New Roman" w:eastAsia="Times New Roman" w:hAnsi="Times New Roman"/>
          <w:sz w:val="15"/>
          <w:szCs w:val="15"/>
          <w:color w:val="auto"/>
        </w:rPr>
      </w:pPr>
    </w:p>
    <w:p>
      <w:pPr>
        <w:ind w:left="540" w:hanging="271"/>
        <w:spacing w:after="0" w:line="293" w:lineRule="auto"/>
        <w:tabs>
          <w:tab w:leader="none" w:pos="5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life. The expected life of the 2019 Warrants was assumed to be equivalent to their remaining contractual term which expired on December 23, 2024. The expected life of the 2022 Warrants is assumed to be equivalent to their remaining contractual term which expires on April 11, 2027.</w:t>
      </w:r>
    </w:p>
    <w:p>
      <w:pPr>
        <w:spacing w:after="0" w:line="86"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The Company estimates stock price volatility based on the Company’s historical volatility for a period of time commensurate with the expected remaining life of the warrants.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2019 Warrants expired on December 23, 2024 and therefore, there were no 2019 Warrants outstanding as of December 31, 2024 or September 30, 2025.</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summary of the Black-Scholes pricing model assumptions used to record the fair value of the 2022 Warrants liability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44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8"/>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life (in years)</w:t>
            </w:r>
          </w:p>
        </w:tc>
        <w:tc>
          <w:tcPr>
            <w:tcW w:w="14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2.28</w:t>
            </w:r>
          </w:p>
        </w:tc>
      </w:tr>
      <w:tr>
        <w:trPr>
          <w:trHeight w:val="199"/>
        </w:trPr>
        <w:tc>
          <w:tcPr>
            <w:tcW w:w="83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97.44%</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92.92%</w:t>
            </w:r>
          </w:p>
        </w:tc>
      </w:tr>
    </w:tbl>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reflects a roll-forward of fair value for the Company’s Level 3 warrant liabilities (see Note 11, “Equity” to these unaudited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nine months ended September 30, 2025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Warrant liability</w:t>
            </w:r>
          </w:p>
        </w:tc>
      </w:tr>
      <w:tr>
        <w:trPr>
          <w:trHeight w:val="188"/>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w:t>
            </w:r>
          </w:p>
        </w:tc>
      </w:tr>
      <w:tr>
        <w:trPr>
          <w:trHeight w:val="196"/>
        </w:trPr>
        <w:tc>
          <w:tcPr>
            <w:tcW w:w="9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Change in fair value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(2,988)</w:t>
            </w:r>
          </w:p>
        </w:tc>
      </w:tr>
      <w:tr>
        <w:trPr>
          <w:trHeight w:val="213"/>
        </w:trPr>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September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Contingent Value Right</w:t>
      </w:r>
    </w:p>
    <w:p>
      <w:pPr>
        <w:spacing w:after="0" w:line="108"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30 CVRs per each share of common stock underlying such warrants.</w:t>
      </w:r>
    </w:p>
    <w:p>
      <w:pPr>
        <w:spacing w:after="0" w:line="3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Sobi License) ends, or the Termination Date:</w:t>
      </w:r>
    </w:p>
    <w:p>
      <w:pPr>
        <w:spacing w:after="0" w:line="136" w:lineRule="exact"/>
        <w:rPr>
          <w:sz w:val="20"/>
          <w:szCs w:val="20"/>
          <w:color w:val="auto"/>
        </w:rPr>
      </w:pPr>
    </w:p>
    <w:p>
      <w:pPr>
        <w:ind w:left="540" w:right="20" w:hanging="271"/>
        <w:spacing w:after="0" w:line="293" w:lineRule="auto"/>
        <w:tabs>
          <w:tab w:leader="none" w:pos="5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86" w:lineRule="exact"/>
        <w:rPr>
          <w:rFonts w:ascii="Times New Roman" w:cs="Times New Roman" w:eastAsia="Times New Roman" w:hAnsi="Times New Roman"/>
          <w:sz w:val="15"/>
          <w:szCs w:val="15"/>
          <w:color w:val="auto"/>
        </w:rPr>
      </w:pPr>
    </w:p>
    <w:p>
      <w:pPr>
        <w:jc w:val="both"/>
        <w:ind w:left="540" w:hanging="271"/>
        <w:spacing w:after="0" w:line="269" w:lineRule="auto"/>
        <w:tabs>
          <w:tab w:leader="none" w:pos="5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104"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were included in the scheduled distribution to the holders of the CVR in March 2025.</w:t>
      </w:r>
    </w:p>
    <w:p>
      <w:pPr>
        <w:spacing w:after="0" w:line="10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CVRs represent financial instruments that are accounted for under the fair value option election in ASC 825, Financial Instruments, or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and expected 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44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8"/>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cash flow dates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2025 - 2038</w:t>
            </w: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2025 - 2038</w:t>
            </w:r>
          </w:p>
        </w:tc>
      </w:tr>
      <w:tr>
        <w:trPr>
          <w:trHeight w:val="196"/>
        </w:trPr>
        <w:tc>
          <w:tcPr>
            <w:tcW w:w="8320" w:type="dxa"/>
            <w:vAlign w:val="bottom"/>
          </w:tcPr>
          <w:p>
            <w:pPr>
              <w:spacing w:after="0"/>
              <w:rPr>
                <w:sz w:val="20"/>
                <w:szCs w:val="20"/>
                <w:color w:val="auto"/>
              </w:rPr>
            </w:pPr>
            <w:r>
              <w:rPr>
                <w:rFonts w:ascii="Times New Roman" w:cs="Times New Roman" w:eastAsia="Times New Roman" w:hAnsi="Times New Roman"/>
                <w:sz w:val="15"/>
                <w:szCs w:val="15"/>
                <w:color w:val="auto"/>
              </w:rPr>
              <w:t>Estimated probability of success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 - 100.0%</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 - 100.0%</w:t>
            </w:r>
          </w:p>
        </w:tc>
      </w:tr>
      <w:tr>
        <w:trPr>
          <w:trHeight w:val="19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 of future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r>
    </w:tbl>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reflects a roll-forward of fair value for the Company’s Level 3 CVR liability for the nine months ended September 30, 2025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CVR liability</w:t>
            </w:r>
          </w:p>
        </w:tc>
      </w:tr>
      <w:tr>
        <w:trPr>
          <w:trHeight w:val="188"/>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395,500</w:t>
            </w:r>
          </w:p>
        </w:tc>
      </w:tr>
      <w:tr>
        <w:trPr>
          <w:trHeight w:val="196"/>
        </w:trPr>
        <w:tc>
          <w:tcPr>
            <w:tcW w:w="9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Distributions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(7,754)</w:t>
            </w:r>
          </w:p>
        </w:tc>
      </w:tr>
      <w:tr>
        <w:trPr>
          <w:trHeight w:val="196"/>
        </w:trPr>
        <w:tc>
          <w:tcPr>
            <w:tcW w:w="9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(18,746)</w:t>
            </w:r>
          </w:p>
        </w:tc>
      </w:tr>
      <w:tr>
        <w:trPr>
          <w:trHeight w:val="188"/>
        </w:trPr>
        <w:tc>
          <w:tcPr>
            <w:tcW w:w="99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369,000</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Forward Contract Liabilities</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2023 Private Placement which was settled in multiple tranches. The Company determined the obligation to issue 148,710.488 shares of Series A Preferred Stock to Dr. Timothy A. Springer, a member of the Company’s Board of Directors, and TAS Partners</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LLC, an affiliate of Dr. Springer, represented a forward contract. See Note 11, “Convertible Preferred Stock” to the consolidated financial statements included in the Company’s Annual Report on Form 10-K for the year ended December 31, 2024. The initial fair value of the forward contract liability on November 13, 2023 was insignificant as the fair value of the underlying Series A Preferred Stock was equal to the purchase price of the Series A Preferred Stock as agreed upon in the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8. Property and Equipment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Property and equipment consists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8"/>
        </w:trPr>
        <w:tc>
          <w:tcPr>
            <w:tcW w:w="8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Laboratory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7,295</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3,427</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Construction in process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property and equipment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16,518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12,269</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(2,357)</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Depreciation expense was $0.6 million and $0.3 million for the three months ended September 30, 2025 and 2024, respectively, and $1.8 million and $0.7 million for the nine months ended September 30, 2025 and 2024, respectively.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 Accrued Expenses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Accrued expenses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8"/>
        </w:trPr>
        <w:tc>
          <w:tcPr>
            <w:tcW w:w="8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Payroll and employee related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3,534</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Accrued patent fees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research and development costs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Accrued professional and consulting services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Leases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7495 New Horizon Way Leases</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w:t>
      </w:r>
    </w:p>
    <w:p>
      <w:pPr>
        <w:spacing w:after="0" w:line="10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Base rent, which was due beginning on July 1, 2024, is $0.9 million annually and is subject to an annual upward adjustment of 3% of the then-current rental rate. In addition, the Company is obligated to pay its share of operating costs and</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 related to the property. The Company paid the first month’s rent of $0.1 million upon execution of the Frederick Lease Agreement.</w:t>
      </w:r>
    </w:p>
    <w:p>
      <w:pPr>
        <w:spacing w:after="0" w:line="15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 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106"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Effective May 7, 2024, the Company and the Landlord entered into the first amendment to the Frederick Lease Agreement, or the First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106"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September 1, 2024 commencement date and concluded it should be accounted for as an operating lease. The Company recorded a lease liability and right-of-use asset each of $1.2 million on the commencement date. The First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10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First Frederick Lease Agreement Amendment by approximately 2,009 square feet. In connection with the expansion of the leased premises, the Company is obligated to pay $0.1 million in additional annual base rent for the first year of the term, which is subject to an annual upward adjustment of 3% of the then-current rental rate, as well as its share of operating costs and taxes. The lease commenced on September 1, 2024, which was the date the Landlord delivered full possession of the premises to the Company and will be coterminous with the Frederick Lease Agreement and the First Frederick Lease Agreement Amendment. The rent commencement date was September 1, 2024.</w:t>
      </w:r>
    </w:p>
    <w:p>
      <w:pPr>
        <w:spacing w:after="0" w:line="108"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September 1, 2024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99"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On March 13, 2025, the Company and the Landlord entered into the third amendment to the Frederick Lease Agreement, or the Third Frederick Lease Agreement Amendment, providing for the expansion of the premises leased pursuant to the Frederick Lease Agreement by approximately 6,439 square feet. In connection with the expansion of the leased premises, the Company is obligated to pay $0.2 million in additional annual base rent for the first year of the term, which is subject to an annual upward adjustment of 3% of the then-current rental rate, as well as its share of operating costs and taxes. The lease commenced on November 1, 2025, which was the date the Landlord delivered full possession of the premises to the Company and will be coterminous with the Frederick Lease Agreement, the First Frederick Lease Agreement Amendment and the Second Frederick Lease Agreement Amendment.</w:t>
      </w:r>
    </w:p>
    <w:p>
      <w:pPr>
        <w:spacing w:after="0" w:line="294"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The Company secured a letter of credit from Silicon Valley Bank, a division of First-Citizens Bank &amp; Trust Company (successor by purchase to the Federal Deposit Insurance Corporation as Receiver for Silicon Valley Bridge Bank, N.A. (as successor to Silicon Valley Bank)), or SVB, for $0.3 million for the Frederick Lease Agreement, the First Frederick Lease Agreement Amendment and the Second Frederick Lease Agreement Amendment, which is recognized as long-term restricted cash as of September 30, 2025 and December 31, 2024 and renews automatically each year.</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65 Grove Street Lease</w:t>
      </w:r>
    </w:p>
    <w:p>
      <w:pPr>
        <w:spacing w:after="0" w:line="15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July 2019, the Company entered into a lease with BRE-BMR Grove LLC for 25,078 square feet of laboratory and office space located at 65 Grove Street, Watertown, Massachusetts, or the Watertown Lease Agreement. As part of the Watertown Lease Agreement, the Company incurred $0.8 million in on-reimbursable construction costs. The lease began in March 2020,</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when the Company took control of the office space, and the lease term is eight years. The discount rate of 8.9% was determined based on the Company’s incremental borrowing rate adjusted for the lease term, including any reasonably certain renewal periods.</w:t>
      </w:r>
    </w:p>
    <w:p>
      <w:pPr>
        <w:spacing w:after="0" w:line="87"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On September 1, 2022, the Company entered into an amendment to the Watertown Lease, or the Watertown Lease Agreement Amendment, to expand the Company’s laboratory and office space located at 65 Grove Street, Watertown, Massachusetts by approximately 7,216 square feet. The lease term began on September 1, 2022, consistent with when the Company took control of the office space and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 during such year.</w:t>
      </w:r>
    </w:p>
    <w:p>
      <w:pPr>
        <w:spacing w:after="0" w:line="29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October 6, 2022, the Company entered into a sublease agreement to sublease 7,216 square feet of space currently rented by the Company at 65 Grove Street, Watertown, Massachusetts. The sublease commenced on October 24, 2022. The term of the sublease expired on March 31, 2024 with no option to extend the sublease term. Sublease income is included within other (expense) income, net in the consolidated statements of operations and comprehensive loss.</w:t>
      </w:r>
    </w:p>
    <w:p>
      <w:pPr>
        <w:spacing w:after="0" w:line="99"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As a result of the sublease agreement,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10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September 30, 2025 and December 31, 2024, and renews automatically each year.</w:t>
      </w:r>
    </w:p>
    <w:p>
      <w:pPr>
        <w:spacing w:after="0" w:line="99"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On October 31, 2023, in connection with entering into Amendment No. 1 to the Sobi License as described in Note 13, “Revenue Arrangements”,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The term of this sublease expired on November 5, 2024. Sublease income is included within other (expense) income, net in the consolidated statements of operations and comprehensive loss.</w:t>
      </w:r>
    </w:p>
    <w:p>
      <w:pPr>
        <w:spacing w:after="0" w:line="104"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As a result of the expiration of the sublease to Sobi in November 2024 and the Company’s decision to cease use of its office and laboratory space at 65 Grove Street, Watertown, Massachusetts, the Company assessed the right-of-use assets and related furniture and fixtures associated with the Watertown Lease Agreement and Watertown Lease Agreement Amendment for impairment. The carrying value of each asset group was compared against the future net undiscounted cash flows projected to be generate over the remaining lease terms. These projections included management’s estimates of cash inflows from potential sublease income. The carrying amount of the asset groups was found to be unrecoverable, thus the Company assessed the fair value of each asset group. The fair value was determined using the income approach, whereby the Company discounted the estimated net cash flows using a rate commensurate with the Company’s estimated incremental borrowing rate. As a result of this assessment, which included unrecoverable operating and maintenance costs, the Company determined that each asset group was fully impaired. As such, an impairment charge of $7.6 million was recognized during the year ended December 31, 2024, $7.4 million of which related to the right-of-use assets and $0.2 million related to property and equipment.</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704 Quince Orchard Road Leases</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the three and nine months ended September 30, 2025 and 2024, the components of lease costs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5"/>
                <w:szCs w:val="15"/>
                <w:color w:val="auto"/>
              </w:rPr>
            </w:pPr>
          </w:p>
        </w:tc>
        <w:tc>
          <w:tcPr>
            <w:tcW w:w="2280" w:type="dxa"/>
            <w:vAlign w:val="bottom"/>
            <w:gridSpan w:val="4"/>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2,789</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Variable lease cost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Less: Sublease income</w:t>
            </w:r>
          </w:p>
        </w:tc>
        <w:tc>
          <w:tcPr>
            <w:tcW w:w="8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lease cost</w:t>
            </w: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960" w:type="dxa"/>
            <w:vAlign w:val="bottom"/>
            <w:gridSpan w:val="5"/>
          </w:tcPr>
          <w:p>
            <w:pPr>
              <w:ind w:left="260"/>
              <w:spacing w:after="0"/>
              <w:rPr>
                <w:sz w:val="20"/>
                <w:szCs w:val="20"/>
                <w:color w:val="auto"/>
              </w:rPr>
            </w:pPr>
            <w:r>
              <w:rPr>
                <w:rFonts w:ascii="Times New Roman" w:cs="Times New Roman" w:eastAsia="Times New Roman" w:hAnsi="Times New Roman"/>
                <w:sz w:val="15"/>
                <w:szCs w:val="15"/>
                <w:color w:val="auto"/>
              </w:rPr>
              <w:t>The maturity of the Company’s operating lease liabilities as of September 30, 2025 were as follows (in thousands):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 (remainder)</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4,538</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4,345</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2,188</w:t>
            </w: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15,912</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3,309</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5"/>
            <w:vMerge w:val="restart"/>
          </w:tcPr>
          <w:p>
            <w:pPr>
              <w:ind w:left="260"/>
              <w:spacing w:after="0"/>
              <w:rPr>
                <w:sz w:val="20"/>
                <w:szCs w:val="20"/>
                <w:color w:val="auto"/>
              </w:rPr>
            </w:pPr>
            <w:r>
              <w:rPr>
                <w:rFonts w:ascii="Times New Roman" w:cs="Times New Roman" w:eastAsia="Times New Roman" w:hAnsi="Times New Roman"/>
                <w:sz w:val="15"/>
                <w:szCs w:val="15"/>
                <w:color w:val="auto"/>
              </w:rPr>
              <w:t>The supplemental disclosure for the statements of cash flows related to operating leases was as follows (in thousands):</w:t>
            </w: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6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40" w:type="dxa"/>
            <w:vAlign w:val="bottom"/>
            <w:gridSpan w:val="4"/>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Other than the initial recording of the right-of-use assets and lease liabilities for the Frederick Lease Agreement and Amended Frederick Lease Agreement, which were non-cash, the changes in the Company’s right-of-use assets and lease liabilities for the nine months ended September 30, 2025 and 2024 are reflected in the non-cash lease expense and accrued expenses and other liabilities, respectively, in the consolidated statements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following summarizes additional information related to operating leases: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58"/>
        </w:trPr>
        <w:tc>
          <w:tcPr>
            <w:tcW w:w="8320" w:type="dxa"/>
            <w:vAlign w:val="bottom"/>
          </w:tcPr>
          <w:p>
            <w:pPr>
              <w:spacing w:after="0"/>
              <w:rPr>
                <w:sz w:val="24"/>
                <w:szCs w:val="24"/>
                <w:color w:val="auto"/>
              </w:rPr>
            </w:pPr>
          </w:p>
        </w:tc>
        <w:tc>
          <w:tcPr>
            <w:tcW w:w="20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188"/>
        </w:trPr>
        <w:tc>
          <w:tcPr>
            <w:tcW w:w="8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years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 years</w:t>
            </w:r>
          </w:p>
        </w:tc>
      </w:tr>
      <w:tr>
        <w:trPr>
          <w:trHeight w:val="199"/>
        </w:trPr>
        <w:tc>
          <w:tcPr>
            <w:tcW w:w="83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Equity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Financings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2024 Private Placement</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On July 2, 2024, the Company and certain institutional and accredited investors, or the Purchasers, entered into the 2024 Securities Purchase Agreement for the 2024 Private Placement.</w:t>
      </w:r>
    </w:p>
    <w:p>
      <w:pPr>
        <w:spacing w:after="0" w:line="8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Pursuant to the 2024 Securities Purchase Agreement, the Purchasers agreed to purchase an aggregate of 3,563,247 shares of common stock and 2,937,903 shares of Series B Preferred Stock, inclusive of 2,359,500 shares of Series B Preferred Stock purchased by directors and executive officers of the Company, and related parties thereto, each at a price per share of $20.00.</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2024 Private Placement resulted in gross proceeds of approximately $130.0 million before deducting placement agent fees and other offering expenses.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“At-the-Market” Offering</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104" w:lineRule="exact"/>
        <w:rPr>
          <w:sz w:val="20"/>
          <w:szCs w:val="20"/>
          <w:color w:val="auto"/>
        </w:rPr>
      </w:pPr>
    </w:p>
    <w:p>
      <w:pPr>
        <w:ind w:right="240" w:firstLine="277"/>
        <w:spacing w:after="0" w:line="449" w:lineRule="auto"/>
        <w:rPr>
          <w:sz w:val="20"/>
          <w:szCs w:val="20"/>
          <w:color w:val="auto"/>
        </w:rPr>
      </w:pPr>
      <w:r>
        <w:rPr>
          <w:rFonts w:ascii="Times New Roman" w:cs="Times New Roman" w:eastAsia="Times New Roman" w:hAnsi="Times New Roman"/>
          <w:sz w:val="15"/>
          <w:szCs w:val="15"/>
          <w:color w:val="auto"/>
        </w:rPr>
        <w:t xml:space="preserve">During the nine months ended September 30, 2025 and the year ended December 31, 2024, the Company sold no shares of its common stock pursuant to the Sales Agreement. </w:t>
      </w:r>
      <w:r>
        <w:rPr>
          <w:rFonts w:ascii="Times New Roman" w:cs="Times New Roman" w:eastAsia="Times New Roman" w:hAnsi="Times New Roman"/>
          <w:sz w:val="15"/>
          <w:szCs w:val="15"/>
          <w:b w:val="1"/>
          <w:bCs w:val="1"/>
          <w:color w:val="auto"/>
        </w:rPr>
        <w:t>Warrants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During the nine months ended September 30, 2025, there were no warrants issued, exercised, or cancelled. The following is a summary of the Company’s warrants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Number of Warrants</w:t>
            </w: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Liability classified</w:t>
            </w:r>
          </w:p>
        </w:tc>
        <w:tc>
          <w:tcPr>
            <w:tcW w:w="14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Weighted-average</w:t>
            </w:r>
          </w:p>
        </w:tc>
        <w:tc>
          <w:tcPr>
            <w:tcW w:w="0" w:type="dxa"/>
            <w:vAlign w:val="bottom"/>
          </w:tcPr>
          <w:p>
            <w:pPr>
              <w:spacing w:after="0"/>
              <w:rPr>
                <w:sz w:val="1"/>
                <w:szCs w:val="1"/>
                <w:color w:val="auto"/>
              </w:rPr>
            </w:pPr>
          </w:p>
        </w:tc>
      </w:tr>
      <w:tr>
        <w:trPr>
          <w:trHeight w:val="208"/>
        </w:trPr>
        <w:tc>
          <w:tcPr>
            <w:tcW w:w="56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classified</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September 30, 2025</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685,712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See Note 12, “Equity” to the consolidated financial statements included in the Company’s Annual Report on Form 10-K for the year ended December 31, 2024 for further discussion of the terms related to the Company’s warrants.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the Company had 120,790.402 shares of Series A Preferred Stock and 437,927 shares of Series B Preferred Stock issued and outstanding, respectively, which are convertible into 4,464,273 shares of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Reserved Shares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has authorized shares of common stock for future issuance as of September 30, 2025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6880" w:type="dxa"/>
            <w:vAlign w:val="bottom"/>
            <w:gridSpan w:val="2"/>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55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692,523</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Shares available for future stock incentive awards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4,193,019</w:t>
            </w: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restricted stock units</w:t>
            </w:r>
          </w:p>
        </w:tc>
        <w:tc>
          <w:tcPr>
            <w:tcW w:w="6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523,254</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Outstanding common stock options</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2,433,656</w:t>
            </w: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Preferred Stock</w:t>
            </w:r>
          </w:p>
        </w:tc>
        <w:tc>
          <w:tcPr>
            <w:tcW w:w="6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4,026,346</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437,927</w:t>
            </w: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55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12,306,725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4023"/>
              <w:spacing w:after="0"/>
              <w:rPr>
                <w:sz w:val="20"/>
                <w:szCs w:val="20"/>
                <w:color w:val="auto"/>
              </w:rPr>
            </w:pPr>
            <w:r>
              <w:rPr>
                <w:rFonts w:ascii="Times New Roman" w:cs="Times New Roman" w:eastAsia="Times New Roman" w:hAnsi="Times New Roman"/>
                <w:sz w:val="15"/>
                <w:szCs w:val="15"/>
                <w:color w:val="auto"/>
              </w:rPr>
              <w:t>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38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9A9A9A"/>
            </w:tcBorders>
          </w:tcPr>
          <w:p>
            <w:pPr>
              <w:spacing w:after="0"/>
              <w:rPr>
                <w:sz w:val="20"/>
                <w:szCs w:val="20"/>
                <w:color w:val="auto"/>
              </w:rPr>
            </w:pPr>
          </w:p>
        </w:tc>
        <w:tc>
          <w:tcPr>
            <w:tcW w:w="556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Stock Incentive Plans</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99"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9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June 2024, the Company’s stockholders approved an amendment and restatement of the 2016 Plan to reserve an additional 3,466,544 shares of the Company’s common stock for issuance. In January 2025, the number of shares of common stock that may be issued under the 2016 Plan was increased by 1,030,694. As of September 30, 2025, 3,614,406 shares remain available for future issuance under the 2016 Plan.</w:t>
      </w:r>
    </w:p>
    <w:p>
      <w:pPr>
        <w:spacing w:after="0" w:line="108"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and December 2024, the Board of Directors approved amendments and restatements of the 2018 Inducement Incentive Award Plan to reserve an additional 360,000 and 450,000 shares, respectively, of the Company’s common stock for issuance thereunder. As of September 30, 2025, there are 496,639 shares available for future grant under the 2018 Inducement Incentive Award Plan.</w:t>
      </w:r>
    </w:p>
    <w:p>
      <w:pPr>
        <w:spacing w:after="0" w:line="108"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September 30, 2025, there are 36,179 shares available for future grant under the Old Cartesian Plan.</w:t>
      </w:r>
    </w:p>
    <w:p>
      <w:pPr>
        <w:spacing w:after="0" w:line="294"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$0.1 million and $0.3 million was recognized during the three months ended September 30, 2025 and 2024, respectively, and $0.5 million and $1.0 million was recognized during the nine months ended September 30, 2025 and 2024, respectively, as research and development expense in the consolidated statements of operations and comprehensive loss. Following the stockholder approval of the conversion of the Series A Preferred Stock into shares of common stock, the options exercisable for shares of Series A Preferred Stock became exercisable for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Stock-Based Compensation Expense</w:t>
      </w:r>
    </w:p>
    <w:p>
      <w:pPr>
        <w:spacing w:after="0" w:line="15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April 2025, the Company entered into a separation agreement and release, or the Separation Agreement, with the Company’s former Chief Technology Officer, Metin Kurtoglu. Dr. Kurtoglu’s employment with the Company ended effective May 2025, and Dr. Kurtoglu will serve as a consultant to the Company from May 2025 through April 2026, or the Consulting Period. Pursuant to the Separation Agreement, certain of Dr. Kurtoglu’s stock options and restricted stock unit awards were modified to accelerate the vesting of a portion of the awards, continue the vesting of the remaining awards during the Consulting Period, and extend the post-termination exercise period of the modified stock options. The services performed during the Consulting Period do not qualify as substantive services under ASC 718 and therefore, the continued vesting of these awards represents a modification to the original award. The modification resulted in the recognition of $0.7 million of stock-</w:t>
      </w: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compensation expense during the nine months ended September 30, 2025 which is reflected in research and development expenses on the consolidated statements of operations and comprehensive loss.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Stock-based compensation expense by classification included within the consolidated statements of operations and comprehensive loss,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5"/>
                <w:szCs w:val="15"/>
                <w:color w:val="auto"/>
              </w:rPr>
            </w:pPr>
          </w:p>
        </w:tc>
        <w:tc>
          <w:tcPr>
            <w:tcW w:w="2240" w:type="dxa"/>
            <w:vAlign w:val="bottom"/>
            <w:gridSpan w:val="4"/>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60" w:type="dxa"/>
            <w:vAlign w:val="bottom"/>
          </w:tcPr>
          <w:p>
            <w:pPr>
              <w:spacing w:after="0"/>
              <w:rPr>
                <w:sz w:val="15"/>
                <w:szCs w:val="15"/>
                <w:color w:val="auto"/>
              </w:rPr>
            </w:pPr>
          </w:p>
        </w:tc>
      </w:tr>
      <w:tr>
        <w:trPr>
          <w:trHeight w:val="205"/>
        </w:trPr>
        <w:tc>
          <w:tcPr>
            <w:tcW w:w="57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60" w:type="dxa"/>
            <w:vAlign w:val="bottom"/>
            <w:tcBorders>
              <w:bottom w:val="single" w:sz="8" w:color="auto"/>
            </w:tcBorders>
          </w:tcPr>
          <w:p>
            <w:pPr>
              <w:spacing w:after="0"/>
              <w:rPr>
                <w:sz w:val="17"/>
                <w:szCs w:val="17"/>
                <w:color w:val="auto"/>
              </w:rPr>
            </w:pPr>
          </w:p>
        </w:tc>
      </w:tr>
      <w:tr>
        <w:trPr>
          <w:trHeight w:val="190"/>
        </w:trPr>
        <w:tc>
          <w:tcPr>
            <w:tcW w:w="57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18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84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w:t>
            </w:r>
          </w:p>
        </w:tc>
      </w:tr>
      <w:tr>
        <w:trPr>
          <w:trHeight w:val="19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1,585</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2,430</w:t>
            </w:r>
          </w:p>
        </w:tc>
      </w:tr>
      <w:tr>
        <w:trPr>
          <w:trHeight w:val="213"/>
        </w:trPr>
        <w:tc>
          <w:tcPr>
            <w:tcW w:w="5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84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5"/>
                <w:szCs w:val="15"/>
                <w:color w:val="auto"/>
              </w:rPr>
            </w:pPr>
          </w:p>
        </w:tc>
        <w:tc>
          <w:tcPr>
            <w:tcW w:w="2360" w:type="dxa"/>
            <w:vAlign w:val="bottom"/>
            <w:gridSpan w:val="4"/>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54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5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w:t>
            </w:r>
          </w:p>
        </w:tc>
      </w:tr>
      <w:tr>
        <w:trPr>
          <w:trHeight w:val="196"/>
        </w:trPr>
        <w:tc>
          <w:tcPr>
            <w:tcW w:w="542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8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7"/>
                <w:szCs w:val="17"/>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r>
      <w:tr>
        <w:trPr>
          <w:trHeight w:val="196"/>
        </w:trPr>
        <w:tc>
          <w:tcPr>
            <w:tcW w:w="542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93.79%</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95.07%</w:t>
            </w: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fair value of common stock</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12.48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16.87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19.79</w:t>
            </w:r>
          </w:p>
        </w:tc>
      </w:tr>
    </w:tbl>
    <w:p>
      <w:pPr>
        <w:spacing w:after="0" w:line="193"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99"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weighted-average grant date fair value of stock options granted during the three months ended September 30, 2025 and 2024 was $9.82 and $14.23, respectively, and $13.54 and $15.75 during the nine months ended September 30, 2025 and 2024, respectively.</w:t>
      </w:r>
    </w:p>
    <w:p>
      <w:pPr>
        <w:spacing w:after="0" w:line="87"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total unrecognized compensation expense related to unvested common stock options was $13.7 million, which is expected to be recognized over a weighted average period of 2.8 years.</w:t>
      </w:r>
    </w:p>
    <w:p>
      <w:pPr>
        <w:spacing w:after="0" w:line="87"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following table summarizes the stock option activity under the 2016 Plan, the 2018 Inducement Incentive Award Plan, and the Old Cartesian Plan for options for common stock:</w:t>
      </w: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Number of</w:t>
      </w:r>
    </w:p>
    <w:p>
      <w:pPr>
        <w:ind w:left="5860"/>
        <w:spacing w:after="0" w:line="221" w:lineRule="auto"/>
        <w:rPr>
          <w:sz w:val="20"/>
          <w:szCs w:val="20"/>
          <w:color w:val="auto"/>
        </w:rPr>
      </w:pPr>
      <w:r>
        <w:rPr>
          <w:rFonts w:ascii="Times New Roman" w:cs="Times New Roman" w:eastAsia="Times New Roman" w:hAnsi="Times New Roman"/>
          <w:sz w:val="15"/>
          <w:szCs w:val="15"/>
          <w:b w:val="1"/>
          <w:bCs w:val="1"/>
          <w:color w:val="auto"/>
        </w:rPr>
        <w:t>common stock</w:t>
      </w:r>
    </w:p>
    <w:p>
      <w:pPr>
        <w:ind w:left="6100"/>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3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57"/>
        </w:trPr>
        <w:tc>
          <w:tcPr>
            <w:tcW w:w="1300" w:type="dxa"/>
            <w:vAlign w:val="bottom"/>
            <w:vMerge w:val="restart"/>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42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00" w:type="dxa"/>
            <w:vAlign w:val="bottom"/>
            <w:vMerge w:val="continue"/>
          </w:tcPr>
          <w:p>
            <w:pPr>
              <w:spacing w:after="0"/>
              <w:rPr>
                <w:sz w:val="13"/>
                <w:szCs w:val="13"/>
                <w:color w:val="auto"/>
              </w:rPr>
            </w:pPr>
          </w:p>
        </w:tc>
        <w:tc>
          <w:tcPr>
            <w:tcW w:w="142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contractual term</w:t>
            </w:r>
          </w:p>
        </w:tc>
        <w:tc>
          <w:tcPr>
            <w:tcW w:w="1340" w:type="dxa"/>
            <w:vAlign w:val="bottom"/>
          </w:tcPr>
          <w:p>
            <w:pPr>
              <w:jc w:val="center"/>
              <w:ind w:left="23"/>
              <w:spacing w:after="0" w:line="150" w:lineRule="exact"/>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96"/>
        </w:trPr>
        <w:tc>
          <w:tcPr>
            <w:tcW w:w="130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exercise price ($)</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1340" w:type="dxa"/>
            <w:vAlign w:val="bottom"/>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20" w:space="340"/>
            <w:col w:w="4100"/>
          </w:cols>
          <w:pgMar w:left="32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1,706,035</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12,025</w:t>
            </w:r>
          </w:p>
        </w:tc>
      </w:tr>
      <w:tr>
        <w:trPr>
          <w:trHeight w:val="196"/>
        </w:trPr>
        <w:tc>
          <w:tcPr>
            <w:tcW w:w="56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1,055,709</w:t>
            </w:r>
          </w:p>
        </w:tc>
        <w:tc>
          <w:tcPr>
            <w:tcW w:w="600" w:type="dxa"/>
            <w:vAlign w:val="bottom"/>
            <w:gridSpan w:val="2"/>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(82,944)</w:t>
            </w:r>
          </w:p>
        </w:tc>
        <w:tc>
          <w:tcPr>
            <w:tcW w:w="6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6"/>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(245,144)</w:t>
            </w:r>
          </w:p>
        </w:tc>
        <w:tc>
          <w:tcPr>
            <w:tcW w:w="600" w:type="dxa"/>
            <w:vAlign w:val="bottom"/>
            <w:tcBorders>
              <w:bottom w:val="single" w:sz="8" w:color="CCEEFF"/>
            </w:tcBorders>
            <w:gridSpan w:val="2"/>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r>
      <w:tr>
        <w:trPr>
          <w:trHeight w:val="213"/>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September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2,433,656</w:t>
            </w:r>
          </w:p>
        </w:tc>
        <w:tc>
          <w:tcPr>
            <w:tcW w:w="600" w:type="dxa"/>
            <w:vAlign w:val="bottom"/>
            <w:tcBorders>
              <w:bottom w:val="single" w:sz="8" w:color="CCEEFF"/>
            </w:tcBorders>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174"/>
        </w:trPr>
        <w:tc>
          <w:tcPr>
            <w:tcW w:w="5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at September 30,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895,577</w:t>
            </w:r>
          </w:p>
        </w:tc>
        <w:tc>
          <w:tcPr>
            <w:tcW w:w="6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4,698</w:t>
            </w:r>
          </w:p>
        </w:tc>
      </w:tr>
      <w:tr>
        <w:trPr>
          <w:trHeight w:val="199"/>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Vested and expected to vest at September 30,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2,189,301</w:t>
            </w:r>
          </w:p>
        </w:tc>
        <w:tc>
          <w:tcPr>
            <w:tcW w:w="600" w:type="dxa"/>
            <w:vAlign w:val="bottom"/>
            <w:gridSpan w:val="2"/>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5,085</w:t>
            </w:r>
          </w:p>
        </w:tc>
      </w:tr>
      <w:tr>
        <w:trPr>
          <w:trHeight w:val="632"/>
        </w:trPr>
        <w:tc>
          <w:tcPr>
            <w:tcW w:w="5680" w:type="dxa"/>
            <w:vAlign w:val="bottom"/>
          </w:tcPr>
          <w:p>
            <w:pPr>
              <w:spacing w:after="0"/>
              <w:rPr>
                <w:sz w:val="24"/>
                <w:szCs w:val="24"/>
                <w:color w:val="auto"/>
              </w:rPr>
            </w:pPr>
          </w:p>
        </w:tc>
        <w:tc>
          <w:tcPr>
            <w:tcW w:w="1320" w:type="dxa"/>
            <w:vAlign w:val="bottom"/>
          </w:tcPr>
          <w:p>
            <w:pPr>
              <w:jc w:val="right"/>
              <w:ind w:right="1083"/>
              <w:spacing w:after="0"/>
              <w:rPr>
                <w:sz w:val="20"/>
                <w:szCs w:val="20"/>
                <w:color w:val="auto"/>
              </w:rPr>
            </w:pPr>
            <w:r>
              <w:rPr>
                <w:rFonts w:ascii="Times New Roman" w:cs="Times New Roman" w:eastAsia="Times New Roman" w:hAnsi="Times New Roman"/>
                <w:sz w:val="15"/>
                <w:szCs w:val="15"/>
                <w:color w:val="auto"/>
                <w:w w:val="93"/>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568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5" w:name="page26"/>
    <w:bookmarkEnd w:id="25"/>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Units</w:t>
      </w:r>
    </w:p>
    <w:p>
      <w:pPr>
        <w:spacing w:after="0" w:line="155"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During the nine months ended September 30, 2025, the Company granted 256,790 restricted stock unit awards with a weighted-average fair value of $16.93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104"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Unrecognized compensation expense related to the restricted stock units was $5.9 million as of September 30, 2025, which is expected to be recognized over a weighted-average period of 2.5 years.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The following table summarizes the Company’s restricted stock units under the 2016 Plan and the Old Cartesian Plan:</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8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3"/>
                <w:szCs w:val="13"/>
                <w:color w:val="auto"/>
              </w:rPr>
            </w:pPr>
          </w:p>
        </w:tc>
        <w:tc>
          <w:tcPr>
            <w:tcW w:w="1160" w:type="dxa"/>
            <w:vAlign w:val="bottom"/>
          </w:tcPr>
          <w:p>
            <w:pPr>
              <w:jc w:val="right"/>
              <w:ind w:right="243"/>
              <w:spacing w:after="0" w:line="155"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fair value ($)</w:t>
            </w:r>
          </w:p>
        </w:tc>
        <w:tc>
          <w:tcPr>
            <w:tcW w:w="0" w:type="dxa"/>
            <w:vAlign w:val="bottom"/>
          </w:tcPr>
          <w:p>
            <w:pPr>
              <w:spacing w:after="0"/>
              <w:rPr>
                <w:sz w:val="1"/>
                <w:szCs w:val="1"/>
                <w:color w:val="auto"/>
              </w:rPr>
            </w:pPr>
          </w:p>
        </w:tc>
      </w:tr>
      <w:tr>
        <w:trPr>
          <w:trHeight w:val="18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444,238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0" w:type="dxa"/>
            <w:vAlign w:val="bottom"/>
          </w:tcPr>
          <w:p>
            <w:pPr>
              <w:spacing w:after="0"/>
              <w:rPr>
                <w:sz w:val="1"/>
                <w:szCs w:val="1"/>
                <w:color w:val="auto"/>
              </w:rPr>
            </w:pPr>
          </w:p>
        </w:tc>
      </w:tr>
      <w:tr>
        <w:trPr>
          <w:trHeight w:val="196"/>
        </w:trPr>
        <w:tc>
          <w:tcPr>
            <w:tcW w:w="8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w:t>
            </w: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(24,481)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September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523,254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Revenue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Astellas Gene Therapies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License and Development Agreement</w:t>
      </w:r>
    </w:p>
    <w:p>
      <w:pPr>
        <w:spacing w:after="0" w:line="15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January 2023, the Company entered into the License and Development Agreement, or the Astellas Agreement, with Audentes Therapeutics, Inc., or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was licensed pursuant to an Exclusive License Agreement, or the Genovis Agreement, with Genovis AB (publ.), or Genovis, as described in Note 15, “Collaboration and License Agreements” to these unaudited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“Revenue Arrangements” to the consolidated financial statements in the Company’s Annual Report on Form 10-K for the year ended December 31, 2024.</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March 2024, the Company was notified by Astellas of its intention to terminate the Astellas Agreement, which occurred effective June 6, 2024.</w:t>
      </w:r>
    </w:p>
    <w:p>
      <w:pPr>
        <w:spacing w:after="0" w:line="15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As of September 30, 2025, there were no unsatisfied performance obligations and no receivable related to the Astellas Agreement. As of December 31, 2024, the Company recorded a receivable of $0.1 million, representing billings for the Xork Development Services (as defined in the Astellas Agreement) that are subject to reimbursement by Astellas. No revenue related to the Astellas Agreement was recognized during the three and nine months ended September 30, 2025 or the three months ended September 30, 2024. During the nine months ended September 30, 2024, revenue of $6.3 million related to the Astellas Agreement was recognized, inclusive of $3.2 million of revenue recognized from performance obligations related to prior periods as a result of the change in transaction price during the nine months ended September 30, 2024.</w:t>
      </w: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right"/>
        <w:ind w:right="8720"/>
        <w:spacing w:after="0"/>
        <w:rPr>
          <w:sz w:val="20"/>
          <w:szCs w:val="20"/>
          <w:color w:val="auto"/>
        </w:rPr>
      </w:pPr>
      <w:r>
        <w:rPr>
          <w:rFonts w:ascii="Times New Roman" w:cs="Times New Roman" w:eastAsia="Times New Roman" w:hAnsi="Times New Roman"/>
          <w:sz w:val="15"/>
          <w:szCs w:val="15"/>
          <w:b w:val="1"/>
          <w:bCs w:val="1"/>
          <w:color w:val="auto"/>
        </w:rPr>
        <w:t>Swedish Orphan Biovitrum AB (publ.)</w:t>
      </w:r>
    </w:p>
    <w:p>
      <w:pPr>
        <w:spacing w:after="0" w:line="151"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5"/>
          <w:szCs w:val="15"/>
          <w:i w:val="1"/>
          <w:iCs w:val="1"/>
          <w:color w:val="auto"/>
        </w:rPr>
        <w:t>License and Development Agreement</w:t>
      </w:r>
    </w:p>
    <w:p>
      <w:pPr>
        <w:spacing w:after="0" w:line="15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“Revenue Arrangements” to the consolidated financial statements in the Company’s Annual Report on Form 10-K for the year ended December 31, 2024. Any proceeds received from milestone payments or royalties relating to the Sobi License would be required to be distributed to holders of CVRs, net of certain deductions.</w:t>
      </w:r>
    </w:p>
    <w:p>
      <w:pPr>
        <w:spacing w:after="0" w:line="112"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spacing w:after="0" w:line="106"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As of each of September 30, 2025 and December 31, 2024, the Company recorded total outstanding receivables of $0.1 million, representing billings for the Phase 3 DISSOLVE program that are subject to reimbursement by Sobi. Additionally, as of September 30, 2025 and December 31, 2024, there was no unbilled receivable outstanding. No revenue was recognized during the three and nine months ended September 30, 2025 or the three months ended September 30, 2024. Revenue of $32.8 million, inclusive of the $30.0 million development milestone, related to the Sobi License was recognized during the nine months ended September 30,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Transaction Price Allocated to Future Performance Obligations</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Remaining performance obligations represent the transaction price of contracts for which work has not been performed, or has been partially performed. As of September 30, 2025 and December 31, 2024, there were no unsatisfied performance obligations from contracts with customers.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National Institute of Neurological Disorders and Stroke of the National Institutes of Health</w:t>
      </w:r>
    </w:p>
    <w:p>
      <w:pPr>
        <w:spacing w:after="0" w:line="155"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In June 2024, the Company received funding approval from the National Institute of Neurological Disorders and Stroke of the National Institutes of Health, or NINDS, for an award of $1.5 million granted for the budget period, which ran from June 2024 through May 2025. In June 2025, the Company received funding approval from NINDS for an additional award of $1.5 million granted for the budget period that runs from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29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As of September 30, 2025 and December 31, 2024, the Company recorded a receivable of $0.5 million and $0.6 million, respectively, that is subject to reimbursement by NINDS. The Company recognized grant revenue of $0.5 million and $1.4 million during the three and nine months ended September 30, 2025, respectively. The Company recognized grant revenue of $0.4 million and $0.6 million during the three and nine months ended September 30, 2024,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Related-Party Transactions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2024 Securities Purchase Agreement</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July 2, 2024, the Company entered into the 2024 Securities Purchase Agreement with the Purchasers. The Purchasers included (i) Dr. Timothy A. Springer, a member of the Company’s Board of Directors; (ii) TAS Partners LLC, an affiliate of Dr. Springer, and (iii) Dr. Chafen Lu, Dr. Springer’s wife. See Note 11, “Convertible Preferred Stock” to the consolidated</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7" w:name="page28"/>
    <w:bookmarkEnd w:id="27"/>
    <w:p>
      <w:pPr>
        <w:ind w:left="26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left="8" w:right="20"/>
        <w:spacing w:after="0" w:line="293" w:lineRule="auto"/>
        <w:rPr>
          <w:sz w:val="20"/>
          <w:szCs w:val="20"/>
          <w:color w:val="auto"/>
        </w:rPr>
      </w:pPr>
      <w:r>
        <w:rPr>
          <w:rFonts w:ascii="Times New Roman" w:cs="Times New Roman" w:eastAsia="Times New Roman" w:hAnsi="Times New Roman"/>
          <w:sz w:val="15"/>
          <w:szCs w:val="15"/>
          <w:color w:val="auto"/>
        </w:rPr>
        <w:t>financial statements included in the Company’s Annual Report on Form 10-K for the year ended December 31, 2024 for further discussion of the 2024 Private Placement. The below issuances and sales to related parties of the Company were made during the nine months ended September 30, 2024.</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8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Shares of Series B</w:t>
            </w:r>
          </w:p>
        </w:tc>
        <w:tc>
          <w:tcPr>
            <w:tcW w:w="12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Total aggregate</w:t>
            </w:r>
          </w:p>
        </w:tc>
        <w:tc>
          <w:tcPr>
            <w:tcW w:w="0" w:type="dxa"/>
            <w:vAlign w:val="bottom"/>
          </w:tcPr>
          <w:p>
            <w:pPr>
              <w:spacing w:after="0"/>
              <w:rPr>
                <w:sz w:val="1"/>
                <w:szCs w:val="1"/>
                <w:color w:val="auto"/>
              </w:rPr>
            </w:pPr>
          </w:p>
        </w:tc>
      </w:tr>
      <w:tr>
        <w:trPr>
          <w:trHeight w:val="155"/>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20" w:type="dxa"/>
            <w:vAlign w:val="bottom"/>
          </w:tcPr>
          <w:p>
            <w:pPr>
              <w:spacing w:after="0"/>
              <w:rPr>
                <w:sz w:val="13"/>
                <w:szCs w:val="13"/>
                <w:color w:val="auto"/>
              </w:rPr>
            </w:pPr>
          </w:p>
        </w:tc>
        <w:tc>
          <w:tcPr>
            <w:tcW w:w="12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purchase price</w:t>
            </w:r>
          </w:p>
        </w:tc>
        <w:tc>
          <w:tcPr>
            <w:tcW w:w="0" w:type="dxa"/>
            <w:vAlign w:val="bottom"/>
          </w:tcPr>
          <w:p>
            <w:pPr>
              <w:spacing w:after="0"/>
              <w:rPr>
                <w:sz w:val="1"/>
                <w:szCs w:val="1"/>
                <w:color w:val="auto"/>
              </w:rPr>
            </w:pPr>
          </w:p>
        </w:tc>
      </w:tr>
      <w:tr>
        <w:trPr>
          <w:trHeight w:val="203"/>
        </w:trPr>
        <w:tc>
          <w:tcPr>
            <w:tcW w:w="85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7"/>
                <w:szCs w:val="17"/>
                <w:color w:val="auto"/>
              </w:rPr>
            </w:pPr>
          </w:p>
        </w:tc>
        <w:tc>
          <w:tcPr>
            <w:tcW w:w="12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8"/>
        </w:trPr>
        <w:tc>
          <w:tcPr>
            <w:tcW w:w="8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Timothy A. Springer, Ph.D.</w:t>
            </w: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1,636,832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32,737</w:t>
            </w:r>
          </w:p>
        </w:tc>
        <w:tc>
          <w:tcPr>
            <w:tcW w:w="0" w:type="dxa"/>
            <w:vAlign w:val="bottom"/>
          </w:tcPr>
          <w:p>
            <w:pPr>
              <w:spacing w:after="0"/>
              <w:rPr>
                <w:sz w:val="1"/>
                <w:szCs w:val="1"/>
                <w:color w:val="auto"/>
              </w:rPr>
            </w:pPr>
          </w:p>
        </w:tc>
      </w:tr>
      <w:tr>
        <w:trPr>
          <w:trHeight w:val="196"/>
        </w:trPr>
        <w:tc>
          <w:tcPr>
            <w:tcW w:w="8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TAS Partners LLC, affiliate of Timothy A. Springer, Ph.D.</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721,361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14,427</w:t>
            </w:r>
          </w:p>
        </w:tc>
        <w:tc>
          <w:tcPr>
            <w:tcW w:w="0" w:type="dxa"/>
            <w:vAlign w:val="bottom"/>
          </w:tcPr>
          <w:p>
            <w:pPr>
              <w:spacing w:after="0"/>
              <w:rPr>
                <w:sz w:val="1"/>
                <w:szCs w:val="1"/>
                <w:color w:val="auto"/>
              </w:rPr>
            </w:pPr>
          </w:p>
        </w:tc>
      </w:tr>
      <w:tr>
        <w:trPr>
          <w:trHeight w:val="19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Chafen Lu, Ph.D., wife of Timothy A. Springer, Ph.D.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i w:val="1"/>
          <w:iCs w:val="1"/>
          <w:color w:val="auto"/>
        </w:rPr>
        <w:t>2023 Securities Purchase Agreement</w:t>
      </w:r>
    </w:p>
    <w:p>
      <w:pPr>
        <w:spacing w:after="0" w:line="155" w:lineRule="exact"/>
        <w:rPr>
          <w:sz w:val="20"/>
          <w:szCs w:val="20"/>
          <w:color w:val="auto"/>
        </w:rPr>
      </w:pPr>
    </w:p>
    <w:p>
      <w:pPr>
        <w:jc w:val="both"/>
        <w:ind w:left="8" w:firstLine="277"/>
        <w:spacing w:after="0" w:line="264" w:lineRule="auto"/>
        <w:rPr>
          <w:sz w:val="20"/>
          <w:szCs w:val="20"/>
          <w:color w:val="auto"/>
        </w:rPr>
      </w:pPr>
      <w:r>
        <w:rPr>
          <w:rFonts w:ascii="Times New Roman" w:cs="Times New Roman" w:eastAsia="Times New Roman" w:hAnsi="Times New Roman"/>
          <w:sz w:val="15"/>
          <w:szCs w:val="15"/>
          <w:color w:val="auto"/>
        </w:rPr>
        <w:t>On November 13, 2023, the Company entered into the 2023 Securities Purchase Agreement with (i) Dr. Timothy A. Springer, a member of the Company’s Board of Directors, (ii) TAS Partners LLC, an affiliate of Dr. Springer, and (iii) Seven One Eight Three Four Irrevocable Trust, a trust associated with Dr. Murat Kalayoglu, a member of the Company’s Board of Directors, or the Investors, in which the Company agreed to issue and sell an aggregate of 149,330.115 shares of Series A Preferred Stock for an aggregate purchase price of $60.25 million. See Note 11, “Convertible Preferred Stock” to the consolidated financial statements included in the Company’s Annual Report on Form 10-K for the year ended December 31, 2024 for further discussion of the 2023 Private Placement. The 2023 Private Placement included a delayed settlement mechanism, and as a result, the below issuances and sales to related parties of the Company were made during the nine months ended September 30, 2024.</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8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 of Series A</w:t>
            </w:r>
          </w:p>
        </w:tc>
        <w:tc>
          <w:tcPr>
            <w:tcW w:w="12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Total aggregate</w:t>
            </w:r>
          </w:p>
        </w:tc>
        <w:tc>
          <w:tcPr>
            <w:tcW w:w="0" w:type="dxa"/>
            <w:vAlign w:val="bottom"/>
          </w:tcPr>
          <w:p>
            <w:pPr>
              <w:spacing w:after="0"/>
              <w:rPr>
                <w:sz w:val="1"/>
                <w:szCs w:val="1"/>
                <w:color w:val="auto"/>
              </w:rPr>
            </w:pPr>
          </w:p>
        </w:tc>
      </w:tr>
      <w:tr>
        <w:trPr>
          <w:trHeight w:val="15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0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20" w:type="dxa"/>
            <w:vAlign w:val="bottom"/>
          </w:tcPr>
          <w:p>
            <w:pPr>
              <w:spacing w:after="0"/>
              <w:rPr>
                <w:sz w:val="13"/>
                <w:szCs w:val="13"/>
                <w:color w:val="auto"/>
              </w:rPr>
            </w:pPr>
          </w:p>
        </w:tc>
        <w:tc>
          <w:tcPr>
            <w:tcW w:w="1200" w:type="dxa"/>
            <w:vAlign w:val="bottom"/>
          </w:tcPr>
          <w:p>
            <w:pPr>
              <w:jc w:val="center"/>
              <w:ind w:right="43"/>
              <w:spacing w:after="0" w:line="150" w:lineRule="exact"/>
              <w:rPr>
                <w:sz w:val="20"/>
                <w:szCs w:val="20"/>
                <w:color w:val="auto"/>
              </w:rPr>
            </w:pPr>
            <w:r>
              <w:rPr>
                <w:rFonts w:ascii="Times New Roman" w:cs="Times New Roman" w:eastAsia="Times New Roman" w:hAnsi="Times New Roman"/>
                <w:sz w:val="15"/>
                <w:szCs w:val="15"/>
                <w:b w:val="1"/>
                <w:bCs w:val="1"/>
                <w:color w:val="auto"/>
              </w:rPr>
              <w:t>purchase price</w:t>
            </w:r>
          </w:p>
        </w:tc>
        <w:tc>
          <w:tcPr>
            <w:tcW w:w="0" w:type="dxa"/>
            <w:vAlign w:val="bottom"/>
          </w:tcPr>
          <w:p>
            <w:pPr>
              <w:spacing w:after="0"/>
              <w:rPr>
                <w:sz w:val="1"/>
                <w:szCs w:val="1"/>
                <w:color w:val="auto"/>
              </w:rPr>
            </w:pPr>
          </w:p>
        </w:tc>
      </w:tr>
      <w:tr>
        <w:trPr>
          <w:trHeight w:val="208"/>
        </w:trPr>
        <w:tc>
          <w:tcPr>
            <w:tcW w:w="8540" w:type="dxa"/>
            <w:vAlign w:val="bottom"/>
            <w:gridSpan w:val="2"/>
            <w:vMerge w:val="continue"/>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8"/>
                <w:szCs w:val="18"/>
                <w:color w:val="auto"/>
              </w:rPr>
            </w:pPr>
          </w:p>
        </w:tc>
        <w:tc>
          <w:tcPr>
            <w:tcW w:w="12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8"/>
        </w:trPr>
        <w:tc>
          <w:tcPr>
            <w:tcW w:w="8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Timothy A. Springer, Ph.D.</w:t>
            </w: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99,140.326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i w:val="1"/>
          <w:iCs w:val="1"/>
          <w:color w:val="auto"/>
        </w:rPr>
        <w:t>Exercise of Amended 2019 Warrants</w:t>
      </w:r>
    </w:p>
    <w:p>
      <w:pPr>
        <w:spacing w:after="0" w:line="108" w:lineRule="exact"/>
        <w:rPr>
          <w:sz w:val="20"/>
          <w:szCs w:val="20"/>
          <w:color w:val="auto"/>
        </w:rPr>
      </w:pPr>
    </w:p>
    <w:p>
      <w:pPr>
        <w:jc w:val="both"/>
        <w:ind w:left="8" w:firstLine="277"/>
        <w:spacing w:after="0" w:line="293" w:lineRule="auto"/>
        <w:rPr>
          <w:sz w:val="20"/>
          <w:szCs w:val="20"/>
          <w:color w:val="auto"/>
        </w:rPr>
      </w:pPr>
      <w:r>
        <w:rPr>
          <w:rFonts w:ascii="Times New Roman" w:cs="Times New Roman" w:eastAsia="Times New Roman" w:hAnsi="Times New Roman"/>
          <w:sz w:val="15"/>
          <w:szCs w:val="15"/>
          <w:color w:val="auto"/>
        </w:rPr>
        <w:t>On March 26, 2024, TAS Partners LLC exercised 65,681 Amended 2019 Warrants, paid the per-share exercise price of $43.80 in cash for an aggregate exercise price of $2.9 million, and received 65,681 shares of common stock and 1,970,443 CVRs.</w:t>
      </w:r>
    </w:p>
    <w:p>
      <w:pPr>
        <w:spacing w:after="0" w:line="87"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During the three and nine months ended September 30, 2025, there were no related party transactions.</w:t>
      </w:r>
    </w:p>
    <w:p>
      <w:pPr>
        <w:spacing w:after="0" w:line="147" w:lineRule="exact"/>
        <w:rPr>
          <w:sz w:val="20"/>
          <w:szCs w:val="20"/>
          <w:color w:val="auto"/>
        </w:rPr>
      </w:pPr>
    </w:p>
    <w:p>
      <w:pPr>
        <w:ind w:left="8" w:right="8480" w:hanging="8"/>
        <w:spacing w:after="0" w:line="452" w:lineRule="auto"/>
        <w:tabs>
          <w:tab w:leader="none" w:pos="238"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Collaboration and License Agreements Biogen MA, Inc.</w:t>
      </w:r>
    </w:p>
    <w:p>
      <w:pPr>
        <w:spacing w:after="0" w:line="1"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104" w:lineRule="exact"/>
        <w:rPr>
          <w:sz w:val="20"/>
          <w:szCs w:val="20"/>
          <w:color w:val="auto"/>
        </w:rPr>
      </w:pPr>
    </w:p>
    <w:p>
      <w:pPr>
        <w:jc w:val="both"/>
        <w:ind w:left="8" w:firstLine="277"/>
        <w:spacing w:after="0" w:line="269"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04" w:lineRule="exact"/>
        <w:rPr>
          <w:sz w:val="20"/>
          <w:szCs w:val="20"/>
          <w:color w:val="auto"/>
        </w:rPr>
      </w:pPr>
    </w:p>
    <w:p>
      <w:pPr>
        <w:jc w:val="both"/>
        <w:ind w:left="8" w:right="20" w:firstLine="277"/>
        <w:spacing w:after="0" w:line="275" w:lineRule="auto"/>
        <w:rPr>
          <w:sz w:val="20"/>
          <w:szCs w:val="20"/>
          <w:color w:val="auto"/>
        </w:rPr>
      </w:pPr>
      <w:r>
        <w:rPr>
          <w:rFonts w:ascii="Times New Roman" w:cs="Times New Roman" w:eastAsia="Times New Roman" w:hAnsi="Times New Roman"/>
          <w:sz w:val="15"/>
          <w:szCs w:val="15"/>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w:t>
      </w:r>
    </w:p>
    <w:p>
      <w:pPr>
        <w:spacing w:after="0" w:line="330" w:lineRule="exact"/>
        <w:rPr>
          <w:sz w:val="20"/>
          <w:szCs w:val="20"/>
          <w:color w:val="auto"/>
        </w:rPr>
      </w:pPr>
    </w:p>
    <w:p>
      <w:pPr>
        <w:jc w:val="center"/>
        <w:ind w:right="-267"/>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151130</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125" w:right="31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16, 2032, absent any challenges to the patent term. The other issued patent in this family was not awarded any patent term adjustment, so its expected expiration date is March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National Cancer Institute of the National Institutes of Health</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8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99"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9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108"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Additionally, the Company must use reasonable commercial efforts to submit a BLA with respect to a licensed product by the fourth quarter of 2026 and make a first commercial sale of a licensed product by the fourth quarter of 2028.</w:t>
      </w:r>
    </w:p>
    <w:p>
      <w:pPr>
        <w:spacing w:after="0" w:line="87"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109"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Genovis AB (publ.)</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License Agreement</w:t>
      </w:r>
    </w:p>
    <w:p>
      <w:pPr>
        <w:spacing w:after="0" w:line="108"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In October 2021, the Company entered into the Genovis Agreement with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w:t>
      </w:r>
    </w:p>
    <w:p>
      <w:pPr>
        <w:spacing w:after="0" w:line="3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February 2023, the Company made a $4.0 million payment to Genovis as a result of the sublicense of Xork to Astellas. See Note 13, “Revenue Arrangements” to these unaudited consolidated financial statements for further discussion on the Astellas Agreement.</w:t>
      </w:r>
    </w:p>
    <w:p>
      <w:pPr>
        <w:spacing w:after="0" w:line="87" w:lineRule="exact"/>
        <w:rPr>
          <w:sz w:val="20"/>
          <w:szCs w:val="20"/>
          <w:color w:val="auto"/>
        </w:rPr>
      </w:pPr>
    </w:p>
    <w:p>
      <w:pPr>
        <w:ind w:right="1980" w:firstLine="277"/>
        <w:spacing w:after="0" w:line="449" w:lineRule="auto"/>
        <w:rPr>
          <w:sz w:val="20"/>
          <w:szCs w:val="20"/>
          <w:color w:val="auto"/>
        </w:rPr>
      </w:pPr>
      <w:r>
        <w:rPr>
          <w:rFonts w:ascii="Times New Roman" w:cs="Times New Roman" w:eastAsia="Times New Roman" w:hAnsi="Times New Roman"/>
          <w:sz w:val="15"/>
          <w:szCs w:val="15"/>
          <w:color w:val="auto"/>
        </w:rPr>
        <w:t xml:space="preserve">In March 2024, the Company notified Genovis of its intention to terminate the Genovis Agreement, which occurred effective September 13, 2024. </w:t>
      </w:r>
      <w:r>
        <w:rPr>
          <w:rFonts w:ascii="Times New Roman" w:cs="Times New Roman" w:eastAsia="Times New Roman" w:hAnsi="Times New Roman"/>
          <w:sz w:val="15"/>
          <w:szCs w:val="15"/>
          <w:b w:val="1"/>
          <w:bCs w:val="1"/>
          <w:color w:val="auto"/>
        </w:rPr>
        <w:t>Shenyang Sunshine Pharmaceutical Co., Ltd</w:t>
      </w:r>
    </w:p>
    <w:p>
      <w:pPr>
        <w:spacing w:after="0" w:line="1"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September 30, 2025.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Income Taxes</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Commitments and Contingencies</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As of September 30, 2025, the Company was not a party to any litigation that could have a material adverse effect on the Company’s business, financial position, results of operations or cash flows.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As permitted under Delaware law, the Company indemnifies its officers, directors, consultants and employees for certain events or occurrences that happen by reason of the relationship with, or position held at the Company. Through September 30, 2025,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04"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0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18. Restructuring</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In April 2023, in light of then-current market conditions, the Board of Directors took steps to extend the Company’s cash runway by pausing further development of the Company’s product candidate, SEL-302, for the treatment of methylmalonic acidemia, and conducting a targeted headcount reduction. On August 17, 2023, the Company announced additional steps to extend cash runway and maximize value for stockholders by continuing to prioritize development of the Company’s product candidate, SEL-212, and support of its collaboration with Astellas for Xork, and pausing further development of all of the Company’s other clinical and preclinical product candidates that it was no longer actively advancing. As a result of these measures, the Company implemented a restructuring plan that resulted in an approximate 90% reduction of the Company’s headcount as of April 2023.</w:t>
      </w:r>
    </w:p>
    <w:p>
      <w:pPr>
        <w:spacing w:after="0" w:line="10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summarizes the change in the Company’s accrued restructuring balance included in accrued expenses and other current liabilities on its consolidated balance sheets (in thousands):</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576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Table of Contents</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400" w:type="dxa"/>
            <w:vAlign w:val="bottom"/>
          </w:tcPr>
          <w:p>
            <w:pPr>
              <w:spacing w:after="0"/>
              <w:rPr>
                <w:sz w:val="24"/>
                <w:szCs w:val="24"/>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Charges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Cash Payments</w:t>
            </w:r>
          </w:p>
        </w:tc>
        <w:tc>
          <w:tcPr>
            <w:tcW w:w="140" w:type="dxa"/>
            <w:vAlign w:val="bottom"/>
          </w:tcPr>
          <w:p>
            <w:pPr>
              <w:spacing w:after="0"/>
              <w:rPr>
                <w:sz w:val="24"/>
                <w:szCs w:val="24"/>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88"/>
        </w:trPr>
        <w:tc>
          <w:tcPr>
            <w:tcW w:w="5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liability</w:t>
            </w:r>
          </w:p>
        </w:tc>
        <w:tc>
          <w:tcPr>
            <w:tcW w:w="50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1"/>
        </w:trPr>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Charges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Cash Payments</w:t>
            </w:r>
          </w:p>
        </w:tc>
        <w:tc>
          <w:tcPr>
            <w:tcW w:w="140" w:type="dxa"/>
            <w:vAlign w:val="bottom"/>
          </w:tcPr>
          <w:p>
            <w:pPr>
              <w:spacing w:after="0"/>
              <w:rPr>
                <w:sz w:val="24"/>
                <w:szCs w:val="24"/>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88"/>
        </w:trPr>
        <w:tc>
          <w:tcPr>
            <w:tcW w:w="5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liability</w:t>
            </w:r>
          </w:p>
        </w:tc>
        <w:tc>
          <w:tcPr>
            <w:tcW w:w="50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3,896</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Company recognized restructuring expenses consisting of one-time cash severance payments and other employee-related costs. The Company recorded these restructuring charges based on each employee’s role to the respective research and development and general and administrative operating expense categories on its consolidated statements of operations and comprehensive loss. For the nine months ended September 30, 2025, the Company recognized no restructuring charges. For the nine months ended September 30, 2024, the Company recognized $0.2 million in research and development expenses and $0.6 million in general and administrative expenses. Payments for the restructuring plan were completed in the first quarter of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19. Segment Information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presents selected financial information with respect to the Company’s single operating segment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8"/>
        </w:trPr>
        <w:tc>
          <w:tcPr>
            <w:tcW w:w="57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6"/>
        </w:trPr>
        <w:tc>
          <w:tcPr>
            <w:tcW w:w="5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Collaboration and license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39,111</w:t>
            </w:r>
          </w:p>
        </w:tc>
      </w:tr>
      <w:tr>
        <w:trPr>
          <w:trHeight w:val="19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188"/>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39,672</w:t>
            </w:r>
          </w:p>
        </w:tc>
      </w:tr>
      <w:tr>
        <w:trPr>
          <w:trHeight w:val="19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Legacy Selecta programs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6,644</w:t>
            </w:r>
          </w:p>
        </w:tc>
      </w:tr>
      <w:tr>
        <w:trPr>
          <w:trHeight w:val="196"/>
        </w:trPr>
        <w:tc>
          <w:tcPr>
            <w:tcW w:w="5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Descartes-08 for MG</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8,588</w:t>
            </w:r>
          </w:p>
        </w:tc>
      </w:tr>
      <w:tr>
        <w:trPr>
          <w:trHeight w:val="19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Early stage programs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r>
      <w:tr>
        <w:trPr>
          <w:trHeight w:val="196"/>
        </w:trPr>
        <w:tc>
          <w:tcPr>
            <w:tcW w:w="5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and development employee expenses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8,372</w:t>
            </w:r>
          </w:p>
        </w:tc>
      </w:tr>
      <w:tr>
        <w:trPr>
          <w:trHeight w:val="19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Research and development stock-based compensation expense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w:t>
            </w:r>
          </w:p>
        </w:tc>
      </w:tr>
      <w:tr>
        <w:trPr>
          <w:trHeight w:val="196"/>
        </w:trPr>
        <w:tc>
          <w:tcPr>
            <w:tcW w:w="5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and development facilities and other expenses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6,682</w:t>
            </w:r>
          </w:p>
        </w:tc>
      </w:tr>
      <w:tr>
        <w:trPr>
          <w:trHeight w:val="19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23,271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23,039</w:t>
            </w:r>
          </w:p>
        </w:tc>
      </w:tr>
      <w:tr>
        <w:trPr>
          <w:trHeight w:val="196"/>
        </w:trPr>
        <w:tc>
          <w:tcPr>
            <w:tcW w:w="57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5"/>
                <w:szCs w:val="15"/>
                <w:color w:val="auto"/>
              </w:rPr>
              <w:t xml:space="preserve">Other expense (income), net </w:t>
            </w:r>
            <w:r>
              <w:rPr>
                <w:rFonts w:ascii="Times New Roman" w:cs="Times New Roman" w:eastAsia="Times New Roman" w:hAnsi="Times New Roman"/>
                <w:sz w:val="19"/>
                <w:szCs w:val="19"/>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14,836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(27,040)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50,005</w:t>
            </w:r>
          </w:p>
        </w:tc>
      </w:tr>
      <w:tr>
        <w:trPr>
          <w:trHeight w:val="21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(67,171)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2" w:lineRule="exact"/>
        <w:rPr>
          <w:sz w:val="20"/>
          <w:szCs w:val="20"/>
          <w:color w:val="auto"/>
        </w:rPr>
      </w:pPr>
    </w:p>
    <w:p>
      <w:pPr>
        <w:ind w:right="20" w:firstLine="8"/>
        <w:spacing w:after="0" w:line="214" w:lineRule="auto"/>
        <w:tabs>
          <w:tab w:leader="none" w:pos="159"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income; foreign currency transaction, net; gain on change in fair value of warrant liabilities; (loss) gain on change in fair value of contingent value right liability; loss on change in fair value of forward contract liabilities; and other income (expense), net.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 Subsequent Events</w:t>
      </w:r>
    </w:p>
    <w:p>
      <w:pPr>
        <w:spacing w:after="0" w:line="155"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The Company has evaluated subsequent events through the date on which the consolidated financial statements were issued. The Company has concluded that no subsequent events have occurred that require disclosure.</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51"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2024, which we filed with the SEC on March 13, 2025. In addition, you should read the “Risk Factors” and “Information Regarding Forward-Looking Statements” sections of this Quarterly Report and our Annual Report on Form 10-K for the year ended December 31, 2024 for a discussion of important factors that could cause actual results to differ materially from the results described in or implied by the forward-looking statements contained in the following discussion and analysis.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55"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We are a clinical-stage biotechnology company pioneering cell therapy for the treatment of autoimmune diseases. Unlike DNA cell therapies, our cell therapy method degrades naturally over time without integrating into the cell’s genetic material. Therefore, our cell therapy is distinguished by its capacity to be dosed repeatedly like conventional drugs, administered in an outpatient setting, and given without pre-treatment chemotherapy required with many conventional cell therapies. In our Phase 2b clinical trial in patients with myasthenia gravis, or MG, a chronic autoimmune disease that causes disabling muscle weakness and fatigue, we observed that our lead product candidate, Descartes-08, generated a deep and durable clinical benefit, with 83% of participants maintaining improvements in MG severity scales considered clinically meaningful by expert consensus at six months and sustained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Merger</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November 13, 2023, the Company (formerly known as Selecta Biosciences, Inc., or Selecta)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99"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 In connection with the Merger and pursuant to the Merger Agreement, the Company changed its corporate name to Cartesian Therapeutics, Inc. See Note 4, “Merger” of the notes to the consolidated financial statements in our Annual Report on Form 10-K for the year ended December 31, 2024 for additional information regarding the Merger.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Operations</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8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have incurred significant operating losses since our inception. We incurred a net loss of $37.7 million and $67.2 million for the nine months ended September 30, 2025 and 2024, respectively. As of September 30, 2025, we had an accumulated deficit of $729.8 million. We expect to continue to incur significant expenses and operating losses for the foreseeable future as we:</w:t>
      </w:r>
    </w:p>
    <w:p>
      <w:pPr>
        <w:spacing w:after="0" w:line="99" w:lineRule="exact"/>
        <w:rPr>
          <w:sz w:val="20"/>
          <w:szCs w:val="20"/>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advance Descartes-08 for MG through Phase 3 development;</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our preclinical and clinical-stage product candidates;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approvals for any product candidates that successfully complete clinical trials;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additional staff, including clinical, scientific and management personnel; and</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costs associated with continuing to operate as a public company.</w:t>
      </w:r>
    </w:p>
    <w:p>
      <w:pPr>
        <w:spacing w:after="0" w:line="151" w:lineRule="exact"/>
        <w:rPr>
          <w:sz w:val="20"/>
          <w:szCs w:val="20"/>
          <w:color w:val="auto"/>
        </w:rPr>
      </w:pPr>
    </w:p>
    <w:p>
      <w:pPr>
        <w:ind w:right="20" w:firstLine="277"/>
        <w:spacing w:after="0" w:line="293" w:lineRule="auto"/>
        <w:rPr>
          <w:sz w:val="20"/>
          <w:szCs w:val="20"/>
          <w:color w:val="auto"/>
        </w:rPr>
      </w:pPr>
      <w:r>
        <w:rPr>
          <w:rFonts w:ascii="Times New Roman" w:cs="Times New Roman" w:eastAsia="Times New Roman" w:hAnsi="Times New Roman"/>
          <w:sz w:val="15"/>
          <w:szCs w:val="15"/>
          <w:color w:val="auto"/>
        </w:rPr>
        <w:t>Until we can generate substantial product revenues, we expect to finance our cash needs through a combination of equity offerings, debt financings, and license and collaboration agreements. We may be unable to raise capital when needed or on</w:t>
      </w: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reasonable terms, if at all, which would force us to delay, limit, reduce or terminate our product development or future commercialization efforts. We will need to generate significant revenues to achieve profitability, and we may never do so.</w:t>
      </w:r>
    </w:p>
    <w:p>
      <w:pPr>
        <w:spacing w:after="0" w:line="8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Concurrently with the closing of the Merger, we entered into a securities purchase agreement, or the 2023 Securities Purchase Agreement, pursuant to which we agreed to issue 149,330.115 shares of Series A Non-Voting Convertible Preferred Stock, par value $0.0001 per share, or the Series A Preferred Stock, in exchange for aggregate gross proceeds of $60.25 million, or the 2023 Private Placement. We granted customary registration rights to investors in connection with the 2023 Private Placement.</w:t>
      </w:r>
    </w:p>
    <w:p>
      <w:pPr>
        <w:spacing w:after="0" w:line="99"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On July 2, 2024, we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We granted customary registration rights to investors in connection with the 2024 Private Placement.</w:t>
      </w:r>
    </w:p>
    <w:p>
      <w:pPr>
        <w:spacing w:after="0" w:line="29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believe that our existing cash, cash equivalents, and restricted cash as of September 30, 2025 will enable us to fund our operating expenses and capital expenditure requirements for at least the next 12 months from the date of issuance of these financial statements. We have based this estimate on assumptions that may prove to be wrong, and we could use our capital resources sooner than we currently expect.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Collaboration and license revenue</w:t>
      </w:r>
    </w:p>
    <w:p>
      <w:pPr>
        <w:spacing w:after="0" w:line="108"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descriptions of the agreements underlying our collaboration and license revenue, see Note 13, “Revenue Arrangements” to our unaudited consolidated financial statements included elsewhere in this Quarterly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Grant revenue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Additionally, we generate grant revenue which consists of funding received to perform specific research and development services under grant arrangements.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08"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10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08"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General and administrative expenses consist primarily of salaries and related benefits, including stock-based compensation, related to our executive, finance, business development and support functions. Other general and administrative expenses</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Impairment of long-lived assets consists of impairment charges on our long-lived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Interest income consists primarily of income earned on our cash, cash equivalents and marketable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(expense) income, net</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Other (expense) income, net consists of non-operating income and non-operating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 in fair value of warrant liabilities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Common warrants classified as liabilities are remeasured quarterly at fair value with the change in fair value recognized as a component of earnings.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 in fair value of contingent value right liability</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contingent value right liability is remeasured quarterly at fair value with the change in fair value recognized as a component of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 in fair value of forward contract liabilities</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forward contract liabilities associated with the delayed issuance of the Series A Preferred Stock related to the Merger and 2023 Private Placement are remeasured quarterly and upon settlement at fair value with the change in fair value recognized as a component of earnings.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September 30, 2025 and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620" w:type="dxa"/>
            <w:vAlign w:val="bottom"/>
            <w:tcBorders>
              <w:bottom w:val="single" w:sz="8" w:color="auto"/>
            </w:tcBorders>
          </w:tcPr>
          <w:p>
            <w:pPr>
              <w:spacing w:after="0"/>
              <w:rPr>
                <w:sz w:val="17"/>
                <w:szCs w:val="17"/>
                <w:color w:val="auto"/>
              </w:rPr>
            </w:pPr>
          </w:p>
        </w:tc>
      </w:tr>
      <w:tr>
        <w:trPr>
          <w:trHeight w:val="188"/>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3"/>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rPr>
              <w:t>(in thousands, except percentages)</w:t>
            </w:r>
          </w:p>
        </w:tc>
        <w:tc>
          <w:tcPr>
            <w:tcW w:w="620" w:type="dxa"/>
            <w:vAlign w:val="bottom"/>
          </w:tcPr>
          <w:p>
            <w:pPr>
              <w:spacing w:after="0"/>
              <w:rPr>
                <w:sz w:val="16"/>
                <w:szCs w:val="16"/>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6"/>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500" w:type="dxa"/>
            <w:vAlign w:val="bottom"/>
            <w:tcBorders>
              <w:bottom w:val="single" w:sz="8" w:color="CCEEFF"/>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CCEEFF"/>
            </w:tcBorders>
          </w:tcPr>
          <w:p>
            <w:pPr>
              <w:jc w:val="right"/>
              <w:ind w:right="883"/>
              <w:spacing w:after="0"/>
              <w:rPr>
                <w:sz w:val="20"/>
                <w:szCs w:val="20"/>
                <w:color w:val="auto"/>
              </w:rPr>
            </w:pPr>
            <w:r>
              <w:rPr>
                <w:rFonts w:ascii="Times New Roman" w:cs="Times New Roman" w:eastAsia="Times New Roman" w:hAnsi="Times New Roman"/>
                <w:sz w:val="15"/>
                <w:szCs w:val="15"/>
                <w:color w:val="auto"/>
              </w:rPr>
              <w:t>65</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5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65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2,402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r>
      <w:tr>
        <w:trPr>
          <w:trHeight w:val="196"/>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6,562</w:t>
            </w:r>
          </w:p>
        </w:tc>
        <w:tc>
          <w:tcPr>
            <w:tcW w:w="5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jc w:val="right"/>
              <w:ind w:right="883"/>
              <w:spacing w:after="0"/>
              <w:rPr>
                <w:sz w:val="20"/>
                <w:szCs w:val="20"/>
                <w:color w:val="auto"/>
              </w:rPr>
            </w:pPr>
            <w:r>
              <w:rPr>
                <w:rFonts w:ascii="Times New Roman" w:cs="Times New Roman" w:eastAsia="Times New Roman" w:hAnsi="Times New Roman"/>
                <w:sz w:val="15"/>
                <w:szCs w:val="15"/>
                <w:color w:val="auto"/>
              </w:rPr>
              <w:t>1,154</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18 %</w:t>
            </w: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17,962</w:t>
            </w:r>
          </w:p>
        </w:tc>
        <w:tc>
          <w:tcPr>
            <w:tcW w:w="5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3,556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(17,575)</w:t>
            </w:r>
          </w:p>
        </w:tc>
        <w:tc>
          <w:tcPr>
            <w:tcW w:w="500" w:type="dxa"/>
            <w:vAlign w:val="bottom"/>
          </w:tcPr>
          <w:p>
            <w:pPr>
              <w:spacing w:after="0"/>
              <w:rPr>
                <w:sz w:val="16"/>
                <w:szCs w:val="16"/>
                <w:color w:val="auto"/>
              </w:rPr>
            </w:pPr>
          </w:p>
        </w:tc>
        <w:tc>
          <w:tcPr>
            <w:tcW w:w="178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(3,491)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(1,025)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5,669</w:t>
            </w:r>
          </w:p>
        </w:tc>
        <w:tc>
          <w:tcPr>
            <w:tcW w:w="500" w:type="dxa"/>
            <w:vAlign w:val="bottom"/>
          </w:tcPr>
          <w:p>
            <w:pPr>
              <w:spacing w:after="0"/>
              <w:rPr>
                <w:sz w:val="17"/>
                <w:szCs w:val="17"/>
                <w:color w:val="auto"/>
              </w:rPr>
            </w:pPr>
          </w:p>
        </w:tc>
        <w:tc>
          <w:tcPr>
            <w:tcW w:w="178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(5,153)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change in fair value of contingent value right liability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(1,800)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500" w:type="dxa"/>
            <w:vAlign w:val="bottom"/>
          </w:tcPr>
          <w:p>
            <w:pPr>
              <w:spacing w:after="0"/>
              <w:rPr>
                <w:sz w:val="17"/>
                <w:szCs w:val="17"/>
                <w:color w:val="auto"/>
              </w:rPr>
            </w:pPr>
          </w:p>
        </w:tc>
        <w:tc>
          <w:tcPr>
            <w:tcW w:w="178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(250)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8"/>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(24,183)</w:t>
            </w:r>
          </w:p>
        </w:tc>
        <w:tc>
          <w:tcPr>
            <w:tcW w:w="500" w:type="dxa"/>
            <w:vAlign w:val="bottom"/>
            <w:tcBorders>
              <w:top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top w:val="single" w:sz="8" w:color="CCEEFF"/>
            </w:tcBorders>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(11,719)</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48 %</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Grant revenue</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During the three months ended September 30, 2025, we recognized $0.5 million of grant revenue, compared to $0.4 million for the three months ended September 30, 2024, an increase of $0.1 million. The increase was primarily due to increased expenses reimbursable under the grant from the National Institute of Neurological Disorders and Stroke of the National Institutes of Health, or NINDS, incurred during the three months ended September 30, 2025.</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Research and development expenses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is a comparison of research and development expenses for the three months ended September 30, 2025 and 2024 (in thousands,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620" w:type="dxa"/>
            <w:vAlign w:val="bottom"/>
            <w:tcBorders>
              <w:bottom w:val="single" w:sz="8" w:color="auto"/>
            </w:tcBorders>
          </w:tcPr>
          <w:p>
            <w:pPr>
              <w:spacing w:after="0"/>
              <w:rPr>
                <w:sz w:val="17"/>
                <w:szCs w:val="17"/>
                <w:color w:val="auto"/>
              </w:rPr>
            </w:pP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Legacy Selecta programs</w:t>
            </w:r>
          </w:p>
        </w:tc>
        <w:tc>
          <w:tcPr>
            <w:tcW w:w="8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Descartes-08 for MG</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Early stage programs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employee expenses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stock-based compensation expense</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Research and development facilities and other expenses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13"/>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research and development expenses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2,402</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For the three months ended September 30, 2025, our research and development expenses were $13.8 million, compared to $11.4 million for the three months ended September 30, 2024, an increase of $2.4 million. The increase was primarily due to an increase in expenses for Descartes-08 for MG, primarily related to the expenses for the ongoing Phase 3 AURORA trial, coupled with an increase in our research and development employee expenses and stock-based compensation expense, primarily the result of headcount growth, and an increase in expenses for early stage programs, primarily related to increased discovery expenses and manufacturing operations expenses. This increase was partially offset by a decrease in expenses for legacy Selecta programs, which were primarily related to expenses for Xork as a result of the termination of the License and Development Agreement, or the Astellas Agreement, with Audentes Therapeutics, Inc., doing business as Astellas Gene Therapies, or Astellas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General and administrative expenses</w:t>
      </w:r>
    </w:p>
    <w:p>
      <w:pPr>
        <w:spacing w:after="0" w:line="15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the three months ended September 30, 2025, our general and administrative expenses were $7.7 million, compared to $6.6 million for the three months ended September 30, 2024, an increase of $1.1 million. The increase in cost was primarily the result of increased facilities expenses and expenses incurred for stock-based compensation.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Interest income</w:t>
      </w:r>
    </w:p>
    <w:p>
      <w:pPr>
        <w:spacing w:after="0" w:line="15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Interest income for the three months ended September 30, 2025 was $1.5 million, compared to $2.6 million for the three months ended September 30, 2024, a decrease of $1.1 million. The decrease in interest income was due to decreased cash and cash equivalents balance.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Change in fair value of warrant liabilities</w:t>
      </w:r>
    </w:p>
    <w:p>
      <w:pPr>
        <w:spacing w:after="0" w:line="151"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For the three months ended September 30, 2025, we recognized $0.5 million of income from the decrease in the fair value of warrant liabilities, compared to $5.7 million of income from the decrease in the fair value of warrant liabilities for the three months ended September 30, 2024, a decrease of $5.2 million. Fair value of warrant liabilities was determined utilizing the Black-Scholes valuation methodology. The decrease in warrant value was primarily driven by a decrease in the per-share price of our common stock and the expiration of the warrants we issued in 2019, or the 2019 Warrants, during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Change in fair value of contingent value right liability</w:t>
      </w:r>
    </w:p>
    <w:p>
      <w:pPr>
        <w:spacing w:after="0" w:line="15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For the three months ended September 30, 2025, we recognized $16.9 million of expense associated with the increase in the fair value of the CVR liability, compared to $15.1 million of expense associated with the increase in the fair value of the CVR liability for the three months ended September 30, 2024, an increase of $1.8 million. The fair value of the CVR liability was determined utilizing a Monte Carlo simulation model. The increase in both periods in the fair value of the CVR liability was primarily due to a decrease in interest rates and the passage of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Other income, net</w:t>
      </w:r>
    </w:p>
    <w:p>
      <w:pPr>
        <w:spacing w:after="0" w:line="15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During the three months ended September 30, 2025, we recognized no other income, net, compared to $0.3 million other income, net for the three months ended September 30, 2024. The decrease was primarily due to a decrease in sublease income. The terms of our subleases expired during the year ended December 31, 2024.</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Net loss</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Net loss for three months ended September 30, 2025 was $35.9 million as compared to net loss of $24.2 million for the three months ended September 30, 2024, an increase of $11.7 million. The increase in net loss was primarily due to lower income from the change in the fair value of the warrant liabilities, an increase in research and development expenses and higher expense from the change in the fair value of the CVR liability during the three months ended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Nine Months Ended September 30, 2025 and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620" w:type="dxa"/>
            <w:vAlign w:val="bottom"/>
            <w:tcBorders>
              <w:bottom w:val="single" w:sz="8" w:color="auto"/>
            </w:tcBorders>
          </w:tcPr>
          <w:p>
            <w:pPr>
              <w:spacing w:after="0"/>
              <w:rPr>
                <w:sz w:val="17"/>
                <w:szCs w:val="17"/>
                <w:color w:val="auto"/>
              </w:rPr>
            </w:pPr>
          </w:p>
        </w:tc>
      </w:tr>
      <w:tr>
        <w:trPr>
          <w:trHeight w:val="188"/>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3"/>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rPr>
              <w:t>(in thousands, except percentages)</w:t>
            </w:r>
          </w:p>
        </w:tc>
        <w:tc>
          <w:tcPr>
            <w:tcW w:w="620" w:type="dxa"/>
            <w:vAlign w:val="bottom"/>
          </w:tcPr>
          <w:p>
            <w:pPr>
              <w:spacing w:after="0"/>
              <w:rPr>
                <w:sz w:val="16"/>
                <w:szCs w:val="16"/>
                <w:color w:val="auto"/>
              </w:rPr>
            </w:pP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6"/>
        </w:trPr>
        <w:tc>
          <w:tcPr>
            <w:tcW w:w="56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Collaboration and license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39,111</w:t>
            </w:r>
          </w:p>
        </w:tc>
        <w:tc>
          <w:tcPr>
            <w:tcW w:w="5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(38,711)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889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158 %</w:t>
            </w: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39,672</w:t>
            </w:r>
          </w:p>
        </w:tc>
        <w:tc>
          <w:tcPr>
            <w:tcW w:w="500" w:type="dxa"/>
            <w:vAlign w:val="bottom"/>
          </w:tcPr>
          <w:p>
            <w:pPr>
              <w:spacing w:after="0"/>
              <w:rPr>
                <w:sz w:val="16"/>
                <w:szCs w:val="16"/>
                <w:color w:val="auto"/>
              </w:rPr>
            </w:pPr>
          </w:p>
        </w:tc>
        <w:tc>
          <w:tcPr>
            <w:tcW w:w="178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(37,822)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6"/>
        </w:trPr>
        <w:tc>
          <w:tcPr>
            <w:tcW w:w="56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33,799</w:t>
            </w:r>
          </w:p>
        </w:tc>
        <w:tc>
          <w:tcPr>
            <w:tcW w:w="500" w:type="dxa"/>
            <w:vAlign w:val="bottom"/>
          </w:tcPr>
          <w:p>
            <w:pPr>
              <w:spacing w:after="0"/>
              <w:rPr>
                <w:sz w:val="17"/>
                <w:szCs w:val="17"/>
                <w:color w:val="auto"/>
              </w:rPr>
            </w:pPr>
          </w:p>
        </w:tc>
        <w:tc>
          <w:tcPr>
            <w:tcW w:w="178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9,546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23,271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23,039</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232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1 %</w:t>
            </w:r>
          </w:p>
        </w:tc>
      </w:tr>
      <w:tr>
        <w:trPr>
          <w:trHeight w:val="188"/>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66,616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56,838</w:t>
            </w:r>
          </w:p>
        </w:tc>
        <w:tc>
          <w:tcPr>
            <w:tcW w:w="50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jc w:val="right"/>
              <w:ind w:right="883"/>
              <w:spacing w:after="0"/>
              <w:rPr>
                <w:sz w:val="20"/>
                <w:szCs w:val="20"/>
                <w:color w:val="auto"/>
              </w:rPr>
            </w:pPr>
            <w:r>
              <w:rPr>
                <w:rFonts w:ascii="Times New Roman" w:cs="Times New Roman" w:eastAsia="Times New Roman" w:hAnsi="Times New Roman"/>
                <w:sz w:val="15"/>
                <w:szCs w:val="15"/>
                <w:color w:val="auto"/>
              </w:rPr>
              <w:t>9,778</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(17,166)</w:t>
            </w:r>
          </w:p>
        </w:tc>
        <w:tc>
          <w:tcPr>
            <w:tcW w:w="5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(47,600)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4,932</w:t>
            </w:r>
          </w:p>
        </w:tc>
        <w:tc>
          <w:tcPr>
            <w:tcW w:w="500" w:type="dxa"/>
            <w:vAlign w:val="bottom"/>
          </w:tcPr>
          <w:p>
            <w:pPr>
              <w:spacing w:after="0"/>
              <w:rPr>
                <w:sz w:val="17"/>
                <w:szCs w:val="17"/>
                <w:color w:val="auto"/>
              </w:rPr>
            </w:pPr>
          </w:p>
        </w:tc>
        <w:tc>
          <w:tcPr>
            <w:tcW w:w="178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379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change in fair value of warrant 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2,803</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185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change in fair value of contingent value right liability</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(51,900)</w:t>
            </w:r>
          </w:p>
        </w:tc>
        <w:tc>
          <w:tcPr>
            <w:tcW w:w="500" w:type="dxa"/>
            <w:vAlign w:val="bottom"/>
          </w:tcPr>
          <w:p>
            <w:pPr>
              <w:spacing w:after="0"/>
              <w:rPr>
                <w:sz w:val="17"/>
                <w:szCs w:val="17"/>
                <w:color w:val="auto"/>
              </w:rPr>
            </w:pPr>
          </w:p>
        </w:tc>
        <w:tc>
          <w:tcPr>
            <w:tcW w:w="178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70,646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change in fair value of forward contract liabilities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(6,890)</w:t>
            </w:r>
          </w:p>
        </w:tc>
        <w:tc>
          <w:tcPr>
            <w:tcW w:w="5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6,890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5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jc w:val="right"/>
              <w:ind w:right="843"/>
              <w:spacing w:after="0"/>
              <w:rPr>
                <w:sz w:val="20"/>
                <w:szCs w:val="20"/>
                <w:color w:val="auto"/>
              </w:rPr>
            </w:pPr>
            <w:r>
              <w:rPr>
                <w:rFonts w:ascii="Times New Roman" w:cs="Times New Roman" w:eastAsia="Times New Roman" w:hAnsi="Times New Roman"/>
                <w:sz w:val="15"/>
                <w:szCs w:val="15"/>
                <w:color w:val="auto"/>
              </w:rPr>
              <w:t>(1,055)</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(37,726)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(67,171)</w:t>
            </w:r>
          </w:p>
        </w:tc>
        <w:tc>
          <w:tcPr>
            <w:tcW w:w="5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29,445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Collaboration and license revenue</w:t>
      </w:r>
    </w:p>
    <w:p>
      <w:pPr>
        <w:spacing w:after="0" w:line="151" w:lineRule="exact"/>
        <w:rPr>
          <w:sz w:val="20"/>
          <w:szCs w:val="20"/>
          <w:color w:val="auto"/>
        </w:rPr>
      </w:pPr>
    </w:p>
    <w:p>
      <w:pPr>
        <w:jc w:val="both"/>
        <w:ind w:right="20" w:firstLine="277"/>
        <w:spacing w:after="0" w:line="269" w:lineRule="auto"/>
        <w:rPr>
          <w:sz w:val="20"/>
          <w:szCs w:val="20"/>
          <w:color w:val="auto"/>
        </w:rPr>
      </w:pPr>
      <w:r>
        <w:rPr>
          <w:rFonts w:ascii="Times New Roman" w:cs="Times New Roman" w:eastAsia="Times New Roman" w:hAnsi="Times New Roman"/>
          <w:sz w:val="15"/>
          <w:szCs w:val="15"/>
          <w:color w:val="auto"/>
        </w:rPr>
        <w:t>During the nine months ended September 30, 2025, we recognized $0.4 million of collaboration and license revenue, compared to $39.1 million for the nine months ended September 30, 2024, a decrease of $38.7 million. The decrease was primarily due to a decrease in revenue recognized under the Sobi License resulting from the $30.0 million unconstrained development milestone recognized during the nine months ended September 30, 2024 and a decrease for revenue recognized under the Astellas Agreement upon notice of termination during the nine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Grant revenue</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During the nine months ended September 30, 2025, we recognized $1.5 million of grant revenue, compared to $0.6 million for the nine months ended September 30, 2024, an increase of $0.9 million. The increase was primarily due to increased expenses reimbursable under the grant from NINDS incurred during the nine months ended September 30, 2025, for which we received funding approval during the nine months ended September 30, 2024.</w:t>
      </w: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Research and development expenses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is a comparison of research and development expenses for the nine months ended September 30, 2025 and 2024 (in thousands,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760" w:type="dxa"/>
            <w:vAlign w:val="bottom"/>
            <w:gridSpan w:val="6"/>
          </w:tcPr>
          <w:p>
            <w:pPr>
              <w:ind w:left="18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6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620" w:type="dxa"/>
            <w:vAlign w:val="bottom"/>
            <w:tcBorders>
              <w:bottom w:val="single" w:sz="8" w:color="auto"/>
            </w:tcBorders>
          </w:tcPr>
          <w:p>
            <w:pPr>
              <w:spacing w:after="0"/>
              <w:rPr>
                <w:sz w:val="17"/>
                <w:szCs w:val="17"/>
                <w:color w:val="auto"/>
              </w:rPr>
            </w:pP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Legacy Selecta programs</w:t>
            </w:r>
          </w:p>
        </w:tc>
        <w:tc>
          <w:tcPr>
            <w:tcW w:w="80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(6,644)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Descartes-08 for MG</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ind w:left="343"/>
              <w:spacing w:after="0"/>
              <w:rPr>
                <w:sz w:val="20"/>
                <w:szCs w:val="20"/>
                <w:color w:val="auto"/>
              </w:rPr>
            </w:pPr>
            <w:r>
              <w:rPr>
                <w:rFonts w:ascii="Times New Roman" w:cs="Times New Roman" w:eastAsia="Times New Roman" w:hAnsi="Times New Roman"/>
                <w:sz w:val="15"/>
                <w:szCs w:val="15"/>
                <w:color w:val="auto"/>
              </w:rPr>
              <w:t>8,914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Early stage programs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3,002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245 %</w:t>
            </w: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employee expenses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ind w:left="343"/>
              <w:spacing w:after="0"/>
              <w:rPr>
                <w:sz w:val="20"/>
                <w:szCs w:val="20"/>
                <w:color w:val="auto"/>
              </w:rPr>
            </w:pPr>
            <w:r>
              <w:rPr>
                <w:rFonts w:ascii="Times New Roman" w:cs="Times New Roman" w:eastAsia="Times New Roman" w:hAnsi="Times New Roman"/>
                <w:sz w:val="15"/>
                <w:szCs w:val="15"/>
                <w:color w:val="auto"/>
              </w:rPr>
              <w:t>3,555</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19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stock-based compensation expense</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1,803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r>
      <w:tr>
        <w:trPr>
          <w:trHeight w:val="19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Research and development facilities and other expenses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5"/>
                <w:szCs w:val="15"/>
                <w:color w:val="auto"/>
              </w:rPr>
              <w:t>(1,084)</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13"/>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research and development expenses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43,345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9,546</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For the nine months ended September 30, 2025, our research and development expenses were $43.3 million, compared to $33.8 million for the nine months ended September 30, 2024, an increase of $9.5 million. The increase was primarily due to an increase in expenses for Descartes-08 for MG, primarily related to the expenses for the ongoing Phase 3 AURORA trial, coupled with an increase in our research and development employee expenses and stock-based compensation expense, primarily as the result of headcount growth, and an increase in expenses for early stage program, primarily related to increased discovery expenses and manufacturing operations expenses. These increases were partially offset by a decrease in expenses for legacy Selecta programs, primarily related to decreased expenses for Xork as a result of the termination of the Astellas Agreement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General and administrative expenses</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For the nine months ended September 30, 2025, our general and administrative expenses were $23.3 million compared to $23.0 million for the nine months ended September 30, 2024, an increase of $0.3 million. The increase in cost was primarily the result of increased facilities expenses and expenses incurred for stock-based compensation, partially offset by decreased expenses incurred for personnel expenses and professional fees incurred in connection with the Merger.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Interest income</w:t>
      </w:r>
    </w:p>
    <w:p>
      <w:pPr>
        <w:spacing w:after="0" w:line="151"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Interest income for the nine months ended September 30, 2025 was $5.3 million, compared to $4.9 million for the nine months ended September 30, 2024. The increase in interest income was due to increased cash and cash equivalents balance.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Change in fair value of warrant liabilities</w:t>
      </w:r>
    </w:p>
    <w:p>
      <w:pPr>
        <w:spacing w:after="0" w:line="151"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For the nine months ended September 30, 2025, we recognized $3.0 million of income from the decrease in the fair value of warrant liabilities, compared to $2.8 million of income from the decrease in the fair value of warrant liabilities for the nine months ended September 30, 2024, an increase of $0.2 million. Fair value of warrant liabilities was determined utilizing the Black-Scholes valuation methodology. The decrease in warrant value was primarily driven by a decrease in the per-share price of our common stock and the expiration of the 2019 Warrants during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Change in fair value of contingent value right liability</w:t>
      </w:r>
    </w:p>
    <w:p>
      <w:pPr>
        <w:spacing w:after="0" w:line="151"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For the nine months ended September 30, 2025, we recognized $18.7 million of income from the decrease in the fair value of the CVR liability, compared to $51.9 million of expense from the increase in the fair value of the CVR liability for the nine months ended September 30, 2024, a change of $70.6 million. The fair value of the CVR liability was determined utilizing a Monte Carlo simulation model. The decrease in the fair value of CVR liability in the current period was primarily due to changes in the timing of anticipated payments during the nine months ended September 30, 2025. The increase in the fair value of CVR liability in the prior period was primarily due to changes in the amount and timing of anticipated payments and the passage of time during the nine months ended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Change in fair value of forward contract liability</w:t>
      </w:r>
    </w:p>
    <w:p>
      <w:pPr>
        <w:spacing w:after="0" w:line="139"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color w:val="auto"/>
        </w:rPr>
        <w:t>The remaining Series A Preferred Stock forward contract liability was settled during the nine months ended September 30, 2024. As such, no change in the fair value of the Series A Preferred Stock forward contract liability is reflected in our unaudited consolidated financial statements for the nine months ended September 30, 2025.</w:t>
      </w: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Other (expense) income, net</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During the nine months ended September 30, 2025, we recognized less than $0.1 million of other expense, net, compared to $1.1 million other income, net for the nine months ended September 30, 2024, a change of $1.1 million. The change was primarily due to a decrease in sublease income. The terms of our subleases expired during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Net loss</w:t>
      </w:r>
    </w:p>
    <w:p>
      <w:pPr>
        <w:spacing w:after="0" w:line="151"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Net loss for the nine months ended September 30, 2025 was $37.7 million as compared to net loss of $67.2 million for the nine months ended September 30, 2024, a decrease of $29.5 million. The decrease in net loss was primarily due to higher income associated with the change in the fair value of the CVR liability, partially offset by increased research and development expenses and revenue recognized under the Sobi License during the nine months September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cash, cash equivalents, and restricted cash were $145.1 million as of September 30, 2025, of which $1.7 million was restricted cash related to lease commitments.</w:t>
      </w:r>
    </w:p>
    <w:p>
      <w:pPr>
        <w:spacing w:after="0" w:line="151"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87"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Collaboration and License Agreements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In-licenses</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“Collaboration and License Agreements” to our unaudited consolidated financial statements included elsewhere in this Quarterly Report.</w:t>
      </w:r>
    </w:p>
    <w:p>
      <w:pPr>
        <w:spacing w:after="0" w:line="106"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“Collaboration and License Agreements” to our unaudited consolidated financial statements included elsewhere in this Quarterly Report.</w:t>
      </w: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Out-licenses</w:t>
      </w:r>
    </w:p>
    <w:p>
      <w:pPr>
        <w:spacing w:after="0" w:line="15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$10.0 million upfront payment and were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“Revenue Arrangements” to our unaudited consolidated financial statements included elsewhere in this Quarterly Report. Amounts paid and remaining obligations with regard to the Xork product candidate not reimbursed by Astellas through the Astellas Agreement were subject to potential reimbursement through deductions to CVR distributions as described in Note 7, “Fair Value Measurements” to our unaudited consolidated financial statements included elsewhere in this Quarterly Report and were reimbursed in the March 2025 CVR distribution.</w:t>
      </w:r>
    </w:p>
    <w:p>
      <w:pPr>
        <w:spacing w:after="0" w:line="10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July 2024, we received $30.0 million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“Revenue Arrangements” to our unaudited consolidated financial statements included elsewhere in this Quarterly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Financings</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December 13, 2024, we and Leerink Partners LLC entered into a Sales Agreement, or the Sales Agreement. Under the Sales Agreement, we may issue and sell shares of our common stock, from time to time, through Leerink Partners LLC or aggregate gross sales proceeds of up to $100.0 million. During the nine months ended September 30, 2025, we sold no shares of our common stock pursuant to the Sales Agreement.</w:t>
      </w:r>
    </w:p>
    <w:p>
      <w:pPr>
        <w:spacing w:after="0" w:line="99"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July 2, 2024, we entered into the 2024 Securities Purchase Agreement for the 2024 Private Placement with certain institutional and accredited investors, or the Purchasers. In the 2024 Private Placement, we issued and sold an aggregate of 3,563,247 shares of common stock and 2,937,903 shares of Series B Preferred Stock for which we generated gross proceeds of approximately $130.0 million.</w:t>
      </w:r>
    </w:p>
    <w:p>
      <w:pPr>
        <w:spacing w:after="0" w:line="9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On November 13, 2023, we entered into the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2023 Private Placement. In the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three months ended March 31, 2024 for gross proceeds of $40.0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Future funding requirements</w:t>
      </w:r>
    </w:p>
    <w:p>
      <w:pPr>
        <w:spacing w:after="0" w:line="155"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3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As of September 30, 2025, we had an accumulated deficit of $729.8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99"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106"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believe that our existing cash, cash equivalents, and restricted cash as of September 30, 2025 will enable us to fund our operating expenses and capital expenditure requirements for at least the next 12 months from the date of issuance of these financial statements.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future capital requirements will depend on many factors, including:</w:t>
      </w:r>
    </w:p>
    <w:p>
      <w:pPr>
        <w:spacing w:after="0" w:line="151" w:lineRule="exact"/>
        <w:rPr>
          <w:sz w:val="20"/>
          <w:szCs w:val="20"/>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progress, results and costs of our clinical trials, preclinical development, manufacturing, laboratory testing and logistics;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product candidates that we pursue and the speed with which we pursue development;</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headcount growth and associated costs;</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timing and outcome of regulatory review of our product candidates;</w:t>
      </w:r>
    </w:p>
    <w:p>
      <w:pPr>
        <w:spacing w:after="0" w:line="150"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future commercialization activities, including manufacturing, marketing, sales and distribution, for any of our product candidates for which we receive marketing approval;</w:t>
      </w:r>
    </w:p>
    <w:p>
      <w:pPr>
        <w:spacing w:after="0" w:line="8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revenue, if any, from commercial sales of our product candidates for which we receive marketing approval;</w:t>
      </w:r>
    </w:p>
    <w:p>
      <w:pPr>
        <w:spacing w:after="0" w:line="150"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preparing, filing and prosecuting patent applications, maintaining and enforcing our intellectual property rights and defending any intellectual property-related claims;</w:t>
      </w:r>
    </w:p>
    <w:p>
      <w:pPr>
        <w:spacing w:after="0" w:line="8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competing technological and market developments; and</w:t>
      </w:r>
    </w:p>
    <w:p>
      <w:pPr>
        <w:spacing w:after="0" w:line="15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we acquire or invest in businesses, products and technologies, including entering into licensing or collaboration arrangements for product candidates.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Requirements due to Contractual Obligations and Other Commitments</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We are under agreement to lease approximately 32,294 square feet of laboratory and office space in Watertown, Massachusetts through May 2028. Remaining lease payments from September 30, 2025 through the end of the lease term total approximately $7.6 million. Payments made and remaining obligations on this lease liability were subject to potential reimbursement through deductions to CVR distributions as described in Note 7, “Fair Value Measurements” to our unaudited consolidated financial statements included elsewhere in this Quarterly Report and were reimbursed in the March 2025 CVR distribution.</w:t>
      </w:r>
    </w:p>
    <w:p>
      <w:pPr>
        <w:spacing w:after="0" w:line="104"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 November 2023, in connection with the Merger, we acquired two leases for office and laboratory space in Gaithersburg, Maryland, which expire in January 2027. Annualized rent is approximately $0.3 million and remaining lease payments from September 30, 2025 through the end of the lease term total approximately $0.4 million.</w:t>
      </w: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$1.2 million and is subject to annual increases in accordance with the terms of the lease agreement. The leases provide for a tenant improvement allowance of $0.8 million. Remaining lease payments total $9.1 million through the end of the lease term.</w:t>
      </w:r>
    </w:p>
    <w:p>
      <w:pPr>
        <w:spacing w:after="0" w:line="106"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September 30, 2025,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7, “Fair Value Measurements” to our unaudited consolidated financial statements included elsewhere in this Quarterly Report.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Summary of Cash Flows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2"/>
        </w:trPr>
        <w:tc>
          <w:tcPr>
            <w:tcW w:w="8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3"/>
        </w:trPr>
        <w:tc>
          <w:tcPr>
            <w:tcW w:w="8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2"/>
        </w:trPr>
        <w:tc>
          <w:tcPr>
            <w:tcW w:w="8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Cash (used in) provided by: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Operating activities</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(16,672)</w:t>
            </w:r>
          </w:p>
        </w:tc>
      </w:tr>
      <w:tr>
        <w:trPr>
          <w:trHeight w:val="196"/>
        </w:trPr>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(8,388)</w:t>
            </w:r>
          </w:p>
        </w:tc>
      </w:tr>
      <w:tr>
        <w:trPr>
          <w:trHeight w:val="19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167,645</w:t>
            </w:r>
          </w:p>
        </w:tc>
      </w:tr>
      <w:tr>
        <w:trPr>
          <w:trHeight w:val="196"/>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1"/>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(69,160)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142,579</w:t>
            </w:r>
          </w:p>
        </w:tc>
      </w:tr>
    </w:tbl>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Net cash used in operating activities for the nine months ended September 30, 2025 was $56.2 million compared to $16.7 million for the nine months ended September 30, 2024. The increase in cash used in operating activities of $39.5 million was primarily due to $48.2 million of net loss, adjusted for non-cash items, and $8.0 million of cash used in changes in operating assets and liabilities, in each case during the nine months ended September 30, 2025 compared to $4.0 million of net loss, adjusted for non-cash items, and $12.7 million of cash used in changes in operating assets and liabilities during the nine months ended September 30, 2024.</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Net cash used in investing activities for the nine months ended September 30, 2025 was $5.0 million compared to $8.4 million in the same period in 2024, a decrease of $3.4 million. The net cash used in investing activities for the nine months ended September 30, 2025 and 2024 consisted of purchases of property and equipment.</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55"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Net cash used in financing activities for the nine months ended September 30, 2025 was $8.0 million compared to net cash provided by financing activities of $167.6 million for the nine months ended September 30, 2024, a decrease of $175.6 million. The net cash used in financing activities in the nine months ended September 30, 2025 was primarily the result of payments for the CVR distribution. The net cash provided by financing activities in the nine months ended September 30, 2024 was primarily the result of proceeds of the 2023 Private Placement and the 2024 Private Placement.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55"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For a discussion of recently adopted or issued accounting pronouncements refer to Note 3, “Summary of Significant Accounting Policies” to our unaudited consolidated financial statements included elsewhere in this Quarterly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September 30, 2025, we did not have any off-balance sheet arrangements as defined in the rules and regulations of the SEC.</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Use of Estimates</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nine months ended September 30, 2025, there were no material changes to our critical accounting policies from those described in our Annual Report on Form 10-K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Smaller Reporting Company</w:t>
      </w:r>
    </w:p>
    <w:p>
      <w:pPr>
        <w:spacing w:after="0" w:line="155"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 market risk inherent in our financial instruments and in our financial position represents the potential loss arising from adverse changes in interest rates. As of September 30, 2025 and December 31, 2024, we had cash, cash equivalents, and restricted cash of $145.1 million and $214.3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5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Inherent Limitations on Effectiveness of Controls</w:t>
      </w:r>
    </w:p>
    <w:p>
      <w:pPr>
        <w:spacing w:after="0" w:line="155"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5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55"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See the risk factors previously disclosed in Item 1A of our Annual Report on Form 10-K for the year ended December 31, 2024. There have been no material changes from the risk factors previously disclosed in such filings.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55"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During the fiscal quarter ended September 30, 2025, no officer or director, as defined in Rule 16a-1(f) of the Exchange Act, informed us of the adoption, modification or termination of any “Rule 10b5-1 trading arrangement” or a “non-Rule 10b5-1 trading arrangement,” as those terms are defined in Item 408 of Regulation S-K .</w:t>
      </w: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gridSpan w:val="9"/>
          </w:tcPr>
          <w:p>
            <w:pPr>
              <w:ind w:left="6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gridSpan w:val="8"/>
          </w:tcPr>
          <w:p>
            <w:pPr>
              <w:jc w:val="center"/>
              <w:ind w:right="100"/>
              <w:spacing w:after="0" w:line="142" w:lineRule="exact"/>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gridSpan w:val="13"/>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File No.</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Filing</w:t>
            </w:r>
          </w:p>
        </w:tc>
        <w:tc>
          <w:tcPr>
            <w:tcW w:w="0" w:type="dxa"/>
            <w:vAlign w:val="bottom"/>
          </w:tcPr>
          <w:p>
            <w:pPr>
              <w:spacing w:after="0"/>
              <w:rPr>
                <w:sz w:val="1"/>
                <w:szCs w:val="1"/>
                <w:color w:val="auto"/>
              </w:rPr>
            </w:pPr>
          </w:p>
        </w:tc>
      </w:tr>
      <w:tr>
        <w:trPr>
          <w:trHeight w:val="208"/>
        </w:trPr>
        <w:tc>
          <w:tcPr>
            <w:tcW w:w="1180" w:type="dxa"/>
            <w:vAlign w:val="bottom"/>
            <w:gridSpan w:val="8"/>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0" w:type="dxa"/>
            <w:vAlign w:val="bottom"/>
            <w:gridSpan w:val="1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0" w:type="dxa"/>
            <w:vAlign w:val="bottom"/>
          </w:tcPr>
          <w:p>
            <w:pPr>
              <w:spacing w:after="0"/>
              <w:rPr>
                <w:sz w:val="1"/>
                <w:szCs w:val="1"/>
                <w:color w:val="auto"/>
              </w:rPr>
            </w:pPr>
          </w:p>
        </w:tc>
      </w:tr>
      <w:tr>
        <w:trPr>
          <w:trHeight w:val="153"/>
        </w:trPr>
        <w:tc>
          <w:tcPr>
            <w:tcW w:w="440" w:type="dxa"/>
            <w:vAlign w:val="bottom"/>
            <w:tcBorders>
              <w:top w:val="single" w:sz="8" w:color="auto"/>
            </w:tcBorders>
            <w:gridSpan w:val="3"/>
          </w:tcPr>
          <w:p>
            <w:pPr>
              <w:spacing w:after="0"/>
              <w:rPr>
                <w:sz w:val="13"/>
                <w:szCs w:val="13"/>
                <w:color w:val="auto"/>
              </w:rPr>
            </w:pPr>
          </w:p>
        </w:tc>
        <w:tc>
          <w:tcPr>
            <w:tcW w:w="280" w:type="dxa"/>
            <w:vAlign w:val="bottom"/>
            <w:tcBorders>
              <w:top w:val="single" w:sz="8" w:color="auto"/>
            </w:tcBorders>
            <w:gridSpan w:val="3"/>
          </w:tcPr>
          <w:p>
            <w:pPr>
              <w:jc w:val="center"/>
              <w:ind w:right="60"/>
              <w:spacing w:after="0" w:line="154" w:lineRule="exact"/>
              <w:rPr>
                <w:rFonts w:ascii="Times New Roman" w:cs="Times New Roman" w:eastAsia="Times New Roman" w:hAnsi="Times New Roman"/>
                <w:sz w:val="15"/>
                <w:szCs w:val="15"/>
                <w:color w:val="0000FF"/>
                <w:w w:val="83"/>
              </w:rPr>
            </w:pPr>
            <w:hyperlink r:id="rId59">
              <w:r>
                <w:rPr>
                  <w:rFonts w:ascii="Times New Roman" w:cs="Times New Roman" w:eastAsia="Times New Roman" w:hAnsi="Times New Roman"/>
                  <w:sz w:val="15"/>
                  <w:szCs w:val="15"/>
                  <w:color w:val="0000FF"/>
                  <w:w w:val="83"/>
                </w:rPr>
                <w:t>2.</w:t>
              </w:r>
              <w:r>
                <w:rPr>
                  <w:rFonts w:ascii="Times New Roman" w:cs="Times New Roman" w:eastAsia="Times New Roman" w:hAnsi="Times New Roman"/>
                  <w:sz w:val="15"/>
                  <w:szCs w:val="15"/>
                  <w:u w:val="single" w:color="auto"/>
                  <w:color w:val="0000FF"/>
                  <w:w w:val="83"/>
                </w:rPr>
                <w:t>1</w:t>
              </w:r>
            </w:hyperlink>
            <w:r>
              <w:rPr>
                <w:rFonts w:ascii="Times New Roman" w:cs="Times New Roman" w:eastAsia="Times New Roman" w:hAnsi="Times New Roman"/>
                <w:sz w:val="15"/>
                <w:szCs w:val="15"/>
                <w:color w:val="000000"/>
                <w:w w:val="83"/>
              </w:rPr>
              <w:t>*</w:t>
            </w: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620" w:type="dxa"/>
            <w:vAlign w:val="bottom"/>
            <w:tcBorders>
              <w:top w:val="single" w:sz="8" w:color="auto"/>
            </w:tcBorders>
            <w:gridSpan w:val="14"/>
          </w:tcPr>
          <w:p>
            <w:pPr>
              <w:spacing w:after="0" w:line="154"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Agreement and Plan of Merger, dated November 13, 2023, by and among Selecta</w:t>
              </w:r>
            </w:hyperlink>
          </w:p>
        </w:tc>
        <w:tc>
          <w:tcPr>
            <w:tcW w:w="100" w:type="dxa"/>
            <w:vAlign w:val="bottom"/>
          </w:tcPr>
          <w:p>
            <w:pPr>
              <w:spacing w:after="0"/>
              <w:rPr>
                <w:sz w:val="13"/>
                <w:szCs w:val="13"/>
                <w:color w:val="auto"/>
              </w:rPr>
            </w:pPr>
          </w:p>
        </w:tc>
        <w:tc>
          <w:tcPr>
            <w:tcW w:w="66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8-K</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3"/>
                <w:szCs w:val="13"/>
                <w:color w:val="auto"/>
              </w:rPr>
            </w:pPr>
          </w:p>
        </w:tc>
        <w:tc>
          <w:tcPr>
            <w:tcW w:w="92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11/13/2023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720" w:type="dxa"/>
            <w:vAlign w:val="bottom"/>
            <w:gridSpan w:val="15"/>
          </w:tcPr>
          <w:p>
            <w:pPr>
              <w:spacing w:after="0" w:line="130"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Biosciences, Inc., Sakura Merger Sub I, Inc., Sakura Merger Sub II, LLC, and Cartesian</w:t>
              </w:r>
            </w:hyperlink>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000FF"/>
            </w:tcBorders>
            <w:gridSpan w:val="11"/>
          </w:tcPr>
          <w:p>
            <w:pPr>
              <w:spacing w:after="0" w:line="141"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Therapeutics, Inc.</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4"/>
          </w:tcPr>
          <w:p>
            <w:pPr>
              <w:jc w:val="center"/>
              <w:spacing w:after="0"/>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1(a)</w:t>
              </w:r>
            </w:hyperlink>
          </w:p>
        </w:tc>
        <w:tc>
          <w:tcPr>
            <w:tcW w:w="4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Restated Certificate of Incorporation of Selecta Biosciences, Inc.</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6/29/2016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840" w:type="dxa"/>
            <w:vAlign w:val="bottom"/>
            <w:gridSpan w:val="7"/>
          </w:tcPr>
          <w:p>
            <w:pPr>
              <w:jc w:val="center"/>
              <w:ind w:right="460"/>
              <w:spacing w:after="0"/>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1(b)</w:t>
              </w:r>
            </w:hyperlink>
          </w:p>
        </w:tc>
        <w:tc>
          <w:tcPr>
            <w:tcW w:w="20" w:type="dxa"/>
            <w:vAlign w:val="bottom"/>
          </w:tcPr>
          <w:p>
            <w:pPr>
              <w:spacing w:after="0"/>
              <w:rPr>
                <w:sz w:val="15"/>
                <w:szCs w:val="15"/>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Certificate of Amendment to the Restated Certificate of Incorporation of Selecta</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6/21/2022</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0" w:type="dxa"/>
            <w:vAlign w:val="bottom"/>
            <w:tcBorders>
              <w:top w:val="single" w:sz="8" w:color="0000FF"/>
            </w:tcBorders>
            <w:gridSpan w:val="8"/>
          </w:tcPr>
          <w:p>
            <w:pPr>
              <w:spacing w:after="0" w:line="130"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Biosciences, Inc., dated June 21, 2022</w:t>
              </w:r>
            </w:hyperlink>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6"/>
          </w:tcPr>
          <w:p>
            <w:pPr>
              <w:jc w:val="center"/>
              <w:ind w:right="460"/>
              <w:spacing w:after="0"/>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1(c)</w:t>
              </w:r>
            </w:hyperlink>
          </w:p>
        </w:tc>
        <w:tc>
          <w:tcPr>
            <w:tcW w:w="20" w:type="dxa"/>
            <w:vAlign w:val="bottom"/>
          </w:tcPr>
          <w:p>
            <w:pPr>
              <w:spacing w:after="0"/>
              <w:rPr>
                <w:sz w:val="16"/>
                <w:szCs w:val="16"/>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Certificate of Amendment to the Restated Certificate of Incorporation of Selecta</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11/13/2023</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4"/>
          </w:tcPr>
          <w:p>
            <w:pPr>
              <w:spacing w:after="0" w:line="130"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Biosciences, Inc., dated November 13, 2023</w:t>
              </w:r>
            </w:hyperlink>
          </w:p>
        </w:tc>
        <w:tc>
          <w:tcPr>
            <w:tcW w:w="2280" w:type="dxa"/>
            <w:vAlign w:val="bottom"/>
            <w:tcBorders>
              <w:top w:val="single" w:sz="8" w:color="0000FF"/>
            </w:tcBorders>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840" w:type="dxa"/>
            <w:vAlign w:val="bottom"/>
            <w:gridSpan w:val="7"/>
          </w:tcPr>
          <w:p>
            <w:pPr>
              <w:jc w:val="center"/>
              <w:ind w:right="460"/>
              <w:spacing w:after="0"/>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1(d)</w:t>
              </w:r>
            </w:hyperlink>
          </w:p>
        </w:tc>
        <w:tc>
          <w:tcPr>
            <w:tcW w:w="20" w:type="dxa"/>
            <w:vAlign w:val="bottom"/>
          </w:tcPr>
          <w:p>
            <w:pPr>
              <w:spacing w:after="0"/>
              <w:rPr>
                <w:sz w:val="16"/>
                <w:szCs w:val="16"/>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Certificate of Amendment to the Restated Certificate of Incorporation, as amended, of</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3/28/2024</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00" w:type="dxa"/>
            <w:vAlign w:val="bottom"/>
            <w:tcBorders>
              <w:top w:val="single" w:sz="8" w:color="0000FF"/>
            </w:tcBorders>
            <w:gridSpan w:val="10"/>
          </w:tcPr>
          <w:p>
            <w:pPr>
              <w:spacing w:after="0" w:line="130" w:lineRule="exact"/>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Cartesian Therapeutics, Inc., dated March 28, 2024.</w:t>
              </w:r>
            </w:hyperlink>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 w:type="dxa"/>
            <w:vAlign w:val="bottom"/>
            <w:gridSpan w:val="5"/>
          </w:tcPr>
          <w:p>
            <w:pPr>
              <w:jc w:val="center"/>
              <w:ind w:left="363"/>
              <w:spacing w:after="0"/>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3.</w:t>
              </w:r>
              <w:r>
                <w:rPr>
                  <w:rFonts w:ascii="Times New Roman" w:cs="Times New Roman" w:eastAsia="Times New Roman" w:hAnsi="Times New Roman"/>
                  <w:sz w:val="15"/>
                  <w:szCs w:val="15"/>
                  <w:u w:val="single" w:color="auto"/>
                  <w:color w:val="0000FF"/>
                </w:rPr>
                <w:t>2</w:t>
              </w:r>
            </w:hyperlink>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Amended and Restated By-laws of Cartesian Therapeutics, Inc.</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10/30/2025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6"/>
          </w:tcPr>
          <w:p>
            <w:pPr>
              <w:jc w:val="center"/>
              <w:ind w:right="460"/>
              <w:spacing w:after="0"/>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1(a)</w:t>
              </w:r>
            </w:hyperlink>
          </w:p>
        </w:tc>
        <w:tc>
          <w:tcPr>
            <w:tcW w:w="20" w:type="dxa"/>
            <w:vAlign w:val="bottom"/>
          </w:tcPr>
          <w:p>
            <w:pPr>
              <w:spacing w:after="0"/>
              <w:rPr>
                <w:sz w:val="15"/>
                <w:szCs w:val="15"/>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Certificate of Designation of Preferences, Rights and Limitations of Series A Non-Voting</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11/13/2023</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tcBorders>
            <w:gridSpan w:val="13"/>
          </w:tcPr>
          <w:p>
            <w:pPr>
              <w:spacing w:after="0" w:line="130" w:lineRule="exact"/>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Convertible Preferred Stock</w:t>
              </w:r>
            </w:hyperlink>
          </w:p>
        </w:tc>
        <w:tc>
          <w:tcPr>
            <w:tcW w:w="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840" w:type="dxa"/>
            <w:vAlign w:val="bottom"/>
            <w:gridSpan w:val="7"/>
          </w:tcPr>
          <w:p>
            <w:pPr>
              <w:jc w:val="center"/>
              <w:ind w:right="460"/>
              <w:spacing w:after="0"/>
              <w:rPr>
                <w:rFonts w:ascii="Times New Roman" w:cs="Times New Roman" w:eastAsia="Times New Roman" w:hAnsi="Times New Roman"/>
                <w:sz w:val="15"/>
                <w:szCs w:val="15"/>
                <w:color w:val="0000FF"/>
              </w:rPr>
            </w:pPr>
            <w:hyperlink r:id="rId66">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1(b)</w:t>
              </w:r>
            </w:hyperlink>
          </w:p>
        </w:tc>
        <w:tc>
          <w:tcPr>
            <w:tcW w:w="20" w:type="dxa"/>
            <w:vAlign w:val="bottom"/>
          </w:tcPr>
          <w:p>
            <w:pPr>
              <w:spacing w:after="0"/>
              <w:rPr>
                <w:sz w:val="16"/>
                <w:szCs w:val="16"/>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6">
              <w:r>
                <w:rPr>
                  <w:rFonts w:ascii="Times New Roman" w:cs="Times New Roman" w:eastAsia="Times New Roman" w:hAnsi="Times New Roman"/>
                  <w:sz w:val="15"/>
                  <w:szCs w:val="15"/>
                  <w:color w:val="0000FF"/>
                </w:rPr>
                <w:t>Certificate of Amendment to the Certificate of Designation of Series A Non-Voting</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3/28/2024</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20" w:type="dxa"/>
            <w:vAlign w:val="bottom"/>
            <w:tcBorders>
              <w:top w:val="single" w:sz="8" w:color="0000FF"/>
            </w:tcBorders>
            <w:gridSpan w:val="9"/>
          </w:tcPr>
          <w:p>
            <w:pPr>
              <w:spacing w:after="0" w:line="130" w:lineRule="exact"/>
              <w:rPr>
                <w:rFonts w:ascii="Times New Roman" w:cs="Times New Roman" w:eastAsia="Times New Roman" w:hAnsi="Times New Roman"/>
                <w:sz w:val="15"/>
                <w:szCs w:val="15"/>
                <w:color w:val="0000FF"/>
              </w:rPr>
            </w:pPr>
            <w:hyperlink r:id="rId66">
              <w:r>
                <w:rPr>
                  <w:rFonts w:ascii="Times New Roman" w:cs="Times New Roman" w:eastAsia="Times New Roman" w:hAnsi="Times New Roman"/>
                  <w:sz w:val="15"/>
                  <w:szCs w:val="15"/>
                  <w:color w:val="0000FF"/>
                </w:rPr>
                <w:t>Convertible Preferred Stock, dated March 26, 2024.</w:t>
              </w:r>
            </w:hyperlink>
          </w:p>
        </w:tc>
        <w:tc>
          <w:tcPr>
            <w:tcW w:w="360" w:type="dxa"/>
            <w:vAlign w:val="bottom"/>
            <w:gridSpan w:val="3"/>
          </w:tcPr>
          <w:p>
            <w:pPr>
              <w:spacing w:after="0"/>
              <w:rPr>
                <w:sz w:val="11"/>
                <w:szCs w:val="11"/>
                <w:color w:val="auto"/>
              </w:rPr>
            </w:pPr>
          </w:p>
        </w:tc>
        <w:tc>
          <w:tcPr>
            <w:tcW w:w="24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 w:type="dxa"/>
            <w:vAlign w:val="bottom"/>
            <w:gridSpan w:val="5"/>
          </w:tcPr>
          <w:p>
            <w:pPr>
              <w:jc w:val="center"/>
              <w:ind w:left="363"/>
              <w:spacing w:after="0"/>
              <w:rPr>
                <w:rFonts w:ascii="Times New Roman" w:cs="Times New Roman" w:eastAsia="Times New Roman" w:hAnsi="Times New Roman"/>
                <w:sz w:val="15"/>
                <w:szCs w:val="15"/>
                <w:color w:val="0000FF"/>
              </w:rPr>
            </w:pPr>
            <w:hyperlink r:id="rId67">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2</w:t>
              </w:r>
            </w:hyperlink>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15"/>
          </w:tcPr>
          <w:p>
            <w:pPr>
              <w:spacing w:after="0"/>
              <w:rPr>
                <w:rFonts w:ascii="Times New Roman" w:cs="Times New Roman" w:eastAsia="Times New Roman" w:hAnsi="Times New Roman"/>
                <w:sz w:val="15"/>
                <w:szCs w:val="15"/>
                <w:color w:val="0000FF"/>
              </w:rPr>
            </w:pPr>
            <w:hyperlink r:id="rId67">
              <w:r>
                <w:rPr>
                  <w:rFonts w:ascii="Times New Roman" w:cs="Times New Roman" w:eastAsia="Times New Roman" w:hAnsi="Times New Roman"/>
                  <w:sz w:val="15"/>
                  <w:szCs w:val="15"/>
                  <w:color w:val="0000FF"/>
                </w:rPr>
                <w:t>Certificate of Designation of Preferences, Rights and Limitations of Series B Non-Voting</w:t>
              </w:r>
            </w:hyperlink>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001-37798</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7/2/2024</w:t>
            </w: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80" w:type="dxa"/>
            <w:vAlign w:val="bottom"/>
            <w:tcBorders>
              <w:top w:val="single" w:sz="8" w:color="0000FF"/>
            </w:tcBorders>
            <w:gridSpan w:val="12"/>
          </w:tcPr>
          <w:p>
            <w:pPr>
              <w:spacing w:after="0" w:line="130" w:lineRule="exact"/>
              <w:rPr>
                <w:rFonts w:ascii="Times New Roman" w:cs="Times New Roman" w:eastAsia="Times New Roman" w:hAnsi="Times New Roman"/>
                <w:sz w:val="15"/>
                <w:szCs w:val="15"/>
                <w:color w:val="0000FF"/>
              </w:rPr>
            </w:pPr>
            <w:hyperlink r:id="rId67">
              <w:r>
                <w:rPr>
                  <w:rFonts w:ascii="Times New Roman" w:cs="Times New Roman" w:eastAsia="Times New Roman" w:hAnsi="Times New Roman"/>
                  <w:sz w:val="15"/>
                  <w:szCs w:val="15"/>
                  <w:color w:val="0000FF"/>
                </w:rPr>
                <w:t>Convertible Preferred Stock</w:t>
              </w:r>
            </w:hyperlink>
          </w:p>
        </w:tc>
        <w:tc>
          <w:tcPr>
            <w:tcW w:w="24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sectPr>
          <w:pgSz w:w="11900" w:h="16838" w:orient="portrait"/>
          <w:cols w:equalWidth="0" w:num="1">
            <w:col w:w="11260"/>
          </w:cols>
          <w:pgMar w:left="320" w:top="125" w:right="319" w:bottom="1440" w:gutter="0" w:footer="0" w:header="0"/>
        </w:sectPr>
      </w:pPr>
    </w:p>
    <w:tbl>
      <w:tblPr>
        <w:tblLayout w:type="fixed"/>
        <w:tblInd w:w="400" w:type="dxa"/>
        <w:tblCellMar>
          <w:top w:w="0" w:type="dxa"/>
          <w:left w:w="0" w:type="dxa"/>
          <w:bottom w:w="0" w:type="dxa"/>
          <w:right w:w="0" w:type="dxa"/>
        </w:tblCellMar>
      </w:tblPr>
      <w:tr>
        <w:trPr>
          <w:trHeight w:val="172"/>
        </w:trPr>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0000FF"/>
                <w:w w:val="91"/>
              </w:rPr>
              <w:t>31.</w:t>
            </w:r>
            <w:r>
              <w:rPr>
                <w:rFonts w:ascii="Times New Roman" w:cs="Times New Roman" w:eastAsia="Times New Roman" w:hAnsi="Times New Roman"/>
                <w:sz w:val="15"/>
                <w:szCs w:val="15"/>
                <w:u w:val="single" w:color="auto"/>
                <w:color w:val="0000FF"/>
                <w:w w:val="91"/>
              </w:rPr>
              <w:t>1</w:t>
            </w:r>
          </w:p>
        </w:tc>
        <w:tc>
          <w:tcPr>
            <w:tcW w:w="55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pursuant to Rule 13a-14(a) or Rule 15d-14(a)</w:t>
            </w:r>
          </w:p>
        </w:tc>
      </w:tr>
      <w:tr>
        <w:trPr>
          <w:trHeight w:val="130"/>
        </w:trPr>
        <w:tc>
          <w:tcPr>
            <w:tcW w:w="26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5500" w:type="dxa"/>
            <w:vAlign w:val="bottom"/>
            <w:tcBorders>
              <w:top w:val="single" w:sz="8" w:color="0000FF"/>
            </w:tcBorders>
            <w:gridSpan w:val="6"/>
          </w:tcPr>
          <w:p>
            <w:pPr>
              <w:spacing w:after="0" w:line="130" w:lineRule="exact"/>
              <w:rPr>
                <w:sz w:val="20"/>
                <w:szCs w:val="20"/>
                <w:color w:val="auto"/>
              </w:rPr>
            </w:pPr>
            <w:r>
              <w:rPr>
                <w:rFonts w:ascii="Times New Roman" w:cs="Times New Roman" w:eastAsia="Times New Roman" w:hAnsi="Times New Roman"/>
                <w:sz w:val="15"/>
                <w:szCs w:val="15"/>
                <w:color w:val="0000FF"/>
              </w:rPr>
              <w:t>of the Securities Exchange Act of 1934, as adopted pursuant to Section 302 of the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2"/>
          </w:tcPr>
          <w:p>
            <w:pPr>
              <w:spacing w:after="0" w:line="141" w:lineRule="exact"/>
              <w:rPr>
                <w:sz w:val="20"/>
                <w:szCs w:val="20"/>
                <w:color w:val="auto"/>
              </w:rPr>
            </w:pPr>
            <w:r>
              <w:rPr>
                <w:rFonts w:ascii="Times New Roman" w:cs="Times New Roman" w:eastAsia="Times New Roman" w:hAnsi="Times New Roman"/>
                <w:sz w:val="15"/>
                <w:szCs w:val="15"/>
                <w:color w:val="0000FF"/>
              </w:rPr>
              <w:t>Sarbanes-Oxley Act of 2002</w:t>
            </w:r>
          </w:p>
        </w:tc>
        <w:tc>
          <w:tcPr>
            <w:tcW w:w="32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0000FF"/>
                <w:w w:val="91"/>
              </w:rPr>
              <w:t>31.</w:t>
            </w:r>
            <w:r>
              <w:rPr>
                <w:rFonts w:ascii="Times New Roman" w:cs="Times New Roman" w:eastAsia="Times New Roman" w:hAnsi="Times New Roman"/>
                <w:sz w:val="15"/>
                <w:szCs w:val="15"/>
                <w:u w:val="single" w:color="auto"/>
                <w:color w:val="0000FF"/>
                <w:w w:val="91"/>
              </w:rPr>
              <w:t>2</w:t>
            </w:r>
          </w:p>
        </w:tc>
        <w:tc>
          <w:tcPr>
            <w:tcW w:w="55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Certification of Principal Financial Officer pursuant to Rule 13a-14(a) or Rule 15d-14(a)</w:t>
            </w:r>
          </w:p>
        </w:tc>
      </w:tr>
      <w:tr>
        <w:trPr>
          <w:trHeight w:val="130"/>
        </w:trPr>
        <w:tc>
          <w:tcPr>
            <w:tcW w:w="26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5460" w:type="dxa"/>
            <w:vAlign w:val="bottom"/>
            <w:tcBorders>
              <w:top w:val="single" w:sz="8" w:color="0000FF"/>
            </w:tcBorders>
            <w:gridSpan w:val="5"/>
          </w:tcPr>
          <w:p>
            <w:pPr>
              <w:spacing w:after="0" w:line="130" w:lineRule="exact"/>
              <w:rPr>
                <w:sz w:val="20"/>
                <w:szCs w:val="20"/>
                <w:color w:val="auto"/>
              </w:rPr>
            </w:pPr>
            <w:r>
              <w:rPr>
                <w:rFonts w:ascii="Times New Roman" w:cs="Times New Roman" w:eastAsia="Times New Roman" w:hAnsi="Times New Roman"/>
                <w:sz w:val="15"/>
                <w:szCs w:val="15"/>
                <w:color w:val="0000FF"/>
              </w:rPr>
              <w:t>of the Securities Exchange Act of 1934, as adopted pursuant to Section 302 of the</w:t>
            </w: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2"/>
          </w:tcPr>
          <w:p>
            <w:pPr>
              <w:spacing w:after="0" w:line="141" w:lineRule="exact"/>
              <w:rPr>
                <w:sz w:val="20"/>
                <w:szCs w:val="20"/>
                <w:color w:val="auto"/>
              </w:rPr>
            </w:pPr>
            <w:r>
              <w:rPr>
                <w:rFonts w:ascii="Times New Roman" w:cs="Times New Roman" w:eastAsia="Times New Roman" w:hAnsi="Times New Roman"/>
                <w:sz w:val="15"/>
                <w:szCs w:val="15"/>
                <w:color w:val="0000FF"/>
              </w:rPr>
              <w:t>Sarbanes-Oxley Act of 2002</w:t>
            </w:r>
          </w:p>
        </w:tc>
        <w:tc>
          <w:tcPr>
            <w:tcW w:w="32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0000FF"/>
                <w:w w:val="91"/>
              </w:rPr>
              <w:t>32.</w:t>
            </w:r>
            <w:r>
              <w:rPr>
                <w:rFonts w:ascii="Times New Roman" w:cs="Times New Roman" w:eastAsia="Times New Roman" w:hAnsi="Times New Roman"/>
                <w:sz w:val="15"/>
                <w:szCs w:val="15"/>
                <w:u w:val="single" w:color="auto"/>
                <w:color w:val="0000FF"/>
                <w:w w:val="91"/>
              </w:rPr>
              <w:t>1</w:t>
            </w:r>
          </w:p>
        </w:tc>
        <w:tc>
          <w:tcPr>
            <w:tcW w:w="55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and Principal Financial Officer pursuant to 18</w:t>
            </w:r>
          </w:p>
        </w:tc>
      </w:tr>
      <w:tr>
        <w:trPr>
          <w:trHeight w:val="130"/>
        </w:trPr>
        <w:tc>
          <w:tcPr>
            <w:tcW w:w="26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5540" w:type="dxa"/>
            <w:vAlign w:val="bottom"/>
            <w:tcBorders>
              <w:top w:val="single" w:sz="8" w:color="0000FF"/>
            </w:tcBorders>
            <w:gridSpan w:val="7"/>
          </w:tcPr>
          <w:p>
            <w:pPr>
              <w:spacing w:after="0" w:line="130" w:lineRule="exact"/>
              <w:rPr>
                <w:sz w:val="20"/>
                <w:szCs w:val="20"/>
                <w:color w:val="auto"/>
              </w:rPr>
            </w:pPr>
            <w:r>
              <w:rPr>
                <w:rFonts w:ascii="Times New Roman" w:cs="Times New Roman" w:eastAsia="Times New Roman" w:hAnsi="Times New Roman"/>
                <w:sz w:val="15"/>
                <w:szCs w:val="15"/>
                <w:color w:val="0000FF"/>
              </w:rPr>
              <w:t>U.S.C. Section 1350, as adopted pursuant to Section 906 of the Sarbanes-Oxley Act of</w:t>
            </w:r>
          </w:p>
        </w:tc>
        <w:tc>
          <w:tcPr>
            <w:tcW w:w="20" w:type="dxa"/>
            <w:vAlign w:val="bottom"/>
          </w:tcPr>
          <w:p>
            <w:pPr>
              <w:spacing w:after="0"/>
              <w:rPr>
                <w:sz w:val="11"/>
                <w:szCs w:val="11"/>
                <w:color w:val="auto"/>
              </w:rPr>
            </w:pPr>
          </w:p>
        </w:tc>
      </w:tr>
      <w:tr>
        <w:trPr>
          <w:trHeight w:val="142"/>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41" w:lineRule="exact"/>
              <w:rPr>
                <w:sz w:val="20"/>
                <w:szCs w:val="20"/>
                <w:color w:val="auto"/>
              </w:rPr>
            </w:pPr>
            <w:r>
              <w:rPr>
                <w:rFonts w:ascii="Times New Roman" w:cs="Times New Roman" w:eastAsia="Times New Roman" w:hAnsi="Times New Roman"/>
                <w:sz w:val="15"/>
                <w:szCs w:val="15"/>
                <w:color w:val="0000FF"/>
                <w:w w:val="93"/>
              </w:rPr>
              <w:t>2002</w:t>
            </w:r>
          </w:p>
        </w:tc>
        <w:tc>
          <w:tcPr>
            <w:tcW w:w="1460" w:type="dxa"/>
            <w:vAlign w:val="bottom"/>
            <w:tcBorders>
              <w:top w:val="single" w:sz="8" w:color="0000FF"/>
            </w:tcBorders>
          </w:tcPr>
          <w:p>
            <w:pPr>
              <w:spacing w:after="0"/>
              <w:rPr>
                <w:sz w:val="12"/>
                <w:szCs w:val="12"/>
                <w:color w:val="auto"/>
              </w:rPr>
            </w:pPr>
          </w:p>
        </w:tc>
        <w:tc>
          <w:tcPr>
            <w:tcW w:w="32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482"/>
              <w:spacing w:after="0"/>
              <w:rPr>
                <w:sz w:val="20"/>
                <w:szCs w:val="20"/>
                <w:color w:val="auto"/>
              </w:rPr>
            </w:pPr>
            <w:r>
              <w:rPr>
                <w:rFonts w:ascii="Times New Roman" w:cs="Times New Roman" w:eastAsia="Times New Roman" w:hAnsi="Times New Roman"/>
                <w:sz w:val="8"/>
                <w:szCs w:val="8"/>
                <w:color w:val="auto"/>
                <w:w w:val="73"/>
              </w:rPr>
              <w: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tcPr>
          <w:p>
            <w:pPr>
              <w:jc w:val="center"/>
              <w:ind w:left="243"/>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5"/>
        </w:trPr>
        <w:tc>
          <w:tcPr>
            <w:tcW w:w="560" w:type="dxa"/>
            <w:vAlign w:val="bottom"/>
          </w:tcPr>
          <w:p>
            <w:pPr>
              <w:jc w:val="right"/>
              <w:ind w:right="482"/>
              <w:spacing w:after="0"/>
              <w:rPr>
                <w:sz w:val="20"/>
                <w:szCs w:val="20"/>
                <w:color w:val="auto"/>
              </w:rPr>
            </w:pPr>
            <w:r>
              <w:rPr>
                <w:rFonts w:ascii="Times New Roman" w:cs="Times New Roman" w:eastAsia="Times New Roman" w:hAnsi="Times New Roman"/>
                <w:sz w:val="8"/>
                <w:szCs w:val="8"/>
                <w:color w:val="auto"/>
                <w:w w:val="73"/>
              </w:rPr>
              <w: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tcPr>
          <w:p>
            <w:pPr>
              <w:jc w:val="center"/>
              <w:ind w:left="243"/>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560" w:type="dxa"/>
            <w:vAlign w:val="bottom"/>
          </w:tcPr>
          <w:p>
            <w:pPr>
              <w:jc w:val="right"/>
              <w:ind w:right="482"/>
              <w:spacing w:after="0"/>
              <w:rPr>
                <w:sz w:val="20"/>
                <w:szCs w:val="20"/>
                <w:color w:val="auto"/>
              </w:rPr>
            </w:pPr>
            <w:r>
              <w:rPr>
                <w:rFonts w:ascii="Times New Roman" w:cs="Times New Roman" w:eastAsia="Times New Roman" w:hAnsi="Times New Roman"/>
                <w:sz w:val="8"/>
                <w:szCs w:val="8"/>
                <w:color w:val="auto"/>
                <w:w w:val="73"/>
              </w:rPr>
              <w: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center"/>
              <w:ind w:left="243"/>
              <w:spacing w:after="0"/>
              <w:rPr>
                <w:sz w:val="20"/>
                <w:szCs w:val="20"/>
                <w:color w:val="auto"/>
              </w:rPr>
            </w:pPr>
            <w:r>
              <w:rPr>
                <w:rFonts w:ascii="Times New Roman" w:cs="Times New Roman" w:eastAsia="Times New Roman" w:hAnsi="Times New Roman"/>
                <w:sz w:val="15"/>
                <w:szCs w:val="15"/>
                <w:color w:val="auto"/>
              </w:rPr>
              <w:t>Furnished</w:t>
            </w: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jc w:val="center"/>
              <w:ind w:left="243"/>
              <w:spacing w:after="0"/>
              <w:rPr>
                <w:sz w:val="20"/>
                <w:szCs w:val="20"/>
                <w:color w:val="auto"/>
              </w:rPr>
            </w:pPr>
            <w:r>
              <w:rPr>
                <w:rFonts w:ascii="Times New Roman" w:cs="Times New Roman" w:eastAsia="Times New Roman" w:hAnsi="Times New Roman"/>
                <w:sz w:val="15"/>
                <w:szCs w:val="15"/>
                <w:color w:val="auto"/>
              </w:rPr>
              <w:t>herewith</w:t>
            </w: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2">
            <w:col w:w="6740" w:space="500"/>
            <w:col w:w="4020"/>
          </w:cols>
          <w:pgMar w:left="320" w:top="125" w:right="319" w:bottom="1440" w:gutter="0" w:footer="0" w:header="0"/>
          <w:type w:val="continuous"/>
        </w:sectPr>
      </w:pPr>
    </w:p>
    <w:tbl>
      <w:tblPr>
        <w:tblLayout w:type="fixed"/>
        <w:tblInd w:w="240" w:type="dxa"/>
        <w:tblCellMar>
          <w:top w:w="0" w:type="dxa"/>
          <w:left w:w="0" w:type="dxa"/>
          <w:bottom w:w="0" w:type="dxa"/>
          <w:right w:w="0" w:type="dxa"/>
        </w:tblCellMar>
      </w:tblPr>
      <w:tr>
        <w:trPr>
          <w:trHeight w:val="172"/>
        </w:trPr>
        <w:tc>
          <w:tcPr>
            <w:tcW w:w="76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101.INS</w:t>
            </w:r>
          </w:p>
        </w:tc>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Inline XBRL Instance Document (the Instance Document does not appear in the</w:t>
            </w:r>
          </w:p>
        </w:tc>
        <w:tc>
          <w:tcPr>
            <w:tcW w:w="80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600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interactive data file because its XBRL tags are embedded within the Inline XBRL</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document)</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101.SCH</w:t>
            </w:r>
          </w:p>
        </w:tc>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80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101.CAL</w:t>
            </w:r>
          </w:p>
        </w:tc>
        <w:tc>
          <w:tcPr>
            <w:tcW w:w="6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101.DEF</w:t>
            </w:r>
          </w:p>
        </w:tc>
        <w:tc>
          <w:tcPr>
            <w:tcW w:w="6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101.LAB</w:t>
            </w:r>
          </w:p>
        </w:tc>
        <w:tc>
          <w:tcPr>
            <w:tcW w:w="6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101.PRE</w:t>
            </w:r>
          </w:p>
        </w:tc>
        <w:tc>
          <w:tcPr>
            <w:tcW w:w="6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104</w:t>
            </w:r>
          </w:p>
        </w:tc>
        <w:tc>
          <w:tcPr>
            <w:tcW w:w="60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 101)</w:t>
            </w: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92"/>
        </w:trPr>
        <w:tc>
          <w:tcPr>
            <w:tcW w:w="760" w:type="dxa"/>
            <w:vAlign w:val="bottom"/>
          </w:tcPr>
          <w:p>
            <w:pPr>
              <w:spacing w:after="0"/>
              <w:rPr>
                <w:sz w:val="8"/>
                <w:szCs w:val="8"/>
                <w:color w:val="auto"/>
              </w:rPr>
            </w:pPr>
          </w:p>
        </w:tc>
        <w:tc>
          <w:tcPr>
            <w:tcW w:w="6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firstLine="269"/>
        <w:spacing w:after="0" w:line="293" w:lineRule="auto"/>
        <w:tabs>
          <w:tab w:leader="none" w:pos="394"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44" w:name="page45"/>
    <w:bookmarkEnd w:id="44"/>
    <w:p>
      <w:pPr>
        <w:ind w:left="26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08"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7620" w:type="dxa"/>
            <w:vAlign w:val="bottom"/>
            <w:gridSpan w:val="2"/>
          </w:tcPr>
          <w:p>
            <w:pPr>
              <w:ind w:left="2240"/>
              <w:spacing w:after="0"/>
              <w:rPr>
                <w:sz w:val="20"/>
                <w:szCs w:val="20"/>
                <w:color w:val="auto"/>
              </w:rPr>
            </w:pPr>
            <w:r>
              <w:rPr>
                <w:rFonts w:ascii="Times New Roman" w:cs="Times New Roman" w:eastAsia="Times New Roman" w:hAnsi="Times New Roman"/>
                <w:sz w:val="15"/>
                <w:szCs w:val="15"/>
                <w:b w:val="1"/>
                <w:bCs w:val="1"/>
                <w:color w:val="auto"/>
              </w:rPr>
              <w:t>CARTESIAN THERAPEUTICS, INC.</w:t>
            </w:r>
          </w:p>
        </w:tc>
      </w:tr>
      <w:tr>
        <w:trPr>
          <w:trHeight w:val="392"/>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6, 2025</w:t>
            </w:r>
          </w:p>
        </w:tc>
        <w:tc>
          <w:tcPr>
            <w:tcW w:w="2700" w:type="dxa"/>
            <w:vAlign w:val="bottom"/>
          </w:tcPr>
          <w:p>
            <w:pPr>
              <w:ind w:left="2240"/>
              <w:spacing w:after="0"/>
              <w:rPr>
                <w:sz w:val="20"/>
                <w:szCs w:val="20"/>
                <w:color w:val="auto"/>
              </w:rPr>
            </w:pPr>
            <w:r>
              <w:rPr>
                <w:rFonts w:ascii="Times New Roman" w:cs="Times New Roman" w:eastAsia="Times New Roman" w:hAnsi="Times New Roman"/>
                <w:sz w:val="15"/>
                <w:szCs w:val="15"/>
                <w:color w:val="auto"/>
              </w:rPr>
              <w:t>By:</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Carsten Brunn, Ph.D.</w:t>
            </w:r>
          </w:p>
        </w:tc>
      </w:tr>
      <w:tr>
        <w:trPr>
          <w:trHeight w:val="181"/>
        </w:trPr>
        <w:tc>
          <w:tcPr>
            <w:tcW w:w="36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Carsten Brunn, Ph.D.</w:t>
            </w:r>
          </w:p>
        </w:tc>
      </w:tr>
      <w:tr>
        <w:trPr>
          <w:trHeight w:val="196"/>
        </w:trPr>
        <w:tc>
          <w:tcPr>
            <w:tcW w:w="3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 and Director</w:t>
            </w:r>
          </w:p>
        </w:tc>
      </w:tr>
      <w:tr>
        <w:trPr>
          <w:trHeight w:val="203"/>
        </w:trPr>
        <w:tc>
          <w:tcPr>
            <w:tcW w:w="3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r>
      <w:tr>
        <w:trPr>
          <w:trHeight w:val="612"/>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6, 2025</w:t>
            </w:r>
          </w:p>
        </w:tc>
        <w:tc>
          <w:tcPr>
            <w:tcW w:w="2700" w:type="dxa"/>
            <w:vAlign w:val="bottom"/>
          </w:tcPr>
          <w:p>
            <w:pPr>
              <w:ind w:left="2240"/>
              <w:spacing w:after="0"/>
              <w:rPr>
                <w:sz w:val="20"/>
                <w:szCs w:val="20"/>
                <w:color w:val="auto"/>
              </w:rPr>
            </w:pPr>
            <w:r>
              <w:rPr>
                <w:rFonts w:ascii="Times New Roman" w:cs="Times New Roman" w:eastAsia="Times New Roman" w:hAnsi="Times New Roman"/>
                <w:sz w:val="15"/>
                <w:szCs w:val="15"/>
                <w:color w:val="auto"/>
              </w:rPr>
              <w:t>By:</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Blaine Davis</w:t>
            </w:r>
          </w:p>
        </w:tc>
      </w:tr>
      <w:tr>
        <w:trPr>
          <w:trHeight w:val="181"/>
        </w:trPr>
        <w:tc>
          <w:tcPr>
            <w:tcW w:w="36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Blaine Davis</w:t>
            </w:r>
          </w:p>
        </w:tc>
      </w:tr>
      <w:tr>
        <w:trPr>
          <w:trHeight w:val="196"/>
        </w:trPr>
        <w:tc>
          <w:tcPr>
            <w:tcW w:w="3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r>
      <w:tr>
        <w:trPr>
          <w:trHeight w:val="203"/>
        </w:trPr>
        <w:tc>
          <w:tcPr>
            <w:tcW w:w="3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r>
      <w:tr>
        <w:trPr>
          <w:trHeight w:val="866"/>
        </w:trPr>
        <w:tc>
          <w:tcPr>
            <w:tcW w:w="3600" w:type="dxa"/>
            <w:vAlign w:val="bottom"/>
          </w:tcPr>
          <w:p>
            <w:pPr>
              <w:spacing w:after="0"/>
              <w:rPr>
                <w:sz w:val="24"/>
                <w:szCs w:val="24"/>
                <w:color w:val="auto"/>
              </w:rPr>
            </w:pPr>
          </w:p>
        </w:tc>
        <w:tc>
          <w:tcPr>
            <w:tcW w:w="270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44</w:t>
            </w:r>
          </w:p>
        </w:tc>
        <w:tc>
          <w:tcPr>
            <w:tcW w:w="4920" w:type="dxa"/>
            <w:vAlign w:val="bottom"/>
          </w:tcPr>
          <w:p>
            <w:pPr>
              <w:spacing w:after="0"/>
              <w:rPr>
                <w:sz w:val="24"/>
                <w:szCs w:val="24"/>
                <w:color w:val="auto"/>
              </w:rPr>
            </w:pPr>
          </w:p>
        </w:tc>
      </w:tr>
    </w:tbl>
    <w:p>
      <w:pPr>
        <w:sectPr>
          <w:pgSz w:w="11900" w:h="16838" w:orient="portrait"/>
          <w:cols w:equalWidth="0" w:num="1">
            <w:col w:w="11260"/>
          </w:cols>
          <w:pgMar w:left="320" w:top="125"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Carsten Brunn, Ph.D., certify that:</w:t>
      </w:r>
    </w:p>
    <w:p>
      <w:pPr>
        <w:spacing w:after="0" w:line="197" w:lineRule="exact"/>
        <w:rPr>
          <w:sz w:val="20"/>
          <w:szCs w:val="20"/>
          <w:color w:val="auto"/>
        </w:rPr>
      </w:pPr>
    </w:p>
    <w:p>
      <w:pPr>
        <w:ind w:left="540" w:hanging="271"/>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Cartesian Therapeutics, Inc.;</w:t>
      </w:r>
    </w:p>
    <w:p>
      <w:pPr>
        <w:spacing w:after="0" w:line="173" w:lineRule="exact"/>
        <w:rPr>
          <w:rFonts w:ascii="Times New Roman" w:cs="Times New Roman" w:eastAsia="Times New Roman" w:hAnsi="Times New Roman"/>
          <w:sz w:val="15"/>
          <w:szCs w:val="15"/>
          <w:color w:val="auto"/>
        </w:rPr>
      </w:pPr>
    </w:p>
    <w:p>
      <w:pPr>
        <w:ind w:left="540" w:right="40" w:hanging="271"/>
        <w:spacing w:after="0" w:line="293" w:lineRule="auto"/>
        <w:tabs>
          <w:tab w:leader="none" w:pos="53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Times New Roman" w:cs="Times New Roman" w:eastAsia="Times New Roman" w:hAnsi="Times New Roman"/>
          <w:sz w:val="15"/>
          <w:szCs w:val="15"/>
          <w:color w:val="auto"/>
        </w:rPr>
      </w:pPr>
    </w:p>
    <w:p>
      <w:pPr>
        <w:ind w:left="540" w:right="60" w:hanging="271"/>
        <w:spacing w:after="0" w:line="293" w:lineRule="auto"/>
        <w:tabs>
          <w:tab w:leader="none" w:pos="53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2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5"/>
          <w:szCs w:val="15"/>
          <w:color w:val="auto"/>
        </w:rPr>
      </w:pPr>
    </w:p>
    <w:p>
      <w:pPr>
        <w:jc w:val="both"/>
        <w:ind w:left="1100" w:right="200" w:hanging="346"/>
        <w:spacing w:after="0" w:line="275" w:lineRule="auto"/>
        <w:tabs>
          <w:tab w:leader="none" w:pos="1078"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5"/>
          <w:szCs w:val="15"/>
          <w:color w:val="auto"/>
        </w:rPr>
      </w:pPr>
    </w:p>
    <w:p>
      <w:pPr>
        <w:ind w:left="1100" w:right="220" w:hanging="346"/>
        <w:spacing w:after="0" w:line="275" w:lineRule="auto"/>
        <w:tabs>
          <w:tab w:leader="none" w:pos="108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5"/>
          <w:szCs w:val="15"/>
          <w:color w:val="auto"/>
        </w:rPr>
      </w:pPr>
    </w:p>
    <w:p>
      <w:pPr>
        <w:ind w:left="1100" w:right="660" w:hanging="346"/>
        <w:spacing w:after="0" w:line="293" w:lineRule="auto"/>
        <w:tabs>
          <w:tab w:leader="none" w:pos="1078"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5"/>
          <w:szCs w:val="15"/>
          <w:color w:val="auto"/>
        </w:rPr>
      </w:pPr>
    </w:p>
    <w:p>
      <w:pPr>
        <w:ind w:left="1100" w:right="320" w:hanging="346"/>
        <w:spacing w:after="0" w:line="275" w:lineRule="auto"/>
        <w:tabs>
          <w:tab w:leader="none" w:pos="1087"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5"/>
          <w:szCs w:val="15"/>
          <w:color w:val="auto"/>
        </w:rPr>
      </w:pPr>
    </w:p>
    <w:p>
      <w:pPr>
        <w:ind w:left="540" w:right="160" w:hanging="271"/>
        <w:spacing w:after="0" w:line="293" w:lineRule="auto"/>
        <w:tabs>
          <w:tab w:leader="none" w:pos="52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Times New Roman" w:cs="Times New Roman" w:eastAsia="Times New Roman" w:hAnsi="Times New Roman"/>
          <w:sz w:val="15"/>
          <w:szCs w:val="15"/>
          <w:color w:val="auto"/>
        </w:rPr>
      </w:pPr>
    </w:p>
    <w:p>
      <w:pPr>
        <w:ind w:left="1100" w:right="200" w:hanging="346"/>
        <w:spacing w:after="0" w:line="293" w:lineRule="auto"/>
        <w:tabs>
          <w:tab w:leader="none" w:pos="107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5"/>
          <w:szCs w:val="15"/>
          <w:color w:val="auto"/>
        </w:rPr>
      </w:pPr>
    </w:p>
    <w:p>
      <w:pPr>
        <w:ind w:left="1100" w:right="440" w:hanging="346"/>
        <w:spacing w:after="0" w:line="293" w:lineRule="auto"/>
        <w:tabs>
          <w:tab w:leader="none" w:pos="1078"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2C2C2C"/>
              </w:rPr>
              <w:t>November 6, 2025</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Carsten Brunn, Ph.D.</w:t>
            </w:r>
          </w:p>
        </w:tc>
      </w:tr>
      <w:tr>
        <w:trPr>
          <w:trHeight w:val="181"/>
        </w:trPr>
        <w:tc>
          <w:tcPr>
            <w:tcW w:w="632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Carsten Brunn, Ph.D.</w:t>
            </w:r>
          </w:p>
        </w:tc>
      </w:tr>
      <w:tr>
        <w:trPr>
          <w:trHeight w:val="196"/>
        </w:trPr>
        <w:tc>
          <w:tcPr>
            <w:tcW w:w="632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 and Director</w:t>
            </w:r>
          </w:p>
        </w:tc>
      </w:tr>
      <w:tr>
        <w:trPr>
          <w:trHeight w:val="203"/>
        </w:trPr>
        <w:tc>
          <w:tcPr>
            <w:tcW w:w="632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r>
    </w:tbl>
    <w:p>
      <w:pPr>
        <w:sectPr>
          <w:pgSz w:w="11900" w:h="16838" w:orient="portrait"/>
          <w:cols w:equalWidth="0" w:num="1">
            <w:col w:w="11260"/>
          </w:cols>
          <w:pgMar w:left="320" w:top="675"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Blaine Davis, certify that:</w:t>
      </w:r>
    </w:p>
    <w:p>
      <w:pPr>
        <w:spacing w:after="0" w:line="197" w:lineRule="exact"/>
        <w:rPr>
          <w:sz w:val="20"/>
          <w:szCs w:val="20"/>
          <w:color w:val="auto"/>
        </w:rPr>
      </w:pPr>
    </w:p>
    <w:p>
      <w:pPr>
        <w:ind w:left="540" w:hanging="271"/>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Cartesian Therapeutics, Inc.;</w:t>
      </w:r>
    </w:p>
    <w:p>
      <w:pPr>
        <w:spacing w:after="0" w:line="162" w:lineRule="exact"/>
        <w:rPr>
          <w:rFonts w:ascii="Times New Roman" w:cs="Times New Roman" w:eastAsia="Times New Roman" w:hAnsi="Times New Roman"/>
          <w:sz w:val="15"/>
          <w:szCs w:val="15"/>
          <w:color w:val="auto"/>
        </w:rPr>
      </w:pPr>
    </w:p>
    <w:p>
      <w:pPr>
        <w:ind w:left="540" w:right="40" w:hanging="271"/>
        <w:spacing w:after="0" w:line="293" w:lineRule="auto"/>
        <w:tabs>
          <w:tab w:leader="none" w:pos="5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5"/>
          <w:szCs w:val="15"/>
          <w:color w:val="auto"/>
        </w:rPr>
      </w:pPr>
    </w:p>
    <w:p>
      <w:pPr>
        <w:ind w:left="540" w:right="60" w:hanging="271"/>
        <w:spacing w:after="0" w:line="293" w:lineRule="auto"/>
        <w:tabs>
          <w:tab w:leader="none" w:pos="5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Times New Roman" w:cs="Times New Roman" w:eastAsia="Times New Roman" w:hAnsi="Times New Roman"/>
          <w:sz w:val="15"/>
          <w:szCs w:val="15"/>
          <w:color w:val="auto"/>
        </w:rPr>
      </w:pPr>
    </w:p>
    <w:p>
      <w:pPr>
        <w:ind w:left="540" w:right="20" w:hanging="271"/>
        <w:spacing w:after="0" w:line="293" w:lineRule="auto"/>
        <w:tabs>
          <w:tab w:leader="none" w:pos="52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5"/>
          <w:szCs w:val="15"/>
          <w:color w:val="auto"/>
        </w:rPr>
      </w:pPr>
    </w:p>
    <w:p>
      <w:pPr>
        <w:jc w:val="both"/>
        <w:ind w:left="1100" w:right="200" w:hanging="346"/>
        <w:spacing w:after="0" w:line="275" w:lineRule="auto"/>
        <w:tabs>
          <w:tab w:leader="none" w:pos="1078"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5"/>
          <w:szCs w:val="15"/>
          <w:color w:val="auto"/>
        </w:rPr>
      </w:pPr>
    </w:p>
    <w:p>
      <w:pPr>
        <w:ind w:left="1100" w:right="220" w:hanging="346"/>
        <w:spacing w:after="0" w:line="275" w:lineRule="auto"/>
        <w:tabs>
          <w:tab w:leader="none" w:pos="1087"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5"/>
          <w:szCs w:val="15"/>
          <w:color w:val="auto"/>
        </w:rPr>
      </w:pPr>
    </w:p>
    <w:p>
      <w:pPr>
        <w:ind w:left="1100" w:right="660" w:hanging="346"/>
        <w:spacing w:after="0" w:line="293" w:lineRule="auto"/>
        <w:tabs>
          <w:tab w:leader="none" w:pos="1078"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5"/>
          <w:szCs w:val="15"/>
          <w:color w:val="auto"/>
        </w:rPr>
      </w:pPr>
    </w:p>
    <w:p>
      <w:pPr>
        <w:ind w:left="1100" w:right="320" w:hanging="346"/>
        <w:spacing w:after="0" w:line="275" w:lineRule="auto"/>
        <w:tabs>
          <w:tab w:leader="none" w:pos="1087"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5"/>
          <w:szCs w:val="15"/>
          <w:color w:val="auto"/>
        </w:rPr>
      </w:pPr>
    </w:p>
    <w:p>
      <w:pPr>
        <w:ind w:left="540" w:right="160" w:hanging="271"/>
        <w:spacing w:after="0" w:line="293" w:lineRule="auto"/>
        <w:tabs>
          <w:tab w:leader="none" w:pos="52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Times New Roman" w:cs="Times New Roman" w:eastAsia="Times New Roman" w:hAnsi="Times New Roman"/>
          <w:sz w:val="15"/>
          <w:szCs w:val="15"/>
          <w:color w:val="auto"/>
        </w:rPr>
      </w:pPr>
    </w:p>
    <w:p>
      <w:pPr>
        <w:ind w:left="1100" w:right="200" w:hanging="346"/>
        <w:spacing w:after="0" w:line="293" w:lineRule="auto"/>
        <w:tabs>
          <w:tab w:leader="none" w:pos="107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5"/>
          <w:szCs w:val="15"/>
          <w:color w:val="auto"/>
        </w:rPr>
      </w:pPr>
    </w:p>
    <w:p>
      <w:pPr>
        <w:ind w:left="1100" w:right="440" w:hanging="346"/>
        <w:spacing w:after="0" w:line="293" w:lineRule="auto"/>
        <w:tabs>
          <w:tab w:leader="none" w:pos="1078"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2C2C2C"/>
              </w:rPr>
              <w:t>November 6, 2025</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Blaine Davis</w:t>
            </w:r>
          </w:p>
        </w:tc>
      </w:tr>
      <w:tr>
        <w:trPr>
          <w:trHeight w:val="181"/>
        </w:trPr>
        <w:tc>
          <w:tcPr>
            <w:tcW w:w="594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Blaine Davis</w:t>
            </w:r>
          </w:p>
        </w:tc>
      </w:tr>
      <w:tr>
        <w:trPr>
          <w:trHeight w:val="196"/>
        </w:trPr>
        <w:tc>
          <w:tcPr>
            <w:tcW w:w="59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r>
      <w:tr>
        <w:trPr>
          <w:trHeight w:val="203"/>
        </w:trPr>
        <w:tc>
          <w:tcPr>
            <w:tcW w:w="59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r>
    </w:tbl>
    <w:p>
      <w:pPr>
        <w:sectPr>
          <w:pgSz w:w="11900" w:h="16838" w:orient="portrait"/>
          <w:cols w:equalWidth="0" w:num="1">
            <w:col w:w="11260"/>
          </w:cols>
          <w:pgMar w:left="320" w:top="675"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connection with the Quarterly Report on Form 10-Q of Cartesian Therapeutics, Inc. (the “Company”) for the period ended September 30, 2025 as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Commission on the date hereof (the “Report”), each of the undersigned officers of the Company hereby certifies, pursuant to 18 U.S.C. Section 1350, that to his knowledge:</w:t>
      </w:r>
    </w:p>
    <w:p>
      <w:pPr>
        <w:spacing w:after="0" w:line="90" w:lineRule="exact"/>
        <w:rPr>
          <w:sz w:val="20"/>
          <w:szCs w:val="20"/>
          <w:color w:val="auto"/>
        </w:rPr>
      </w:pPr>
    </w:p>
    <w:p>
      <w:pPr>
        <w:ind w:left="540" w:right="100" w:hanging="271"/>
        <w:spacing w:after="0" w:line="293" w:lineRule="auto"/>
        <w:tabs>
          <w:tab w:leader="none" w:pos="52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Quarterly Report on Form 10-Q of the Company for the period ended September 30, 2025 (the “Report”) fully complies with the requirements of Section 13(a) or 15(d) of the Securities Exchange Act of 1934, as amended; and</w:t>
      </w:r>
    </w:p>
    <w:p>
      <w:pPr>
        <w:spacing w:after="0" w:line="40"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2C2C2C"/>
              </w:rPr>
              <w:t>November 6, 2025</w:t>
            </w:r>
          </w:p>
        </w:tc>
        <w:tc>
          <w:tcPr>
            <w:tcW w:w="2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/s/ Carsten Brunn, Ph.D.</w:t>
            </w:r>
          </w:p>
        </w:tc>
      </w:tr>
      <w:tr>
        <w:trPr>
          <w:trHeight w:val="181"/>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Carsten Brunn, Ph.D.</w:t>
            </w:r>
          </w:p>
        </w:tc>
      </w:tr>
      <w:tr>
        <w:trPr>
          <w:trHeight w:val="196"/>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 and Director</w:t>
            </w:r>
          </w:p>
        </w:tc>
      </w:t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r>
      <w:tr>
        <w:trPr>
          <w:trHeight w:val="773"/>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2C2C2C"/>
              </w:rPr>
              <w:t>November 6, 2025</w:t>
            </w:r>
          </w:p>
        </w:tc>
        <w:tc>
          <w:tcPr>
            <w:tcW w:w="20" w:type="dxa"/>
            <w:vAlign w:val="bottom"/>
          </w:tcPr>
          <w:p>
            <w:pPr>
              <w:spacing w:after="0"/>
              <w:rPr>
                <w:sz w:val="24"/>
                <w:szCs w:val="2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/s/ Blaine Davis</w:t>
            </w:r>
          </w:p>
        </w:tc>
      </w:tr>
      <w:tr>
        <w:trPr>
          <w:trHeight w:val="181"/>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Blaine Davis</w:t>
            </w:r>
          </w:p>
        </w:tc>
        <w:tc>
          <w:tcPr>
            <w:tcW w:w="20" w:type="dxa"/>
            <w:vAlign w:val="bottom"/>
          </w:tcPr>
          <w:p>
            <w:pPr>
              <w:spacing w:after="0"/>
              <w:rPr>
                <w:sz w:val="15"/>
                <w:szCs w:val="15"/>
                <w:color w:val="auto"/>
              </w:rPr>
            </w:pPr>
          </w:p>
        </w:tc>
      </w:tr>
      <w:tr>
        <w:trPr>
          <w:trHeight w:val="196"/>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r>
    </w:tbl>
    <w:p>
      <w:pPr>
        <w:spacing w:after="0" w:line="1" w:lineRule="exact"/>
        <w:rPr>
          <w:sz w:val="20"/>
          <w:szCs w:val="20"/>
          <w:color w:val="auto"/>
        </w:rPr>
      </w:pPr>
    </w:p>
    <w:sectPr>
      <w:pgSz w:w="11900" w:h="16838" w:orient="portrait"/>
      <w:cols w:equalWidth="0" w:num="1">
        <w:col w:w="11260"/>
      </w:cols>
      <w:pgMar w:left="320" w:top="67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5"/>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8" Type="http://schemas.openxmlformats.org/officeDocument/2006/relationships/image" Target="media/image52.png"/><Relationship Id="rId59" Type="http://schemas.openxmlformats.org/officeDocument/2006/relationships/hyperlink" Target="https://www.sec.gov/Archives/edgar/data/1453687/000119312523275461/d869185dex21.htm" TargetMode="External"/><Relationship Id="rId60" Type="http://schemas.openxmlformats.org/officeDocument/2006/relationships/hyperlink" Target="https://www.sec.gov/Archives/edgar/data/1453687/000110465916129891/a16-14002_1ex3d1.htm" TargetMode="External"/><Relationship Id="rId61" Type="http://schemas.openxmlformats.org/officeDocument/2006/relationships/hyperlink" Target="https://www.sec.gov/Archives/edgar/data/0001453687/000145368722000109/exhibit31_charteramendment.htm" TargetMode="External"/><Relationship Id="rId62" Type="http://schemas.openxmlformats.org/officeDocument/2006/relationships/hyperlink" Target="https://www.sec.gov/Archives/edgar/data/1453687/000119312523275461/d869185dex33.htm" TargetMode="External"/><Relationship Id="rId63" Type="http://schemas.openxmlformats.org/officeDocument/2006/relationships/hyperlink" Target="https://www.sec.gov/Archives/edgar/data/1453687/000145368724000048/exhibit32certificateofamen.htm" TargetMode="External"/><Relationship Id="rId64" Type="http://schemas.openxmlformats.org/officeDocument/2006/relationships/hyperlink" Target="https://www.sec.gov/Archives/edgar/data/1453687/000114036125039793/ef20057980_ex3-2.htm" TargetMode="External"/><Relationship Id="rId65" Type="http://schemas.openxmlformats.org/officeDocument/2006/relationships/hyperlink" Target="https://www.sec.gov/Archives/edgar/data/1453687/000119312523275461/d869185dex34.htm" TargetMode="External"/><Relationship Id="rId66" Type="http://schemas.openxmlformats.org/officeDocument/2006/relationships/hyperlink" Target="https://www.sec.gov/Archives/edgar/data/1453687/000145368724000048/exhibit31certificateofamen.htm" TargetMode="External"/><Relationship Id="rId67"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2025-11-06T06:18:34Z</dcterms:created>
  <dcterms:modified xsi:type="dcterms:W3CDTF">2025-11-06T06:18:34Z</dcterms:modified>
</cp:coreProperties>
</file>