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6"/>
          <w:szCs w:val="16"/>
          <w:b w:val="1"/>
          <w:bCs w:val="1"/>
          <w:color w:val="auto"/>
        </w:rPr>
        <w:t>As filed with the Securities and Exchange Commission on May 13, 2021</w:t>
      </w:r>
    </w:p>
    <w:p>
      <w:pPr>
        <w:spacing w:after="0" w:line="23" w:lineRule="exact"/>
        <w:rPr>
          <w:sz w:val="24"/>
          <w:szCs w:val="24"/>
          <w:color w:val="auto"/>
        </w:rPr>
      </w:pPr>
    </w:p>
    <w:p>
      <w:pPr>
        <w:ind w:left="9360"/>
        <w:spacing w:after="0"/>
        <w:rPr>
          <w:sz w:val="20"/>
          <w:szCs w:val="20"/>
          <w:color w:val="auto"/>
        </w:rPr>
      </w:pPr>
      <w:r>
        <w:rPr>
          <w:rFonts w:ascii="Arial" w:cs="Arial" w:eastAsia="Arial" w:hAnsi="Arial"/>
          <w:sz w:val="14"/>
          <w:szCs w:val="14"/>
          <w:b w:val="1"/>
          <w:bCs w:val="1"/>
          <w:color w:val="auto"/>
        </w:rPr>
        <w:t>Registration No. 333-_____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126365</wp:posOffset>
            </wp:positionV>
            <wp:extent cx="709803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98030" cy="8890"/>
                    </a:xfrm>
                    <a:prstGeom prst="rect">
                      <a:avLst/>
                    </a:prstGeom>
                    <a:noFill/>
                  </pic:spPr>
                </pic:pic>
              </a:graphicData>
            </a:graphic>
          </wp:anchor>
        </w:drawing>
        <w:drawing>
          <wp:anchor simplePos="0" relativeHeight="251657728" behindDoc="1" locked="0" layoutInCell="0" allowOverlap="1">
            <wp:simplePos x="0" y="0"/>
            <wp:positionH relativeFrom="column">
              <wp:posOffset>39370</wp:posOffset>
            </wp:positionH>
            <wp:positionV relativeFrom="paragraph">
              <wp:posOffset>92075</wp:posOffset>
            </wp:positionV>
            <wp:extent cx="70980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98030" cy="8255"/>
                    </a:xfrm>
                    <a:prstGeom prst="rect">
                      <a:avLst/>
                    </a:prstGeom>
                    <a:noFill/>
                  </pic:spPr>
                </pic:pic>
              </a:graphicData>
            </a:graphic>
          </wp:anchor>
        </w:drawing>
      </w:r>
    </w:p>
    <w:p>
      <w:pPr>
        <w:spacing w:after="0" w:line="200" w:lineRule="exact"/>
        <w:rPr>
          <w:sz w:val="24"/>
          <w:szCs w:val="24"/>
          <w:color w:val="auto"/>
        </w:rPr>
      </w:pPr>
    </w:p>
    <w:p>
      <w:pPr>
        <w:spacing w:after="0" w:line="36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S-8</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REGISTRATION STATEMENT</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UNDER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THE SECURITIES ACT OF 1933</w:t>
      </w:r>
    </w:p>
    <w:p>
      <w:pPr>
        <w:spacing w:after="0" w:line="193"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SELECTA BIOSCIENCES, INC.</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(Exact name of registrant as specified in its charter)</w:t>
      </w:r>
    </w:p>
    <w:p>
      <w:pPr>
        <w:spacing w:after="0" w:line="352" w:lineRule="exact"/>
        <w:rPr>
          <w:sz w:val="24"/>
          <w:szCs w:val="24"/>
          <w:color w:val="auto"/>
        </w:rPr>
      </w:pPr>
    </w:p>
    <w:tbl>
      <w:tblPr>
        <w:tblLayout w:type="fixed"/>
        <w:tblInd w:w="1540" w:type="dxa"/>
        <w:tblCellMar>
          <w:top w:w="0" w:type="dxa"/>
          <w:left w:w="0" w:type="dxa"/>
          <w:bottom w:w="0" w:type="dxa"/>
          <w:right w:w="0" w:type="dxa"/>
        </w:tblCellMar>
      </w:tblPr>
      <w:tr>
        <w:trPr>
          <w:trHeight w:val="210"/>
        </w:trPr>
        <w:tc>
          <w:tcPr>
            <w:tcW w:w="4420" w:type="dxa"/>
            <w:vAlign w:val="bottom"/>
          </w:tcPr>
          <w:p>
            <w:pPr>
              <w:jc w:val="center"/>
              <w:ind w:right="1799"/>
              <w:spacing w:after="0"/>
              <w:rPr>
                <w:sz w:val="20"/>
                <w:szCs w:val="20"/>
                <w:color w:val="auto"/>
              </w:rPr>
            </w:pPr>
            <w:r>
              <w:rPr>
                <w:rFonts w:ascii="Arial" w:cs="Arial" w:eastAsia="Arial" w:hAnsi="Arial"/>
                <w:sz w:val="16"/>
                <w:szCs w:val="16"/>
                <w:b w:val="1"/>
                <w:bCs w:val="1"/>
                <w:color w:val="auto"/>
                <w:w w:val="93"/>
              </w:rPr>
              <w:t>Delaware</w:t>
            </w:r>
          </w:p>
        </w:tc>
        <w:tc>
          <w:tcPr>
            <w:tcW w:w="3080" w:type="dxa"/>
            <w:vAlign w:val="bottom"/>
          </w:tcPr>
          <w:p>
            <w:pPr>
              <w:jc w:val="right"/>
              <w:ind w:right="139"/>
              <w:spacing w:after="0"/>
              <w:rPr>
                <w:sz w:val="20"/>
                <w:szCs w:val="20"/>
                <w:color w:val="auto"/>
              </w:rPr>
            </w:pPr>
            <w:r>
              <w:rPr>
                <w:rFonts w:ascii="Arial" w:cs="Arial" w:eastAsia="Arial" w:hAnsi="Arial"/>
                <w:sz w:val="16"/>
                <w:szCs w:val="16"/>
                <w:b w:val="1"/>
                <w:bCs w:val="1"/>
                <w:color w:val="auto"/>
              </w:rPr>
              <w:t>26-1622110</w:t>
            </w:r>
          </w:p>
        </w:tc>
      </w:tr>
      <w:tr>
        <w:trPr>
          <w:trHeight w:val="172"/>
        </w:trPr>
        <w:tc>
          <w:tcPr>
            <w:tcW w:w="4420" w:type="dxa"/>
            <w:vAlign w:val="bottom"/>
          </w:tcPr>
          <w:p>
            <w:pPr>
              <w:jc w:val="center"/>
              <w:ind w:right="1799"/>
              <w:spacing w:after="0" w:line="171" w:lineRule="exact"/>
              <w:rPr>
                <w:sz w:val="20"/>
                <w:szCs w:val="20"/>
                <w:color w:val="auto"/>
              </w:rPr>
            </w:pPr>
            <w:r>
              <w:rPr>
                <w:rFonts w:ascii="Arial" w:cs="Arial" w:eastAsia="Arial" w:hAnsi="Arial"/>
                <w:sz w:val="16"/>
                <w:szCs w:val="16"/>
                <w:color w:val="auto"/>
                <w:w w:val="93"/>
              </w:rPr>
              <w:t>(State or other jurisdiction</w:t>
            </w:r>
          </w:p>
        </w:tc>
        <w:tc>
          <w:tcPr>
            <w:tcW w:w="3080" w:type="dxa"/>
            <w:vAlign w:val="bottom"/>
          </w:tcPr>
          <w:p>
            <w:pPr>
              <w:jc w:val="center"/>
              <w:ind w:left="1779"/>
              <w:spacing w:after="0" w:line="171" w:lineRule="exact"/>
              <w:rPr>
                <w:sz w:val="20"/>
                <w:szCs w:val="20"/>
                <w:color w:val="auto"/>
              </w:rPr>
            </w:pPr>
            <w:r>
              <w:rPr>
                <w:rFonts w:ascii="Arial" w:cs="Arial" w:eastAsia="Arial" w:hAnsi="Arial"/>
                <w:sz w:val="16"/>
                <w:szCs w:val="16"/>
                <w:color w:val="auto"/>
                <w:w w:val="93"/>
              </w:rPr>
              <w:t>(I.R.S. Employer</w:t>
            </w:r>
          </w:p>
        </w:tc>
      </w:tr>
      <w:tr>
        <w:trPr>
          <w:trHeight w:val="206"/>
        </w:trPr>
        <w:tc>
          <w:tcPr>
            <w:tcW w:w="4420" w:type="dxa"/>
            <w:vAlign w:val="bottom"/>
          </w:tcPr>
          <w:p>
            <w:pPr>
              <w:jc w:val="center"/>
              <w:ind w:right="1779"/>
              <w:spacing w:after="0"/>
              <w:rPr>
                <w:sz w:val="20"/>
                <w:szCs w:val="20"/>
                <w:color w:val="auto"/>
              </w:rPr>
            </w:pPr>
            <w:r>
              <w:rPr>
                <w:rFonts w:ascii="Arial" w:cs="Arial" w:eastAsia="Arial" w:hAnsi="Arial"/>
                <w:sz w:val="16"/>
                <w:szCs w:val="16"/>
                <w:color w:val="auto"/>
                <w:w w:val="93"/>
              </w:rPr>
              <w:t>of incorporation or organization)</w:t>
            </w:r>
          </w:p>
        </w:tc>
        <w:tc>
          <w:tcPr>
            <w:tcW w:w="3080" w:type="dxa"/>
            <w:vAlign w:val="bottom"/>
          </w:tcPr>
          <w:p>
            <w:pPr>
              <w:jc w:val="center"/>
              <w:ind w:left="1779"/>
              <w:spacing w:after="0"/>
              <w:rPr>
                <w:sz w:val="20"/>
                <w:szCs w:val="20"/>
                <w:color w:val="auto"/>
              </w:rPr>
            </w:pPr>
            <w:r>
              <w:rPr>
                <w:rFonts w:ascii="Arial" w:cs="Arial" w:eastAsia="Arial" w:hAnsi="Arial"/>
                <w:sz w:val="16"/>
                <w:szCs w:val="16"/>
                <w:color w:val="auto"/>
                <w:w w:val="97"/>
              </w:rPr>
              <w:t>Identification No.)</w:t>
            </w:r>
          </w:p>
        </w:tc>
      </w:tr>
      <w:tr>
        <w:trPr>
          <w:trHeight w:val="370"/>
        </w:trPr>
        <w:tc>
          <w:tcPr>
            <w:tcW w:w="4420" w:type="dxa"/>
            <w:vAlign w:val="bottom"/>
          </w:tcPr>
          <w:p>
            <w:pPr>
              <w:jc w:val="center"/>
              <w:ind w:right="1779"/>
              <w:spacing w:after="0"/>
              <w:rPr>
                <w:sz w:val="20"/>
                <w:szCs w:val="20"/>
                <w:color w:val="auto"/>
              </w:rPr>
            </w:pPr>
            <w:r>
              <w:rPr>
                <w:rFonts w:ascii="Arial" w:cs="Arial" w:eastAsia="Arial" w:hAnsi="Arial"/>
                <w:sz w:val="16"/>
                <w:szCs w:val="16"/>
                <w:b w:val="1"/>
                <w:bCs w:val="1"/>
                <w:color w:val="auto"/>
                <w:w w:val="91"/>
              </w:rPr>
              <w:t>65 Grove Street</w:t>
            </w:r>
          </w:p>
        </w:tc>
        <w:tc>
          <w:tcPr>
            <w:tcW w:w="3080" w:type="dxa"/>
            <w:vAlign w:val="bottom"/>
          </w:tcPr>
          <w:p>
            <w:pPr>
              <w:jc w:val="right"/>
              <w:ind w:right="319"/>
              <w:spacing w:after="0"/>
              <w:rPr>
                <w:sz w:val="20"/>
                <w:szCs w:val="20"/>
                <w:color w:val="auto"/>
              </w:rPr>
            </w:pPr>
            <w:r>
              <w:rPr>
                <w:rFonts w:ascii="Arial" w:cs="Arial" w:eastAsia="Arial" w:hAnsi="Arial"/>
                <w:sz w:val="16"/>
                <w:szCs w:val="16"/>
                <w:b w:val="1"/>
                <w:bCs w:val="1"/>
                <w:color w:val="auto"/>
              </w:rPr>
              <w:t>02472</w:t>
            </w:r>
          </w:p>
        </w:tc>
      </w:tr>
      <w:tr>
        <w:trPr>
          <w:trHeight w:val="210"/>
        </w:trPr>
        <w:tc>
          <w:tcPr>
            <w:tcW w:w="4420" w:type="dxa"/>
            <w:vAlign w:val="bottom"/>
          </w:tcPr>
          <w:p>
            <w:pPr>
              <w:jc w:val="center"/>
              <w:ind w:right="1799"/>
              <w:spacing w:after="0"/>
              <w:rPr>
                <w:sz w:val="20"/>
                <w:szCs w:val="20"/>
                <w:color w:val="auto"/>
              </w:rPr>
            </w:pPr>
            <w:r>
              <w:rPr>
                <w:rFonts w:ascii="Arial" w:cs="Arial" w:eastAsia="Arial" w:hAnsi="Arial"/>
                <w:sz w:val="16"/>
                <w:szCs w:val="16"/>
                <w:b w:val="1"/>
                <w:bCs w:val="1"/>
                <w:color w:val="auto"/>
                <w:w w:val="90"/>
              </w:rPr>
              <w:t>Watertown, Massachusetts</w:t>
            </w:r>
          </w:p>
        </w:tc>
        <w:tc>
          <w:tcPr>
            <w:tcW w:w="3080" w:type="dxa"/>
            <w:vAlign w:val="bottom"/>
          </w:tcPr>
          <w:p>
            <w:pPr>
              <w:spacing w:after="0"/>
              <w:rPr>
                <w:sz w:val="18"/>
                <w:szCs w:val="18"/>
                <w:color w:val="auto"/>
              </w:rPr>
            </w:pPr>
          </w:p>
        </w:tc>
      </w:tr>
      <w:tr>
        <w:trPr>
          <w:trHeight w:val="216"/>
        </w:trPr>
        <w:tc>
          <w:tcPr>
            <w:tcW w:w="4420" w:type="dxa"/>
            <w:vAlign w:val="bottom"/>
          </w:tcPr>
          <w:p>
            <w:pPr>
              <w:jc w:val="center"/>
              <w:ind w:right="1779"/>
              <w:spacing w:after="0"/>
              <w:rPr>
                <w:sz w:val="20"/>
                <w:szCs w:val="20"/>
                <w:color w:val="auto"/>
              </w:rPr>
            </w:pPr>
            <w:r>
              <w:rPr>
                <w:rFonts w:ascii="Arial" w:cs="Arial" w:eastAsia="Arial" w:hAnsi="Arial"/>
                <w:sz w:val="16"/>
                <w:szCs w:val="16"/>
                <w:color w:val="auto"/>
                <w:w w:val="93"/>
              </w:rPr>
              <w:t>(Address of principal executive offices)</w:t>
            </w:r>
          </w:p>
        </w:tc>
        <w:tc>
          <w:tcPr>
            <w:tcW w:w="3080" w:type="dxa"/>
            <w:vAlign w:val="bottom"/>
          </w:tcPr>
          <w:p>
            <w:pPr>
              <w:jc w:val="center"/>
              <w:ind w:left="1799"/>
              <w:spacing w:after="0"/>
              <w:rPr>
                <w:sz w:val="20"/>
                <w:szCs w:val="20"/>
                <w:color w:val="auto"/>
              </w:rPr>
            </w:pPr>
            <w:r>
              <w:rPr>
                <w:rFonts w:ascii="Arial" w:cs="Arial" w:eastAsia="Arial" w:hAnsi="Arial"/>
                <w:sz w:val="16"/>
                <w:szCs w:val="16"/>
                <w:color w:val="auto"/>
                <w:w w:val="94"/>
              </w:rPr>
              <w:t>(Zip code)</w:t>
            </w:r>
          </w:p>
        </w:tc>
      </w:tr>
    </w:tbl>
    <w:p>
      <w:pPr>
        <w:spacing w:after="0" w:line="208"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Selecta Biosciences, Inc. 2016 Incentive Award Plan</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Selecta Biosciences, Inc. 2016 Employee Stock Purchase Plan</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(Full title of the plan)</w:t>
      </w:r>
    </w:p>
    <w:p>
      <w:pPr>
        <w:spacing w:after="0" w:line="20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Carsten Brunn, Ph.D.</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President and Chief Executive Officer</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Selecta Biosciences, Inc.</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65 Grove Street</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Watertown, Massachusetts 02472</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(Name and address of agent for service)</w:t>
      </w:r>
    </w:p>
    <w:p>
      <w:pPr>
        <w:spacing w:after="0" w:line="20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(617) 923-1400</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(Telephone number, including area code, of agent for service)</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6"/>
          <w:szCs w:val="16"/>
          <w:b w:val="1"/>
          <w:bCs w:val="1"/>
          <w:i w:val="1"/>
          <w:iCs w:val="1"/>
          <w:color w:val="auto"/>
        </w:rPr>
        <w:t>Copies to:</w:t>
      </w:r>
    </w:p>
    <w:p>
      <w:pPr>
        <w:spacing w:after="0" w:line="21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Brian K. Rosenzweig</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Covington &amp; Burling LLP</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The New York Times Building</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620 Eighth Avenue</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New York, New York 10018</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(212) 841-1000</w:t>
      </w:r>
    </w:p>
    <w:p>
      <w:pPr>
        <w:spacing w:after="0" w:line="207" w:lineRule="exact"/>
        <w:rPr>
          <w:sz w:val="24"/>
          <w:szCs w:val="24"/>
          <w:color w:val="auto"/>
        </w:rPr>
      </w:pPr>
    </w:p>
    <w:p>
      <w:pPr>
        <w:ind w:right="300" w:firstLine="324"/>
        <w:spacing w:after="0" w:line="26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882" w:right="339" w:bottom="1440" w:gutter="0" w:footer="0" w:header="0"/>
        </w:sectPr>
      </w:pPr>
    </w:p>
    <w:p>
      <w:pPr>
        <w:spacing w:after="0" w:line="102" w:lineRule="exact"/>
        <w:rPr>
          <w:sz w:val="24"/>
          <w:szCs w:val="24"/>
          <w:color w:val="auto"/>
        </w:rPr>
      </w:pPr>
    </w:p>
    <w:p>
      <w:pPr>
        <w:jc w:val="right"/>
        <w:spacing w:after="0"/>
        <w:rPr>
          <w:sz w:val="20"/>
          <w:szCs w:val="20"/>
          <w:color w:val="auto"/>
        </w:rPr>
      </w:pPr>
      <w:r>
        <w:rPr>
          <w:rFonts w:ascii="Arial" w:cs="Arial" w:eastAsia="Arial" w:hAnsi="Arial"/>
          <w:sz w:val="14"/>
          <w:szCs w:val="14"/>
          <w:color w:val="auto"/>
        </w:rPr>
        <w:t>Large accelerated filer</w:t>
      </w:r>
    </w:p>
    <w:p>
      <w:pPr>
        <w:spacing w:after="0" w:line="55" w:lineRule="exact"/>
        <w:rPr>
          <w:sz w:val="24"/>
          <w:szCs w:val="24"/>
          <w:color w:val="auto"/>
        </w:rPr>
      </w:pPr>
    </w:p>
    <w:p>
      <w:pPr>
        <w:jc w:val="right"/>
        <w:spacing w:after="0"/>
        <w:rPr>
          <w:sz w:val="20"/>
          <w:szCs w:val="20"/>
          <w:color w:val="auto"/>
        </w:rPr>
      </w:pPr>
      <w:r>
        <w:rPr>
          <w:rFonts w:ascii="Arial" w:cs="Arial" w:eastAsia="Arial" w:hAnsi="Arial"/>
          <w:sz w:val="15"/>
          <w:szCs w:val="15"/>
          <w:color w:val="auto"/>
        </w:rPr>
        <w:t>Non-accelerated filer</w:t>
      </w:r>
    </w:p>
    <w:p>
      <w:pPr>
        <w:spacing w:after="0" w:line="20" w:lineRule="exact"/>
        <w:rPr>
          <w:sz w:val="24"/>
          <w:szCs w:val="24"/>
          <w:color w:val="auto"/>
        </w:rPr>
      </w:pPr>
      <w:r>
        <w:rPr>
          <w:sz w:val="24"/>
          <w:szCs w:val="24"/>
          <w:color w:val="auto"/>
        </w:rPr>
        <w:br w:type="column"/>
      </w:r>
    </w:p>
    <w:p>
      <w:pPr>
        <w:spacing w:after="0" w:line="52"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94"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82" w:lineRule="exact"/>
        <w:rPr>
          <w:sz w:val="24"/>
          <w:szCs w:val="24"/>
          <w:color w:val="auto"/>
        </w:rPr>
      </w:pPr>
    </w:p>
    <w:p>
      <w:pPr>
        <w:ind w:left="700"/>
        <w:spacing w:after="0"/>
        <w:rPr>
          <w:sz w:val="20"/>
          <w:szCs w:val="20"/>
          <w:color w:val="auto"/>
        </w:rPr>
      </w:pPr>
      <w:r>
        <w:rPr>
          <w:rFonts w:ascii="Arial" w:cs="Arial" w:eastAsia="Arial" w:hAnsi="Arial"/>
          <w:sz w:val="15"/>
          <w:szCs w:val="15"/>
          <w:color w:val="auto"/>
        </w:rPr>
        <w:t>Accelerated filer</w:t>
      </w:r>
    </w:p>
    <w:p>
      <w:pPr>
        <w:spacing w:after="0" w:line="44" w:lineRule="exact"/>
        <w:rPr>
          <w:sz w:val="24"/>
          <w:szCs w:val="24"/>
          <w:color w:val="auto"/>
        </w:rPr>
      </w:pPr>
    </w:p>
    <w:p>
      <w:pPr>
        <w:spacing w:after="0"/>
        <w:rPr>
          <w:sz w:val="20"/>
          <w:szCs w:val="20"/>
          <w:color w:val="auto"/>
        </w:rPr>
      </w:pPr>
      <w:r>
        <w:rPr>
          <w:rFonts w:ascii="Arial" w:cs="Arial" w:eastAsia="Arial" w:hAnsi="Arial"/>
          <w:sz w:val="14"/>
          <w:szCs w:val="14"/>
          <w:color w:val="auto"/>
        </w:rPr>
        <w:t>Smaller reporting company</w:t>
      </w:r>
    </w:p>
    <w:p>
      <w:pPr>
        <w:spacing w:after="0" w:line="55" w:lineRule="exact"/>
        <w:rPr>
          <w:sz w:val="24"/>
          <w:szCs w:val="24"/>
          <w:color w:val="auto"/>
        </w:rPr>
      </w:pPr>
    </w:p>
    <w:p>
      <w:pPr>
        <w:spacing w:after="0"/>
        <w:rPr>
          <w:sz w:val="20"/>
          <w:szCs w:val="20"/>
          <w:color w:val="auto"/>
        </w:rPr>
      </w:pPr>
      <w:r>
        <w:rPr>
          <w:rFonts w:ascii="Arial" w:cs="Arial" w:eastAsia="Arial" w:hAnsi="Arial"/>
          <w:sz w:val="14"/>
          <w:szCs w:val="14"/>
          <w:color w:val="auto"/>
        </w:rPr>
        <w:t>Emerging growth company</w:t>
      </w:r>
    </w:p>
    <w:p>
      <w:pPr>
        <w:spacing w:after="0" w:line="20" w:lineRule="exact"/>
        <w:rPr>
          <w:sz w:val="24"/>
          <w:szCs w:val="24"/>
          <w:color w:val="auto"/>
        </w:rPr>
      </w:pPr>
      <w:r>
        <w:rPr>
          <w:sz w:val="24"/>
          <w:szCs w:val="24"/>
          <w:color w:val="auto"/>
        </w:rPr>
        <w:br w:type="column"/>
      </w:r>
    </w:p>
    <w:p>
      <w:pPr>
        <w:spacing w:after="0" w:line="52"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14"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76"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12" w:lineRule="exact"/>
        <w:rPr>
          <w:sz w:val="24"/>
          <w:szCs w:val="24"/>
          <w:color w:val="auto"/>
        </w:rPr>
      </w:pPr>
    </w:p>
    <w:p>
      <w:pPr>
        <w:sectPr>
          <w:pgSz w:w="11900" w:h="16838" w:orient="portrait"/>
          <w:cols w:equalWidth="0" w:num="4">
            <w:col w:w="3280" w:space="80"/>
            <w:col w:w="2300" w:space="720"/>
            <w:col w:w="1780" w:space="80"/>
            <w:col w:w="3000"/>
          </w:cols>
          <w:pgMar w:left="320" w:top="882" w:right="339" w:bottom="1440" w:gutter="0" w:footer="0" w:header="0"/>
          <w:type w:val="continuous"/>
        </w:sectPr>
      </w:pPr>
    </w:p>
    <w:p>
      <w:pPr>
        <w:spacing w:after="0" w:line="58" w:lineRule="exact"/>
        <w:rPr>
          <w:sz w:val="24"/>
          <w:szCs w:val="24"/>
          <w:color w:val="auto"/>
        </w:rPr>
      </w:pPr>
    </w:p>
    <w:p>
      <w:pPr>
        <w:ind w:right="260" w:firstLine="324"/>
        <w:spacing w:after="0" w:line="275" w:lineRule="auto"/>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7(a)(2)(B) of the Securities Act. 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64135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type w:val="continuous"/>
        </w:sectPr>
      </w:pPr>
    </w:p>
    <w:bookmarkStart w:id="1" w:name="page2"/>
    <w:bookmarkEnd w:id="1"/>
    <w:p>
      <w:pPr>
        <w:jc w:val="center"/>
        <w:ind w:right="-59"/>
        <w:spacing w:after="0"/>
        <w:rPr>
          <w:sz w:val="20"/>
          <w:szCs w:val="20"/>
          <w:color w:val="auto"/>
        </w:rPr>
      </w:pPr>
      <w:r>
        <w:rPr>
          <w:rFonts w:ascii="Arial" w:cs="Arial" w:eastAsia="Arial" w:hAnsi="Arial"/>
          <w:sz w:val="18"/>
          <w:szCs w:val="18"/>
          <w:b w:val="1"/>
          <w:bCs w:val="1"/>
          <w:color w:val="auto"/>
        </w:rPr>
        <w:t>CALCULATION OF REGISTRATION FEE</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980" w:type="dxa"/>
            <w:vAlign w:val="bottom"/>
            <w:tcBorders>
              <w:top w:val="single" w:sz="8" w:color="auto"/>
            </w:tcBorders>
          </w:tcPr>
          <w:p>
            <w:pPr>
              <w:spacing w:after="0"/>
              <w:rPr>
                <w:sz w:val="16"/>
                <w:szCs w:val="16"/>
                <w:color w:val="auto"/>
              </w:rPr>
            </w:pPr>
          </w:p>
        </w:tc>
        <w:tc>
          <w:tcPr>
            <w:tcW w:w="2240" w:type="dxa"/>
            <w:vAlign w:val="bottom"/>
            <w:tcBorders>
              <w:top w:val="single" w:sz="8" w:color="auto"/>
            </w:tcBorders>
            <w:vMerge w:val="restart"/>
          </w:tcPr>
          <w:p>
            <w:pPr>
              <w:jc w:val="center"/>
              <w:ind w:left="190"/>
              <w:spacing w:after="0"/>
              <w:rPr>
                <w:sz w:val="20"/>
                <w:szCs w:val="20"/>
                <w:color w:val="auto"/>
              </w:rPr>
            </w:pPr>
            <w:r>
              <w:rPr>
                <w:rFonts w:ascii="Arial" w:cs="Arial" w:eastAsia="Arial" w:hAnsi="Arial"/>
                <w:sz w:val="18"/>
                <w:szCs w:val="18"/>
                <w:b w:val="1"/>
                <w:bCs w:val="1"/>
                <w:color w:val="auto"/>
                <w:w w:val="94"/>
              </w:rPr>
              <w:t>Amount</w:t>
            </w:r>
          </w:p>
        </w:tc>
        <w:tc>
          <w:tcPr>
            <w:tcW w:w="1680" w:type="dxa"/>
            <w:vAlign w:val="bottom"/>
            <w:tcBorders>
              <w:top w:val="single" w:sz="8" w:color="auto"/>
            </w:tcBorders>
          </w:tcPr>
          <w:p>
            <w:pPr>
              <w:jc w:val="center"/>
              <w:spacing w:after="0" w:line="189" w:lineRule="exact"/>
              <w:rPr>
                <w:sz w:val="20"/>
                <w:szCs w:val="20"/>
                <w:color w:val="auto"/>
              </w:rPr>
            </w:pPr>
            <w:r>
              <w:rPr>
                <w:rFonts w:ascii="Arial" w:cs="Arial" w:eastAsia="Arial" w:hAnsi="Arial"/>
                <w:sz w:val="18"/>
                <w:szCs w:val="18"/>
                <w:b w:val="1"/>
                <w:bCs w:val="1"/>
                <w:color w:val="auto"/>
                <w:w w:val="84"/>
              </w:rPr>
              <w:t>Proposed</w:t>
            </w:r>
          </w:p>
        </w:tc>
        <w:tc>
          <w:tcPr>
            <w:tcW w:w="1620" w:type="dxa"/>
            <w:vAlign w:val="bottom"/>
            <w:tcBorders>
              <w:top w:val="single" w:sz="8" w:color="auto"/>
            </w:tcBorders>
          </w:tcPr>
          <w:p>
            <w:pPr>
              <w:jc w:val="center"/>
              <w:spacing w:after="0" w:line="189" w:lineRule="exact"/>
              <w:rPr>
                <w:sz w:val="20"/>
                <w:szCs w:val="20"/>
                <w:color w:val="auto"/>
              </w:rPr>
            </w:pPr>
            <w:r>
              <w:rPr>
                <w:rFonts w:ascii="Arial" w:cs="Arial" w:eastAsia="Arial" w:hAnsi="Arial"/>
                <w:sz w:val="18"/>
                <w:szCs w:val="18"/>
                <w:b w:val="1"/>
                <w:bCs w:val="1"/>
                <w:color w:val="auto"/>
                <w:w w:val="84"/>
              </w:rPr>
              <w:t>Proposed</w:t>
            </w:r>
          </w:p>
        </w:tc>
        <w:tc>
          <w:tcPr>
            <w:tcW w:w="16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3980" w:type="dxa"/>
            <w:vAlign w:val="bottom"/>
          </w:tcPr>
          <w:p>
            <w:pPr>
              <w:spacing w:after="0"/>
              <w:rPr>
                <w:sz w:val="15"/>
                <w:szCs w:val="15"/>
                <w:color w:val="auto"/>
              </w:rPr>
            </w:pPr>
          </w:p>
        </w:tc>
        <w:tc>
          <w:tcPr>
            <w:tcW w:w="2240" w:type="dxa"/>
            <w:vAlign w:val="bottom"/>
            <w:vMerge w:val="continue"/>
          </w:tcPr>
          <w:p>
            <w:pPr>
              <w:spacing w:after="0"/>
              <w:rPr>
                <w:sz w:val="15"/>
                <w:szCs w:val="15"/>
                <w:color w:val="auto"/>
              </w:rPr>
            </w:pPr>
          </w:p>
        </w:tc>
        <w:tc>
          <w:tcPr>
            <w:tcW w:w="168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6"/>
              </w:rPr>
              <w:t>Maximum</w:t>
            </w:r>
          </w:p>
        </w:tc>
        <w:tc>
          <w:tcPr>
            <w:tcW w:w="162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6"/>
              </w:rPr>
              <w:t>Maximum</w:t>
            </w:r>
          </w:p>
        </w:tc>
        <w:tc>
          <w:tcPr>
            <w:tcW w:w="166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1"/>
              </w:rPr>
              <w:t>Amount of</w:t>
            </w:r>
          </w:p>
        </w:tc>
        <w:tc>
          <w:tcPr>
            <w:tcW w:w="0" w:type="dxa"/>
            <w:vAlign w:val="bottom"/>
          </w:tcPr>
          <w:p>
            <w:pPr>
              <w:spacing w:after="0"/>
              <w:rPr>
                <w:sz w:val="1"/>
                <w:szCs w:val="1"/>
                <w:color w:val="auto"/>
              </w:rPr>
            </w:pPr>
          </w:p>
        </w:tc>
      </w:tr>
      <w:tr>
        <w:trPr>
          <w:trHeight w:val="176"/>
        </w:trPr>
        <w:tc>
          <w:tcPr>
            <w:tcW w:w="3980" w:type="dxa"/>
            <w:vAlign w:val="bottom"/>
            <w:vMerge w:val="restart"/>
          </w:tcPr>
          <w:p>
            <w:pPr>
              <w:ind w:left="760"/>
              <w:spacing w:after="0"/>
              <w:rPr>
                <w:sz w:val="20"/>
                <w:szCs w:val="20"/>
                <w:color w:val="auto"/>
              </w:rPr>
            </w:pPr>
            <w:r>
              <w:rPr>
                <w:rFonts w:ascii="Arial" w:cs="Arial" w:eastAsia="Arial" w:hAnsi="Arial"/>
                <w:sz w:val="18"/>
                <w:szCs w:val="18"/>
                <w:b w:val="1"/>
                <w:bCs w:val="1"/>
                <w:color w:val="auto"/>
              </w:rPr>
              <w:t>Title of Securities to be Registered</w:t>
            </w:r>
          </w:p>
        </w:tc>
        <w:tc>
          <w:tcPr>
            <w:tcW w:w="2240" w:type="dxa"/>
            <w:vAlign w:val="bottom"/>
          </w:tcPr>
          <w:p>
            <w:pPr>
              <w:jc w:val="center"/>
              <w:ind w:left="190"/>
              <w:spacing w:after="0" w:line="176" w:lineRule="exact"/>
              <w:rPr>
                <w:sz w:val="20"/>
                <w:szCs w:val="20"/>
                <w:color w:val="auto"/>
              </w:rPr>
            </w:pPr>
            <w:r>
              <w:rPr>
                <w:rFonts w:ascii="Arial" w:cs="Arial" w:eastAsia="Arial" w:hAnsi="Arial"/>
                <w:sz w:val="18"/>
                <w:szCs w:val="18"/>
                <w:b w:val="1"/>
                <w:bCs w:val="1"/>
                <w:color w:val="auto"/>
                <w:w w:val="83"/>
              </w:rPr>
              <w:t>to be</w:t>
            </w:r>
          </w:p>
        </w:tc>
        <w:tc>
          <w:tcPr>
            <w:tcW w:w="168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2"/>
              </w:rPr>
              <w:t>Offering Price</w:t>
            </w:r>
          </w:p>
        </w:tc>
        <w:tc>
          <w:tcPr>
            <w:tcW w:w="162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87"/>
              </w:rPr>
              <w:t>Aggregate</w:t>
            </w:r>
          </w:p>
        </w:tc>
        <w:tc>
          <w:tcPr>
            <w:tcW w:w="1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3980" w:type="dxa"/>
            <w:vAlign w:val="bottom"/>
            <w:tcBorders>
              <w:bottom w:val="single" w:sz="8" w:color="auto"/>
            </w:tcBorders>
            <w:vMerge w:val="continue"/>
          </w:tcPr>
          <w:p>
            <w:pPr>
              <w:spacing w:after="0"/>
              <w:rPr>
                <w:sz w:val="19"/>
                <w:szCs w:val="19"/>
                <w:color w:val="auto"/>
              </w:rPr>
            </w:pPr>
          </w:p>
        </w:tc>
        <w:tc>
          <w:tcPr>
            <w:tcW w:w="2240" w:type="dxa"/>
            <w:vAlign w:val="bottom"/>
            <w:tcBorders>
              <w:bottom w:val="single" w:sz="8" w:color="auto"/>
            </w:tcBorders>
          </w:tcPr>
          <w:p>
            <w:pPr>
              <w:jc w:val="center"/>
              <w:ind w:left="190"/>
              <w:spacing w:after="0" w:line="230" w:lineRule="exact"/>
              <w:rPr>
                <w:sz w:val="20"/>
                <w:szCs w:val="20"/>
                <w:color w:val="auto"/>
              </w:rPr>
            </w:pPr>
            <w:r>
              <w:rPr>
                <w:rFonts w:ascii="Arial" w:cs="Arial" w:eastAsia="Arial" w:hAnsi="Arial"/>
                <w:sz w:val="18"/>
                <w:szCs w:val="18"/>
                <w:b w:val="1"/>
                <w:bCs w:val="1"/>
                <w:color w:val="auto"/>
                <w:w w:val="85"/>
              </w:rPr>
              <w:t xml:space="preserve">Registered </w:t>
            </w:r>
            <w:r>
              <w:rPr>
                <w:rFonts w:ascii="Arial" w:cs="Arial" w:eastAsia="Arial" w:hAnsi="Arial"/>
                <w:sz w:val="23"/>
                <w:szCs w:val="23"/>
                <w:b w:val="1"/>
                <w:bCs w:val="1"/>
                <w:color w:val="auto"/>
                <w:w w:val="85"/>
                <w:vertAlign w:val="superscript"/>
              </w:rPr>
              <w:t>(1)</w:t>
            </w:r>
          </w:p>
        </w:tc>
        <w:tc>
          <w:tcPr>
            <w:tcW w:w="1680" w:type="dxa"/>
            <w:vAlign w:val="bottom"/>
            <w:tcBorders>
              <w:bottom w:val="single" w:sz="8" w:color="auto"/>
            </w:tcBorders>
          </w:tcPr>
          <w:p>
            <w:pPr>
              <w:jc w:val="center"/>
              <w:spacing w:after="0" w:line="230" w:lineRule="exact"/>
              <w:rPr>
                <w:sz w:val="20"/>
                <w:szCs w:val="20"/>
                <w:color w:val="auto"/>
              </w:rPr>
            </w:pPr>
            <w:r>
              <w:rPr>
                <w:rFonts w:ascii="Arial" w:cs="Arial" w:eastAsia="Arial" w:hAnsi="Arial"/>
                <w:sz w:val="18"/>
                <w:szCs w:val="18"/>
                <w:b w:val="1"/>
                <w:bCs w:val="1"/>
                <w:color w:val="auto"/>
                <w:w w:val="87"/>
              </w:rPr>
              <w:t>Per Share</w:t>
            </w:r>
            <w:r>
              <w:rPr>
                <w:rFonts w:ascii="Arial" w:cs="Arial" w:eastAsia="Arial" w:hAnsi="Arial"/>
                <w:sz w:val="23"/>
                <w:szCs w:val="23"/>
                <w:b w:val="1"/>
                <w:bCs w:val="1"/>
                <w:color w:val="auto"/>
                <w:w w:val="87"/>
                <w:vertAlign w:val="superscript"/>
              </w:rPr>
              <w:t>(4)</w:t>
            </w: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Offering Price</w:t>
            </w: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Registration Fee</w:t>
            </w:r>
          </w:p>
        </w:tc>
        <w:tc>
          <w:tcPr>
            <w:tcW w:w="0" w:type="dxa"/>
            <w:vAlign w:val="bottom"/>
          </w:tcPr>
          <w:p>
            <w:pPr>
              <w:spacing w:after="0"/>
              <w:rPr>
                <w:sz w:val="1"/>
                <w:szCs w:val="1"/>
                <w:color w:val="auto"/>
              </w:rPr>
            </w:pPr>
          </w:p>
        </w:tc>
      </w:tr>
      <w:tr>
        <w:trPr>
          <w:trHeight w:val="223"/>
        </w:trPr>
        <w:tc>
          <w:tcPr>
            <w:tcW w:w="39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Common Stock, par value $0.0001 per share</w:t>
            </w:r>
          </w:p>
        </w:tc>
        <w:tc>
          <w:tcPr>
            <w:tcW w:w="2240" w:type="dxa"/>
            <w:vAlign w:val="bottom"/>
            <w:tcBorders>
              <w:bottom w:val="single" w:sz="8" w:color="auto"/>
            </w:tcBorders>
          </w:tcPr>
          <w:p>
            <w:pPr>
              <w:jc w:val="center"/>
              <w:ind w:left="190"/>
              <w:spacing w:after="0" w:line="223" w:lineRule="exact"/>
              <w:rPr>
                <w:sz w:val="20"/>
                <w:szCs w:val="20"/>
                <w:color w:val="auto"/>
              </w:rPr>
            </w:pPr>
            <w:r>
              <w:rPr>
                <w:rFonts w:ascii="Arial" w:cs="Arial" w:eastAsia="Arial" w:hAnsi="Arial"/>
                <w:sz w:val="18"/>
                <w:szCs w:val="18"/>
                <w:color w:val="auto"/>
                <w:w w:val="86"/>
              </w:rPr>
              <w:t>1,080,711 shares</w:t>
            </w:r>
            <w:r>
              <w:rPr>
                <w:rFonts w:ascii="Arial" w:cs="Arial" w:eastAsia="Arial" w:hAnsi="Arial"/>
                <w:sz w:val="23"/>
                <w:szCs w:val="23"/>
                <w:color w:val="auto"/>
                <w:w w:val="86"/>
                <w:vertAlign w:val="superscript"/>
              </w:rPr>
              <w:t>(2)</w:t>
            </w: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$3.045</w:t>
            </w: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$3,290,765.00</w:t>
            </w: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$359.03</w:t>
            </w:r>
          </w:p>
        </w:tc>
        <w:tc>
          <w:tcPr>
            <w:tcW w:w="0" w:type="dxa"/>
            <w:vAlign w:val="bottom"/>
          </w:tcPr>
          <w:p>
            <w:pPr>
              <w:spacing w:after="0"/>
              <w:rPr>
                <w:sz w:val="1"/>
                <w:szCs w:val="1"/>
                <w:color w:val="auto"/>
              </w:rPr>
            </w:pPr>
          </w:p>
        </w:tc>
      </w:tr>
      <w:tr>
        <w:trPr>
          <w:trHeight w:val="223"/>
        </w:trPr>
        <w:tc>
          <w:tcPr>
            <w:tcW w:w="39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Common Stock, par value $0.0001 per share</w:t>
            </w:r>
          </w:p>
        </w:tc>
        <w:tc>
          <w:tcPr>
            <w:tcW w:w="2240" w:type="dxa"/>
            <w:vAlign w:val="bottom"/>
            <w:tcBorders>
              <w:bottom w:val="single" w:sz="8" w:color="auto"/>
            </w:tcBorders>
          </w:tcPr>
          <w:p>
            <w:pPr>
              <w:jc w:val="center"/>
              <w:ind w:left="190"/>
              <w:spacing w:after="0" w:line="223" w:lineRule="exact"/>
              <w:rPr>
                <w:sz w:val="20"/>
                <w:szCs w:val="20"/>
                <w:color w:val="auto"/>
              </w:rPr>
            </w:pPr>
            <w:r>
              <w:rPr>
                <w:rFonts w:ascii="Arial" w:cs="Arial" w:eastAsia="Arial" w:hAnsi="Arial"/>
                <w:sz w:val="18"/>
                <w:szCs w:val="18"/>
                <w:color w:val="auto"/>
                <w:w w:val="86"/>
              </w:rPr>
              <w:t>4,322,850 shares</w:t>
            </w:r>
            <w:r>
              <w:rPr>
                <w:rFonts w:ascii="Arial" w:cs="Arial" w:eastAsia="Arial" w:hAnsi="Arial"/>
                <w:sz w:val="23"/>
                <w:szCs w:val="23"/>
                <w:color w:val="auto"/>
                <w:w w:val="86"/>
                <w:vertAlign w:val="superscript"/>
              </w:rPr>
              <w:t>(3)</w:t>
            </w: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$3.045</w:t>
            </w: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$13,163,078.25</w:t>
            </w: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$1,436.10</w:t>
            </w:r>
          </w:p>
        </w:tc>
        <w:tc>
          <w:tcPr>
            <w:tcW w:w="0" w:type="dxa"/>
            <w:vAlign w:val="bottom"/>
          </w:tcPr>
          <w:p>
            <w:pPr>
              <w:spacing w:after="0"/>
              <w:rPr>
                <w:sz w:val="1"/>
                <w:szCs w:val="1"/>
                <w:color w:val="auto"/>
              </w:rPr>
            </w:pPr>
          </w:p>
        </w:tc>
      </w:tr>
      <w:tr>
        <w:trPr>
          <w:trHeight w:val="223"/>
        </w:trPr>
        <w:tc>
          <w:tcPr>
            <w:tcW w:w="39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w:t>
            </w:r>
          </w:p>
        </w:tc>
        <w:tc>
          <w:tcPr>
            <w:tcW w:w="2240" w:type="dxa"/>
            <w:vAlign w:val="bottom"/>
            <w:tcBorders>
              <w:bottom w:val="single" w:sz="8" w:color="auto"/>
            </w:tcBorders>
          </w:tcPr>
          <w:p>
            <w:pPr>
              <w:jc w:val="center"/>
              <w:ind w:left="190"/>
              <w:spacing w:after="0"/>
              <w:rPr>
                <w:sz w:val="20"/>
                <w:szCs w:val="20"/>
                <w:color w:val="auto"/>
              </w:rPr>
            </w:pPr>
            <w:r>
              <w:rPr>
                <w:rFonts w:ascii="Arial" w:cs="Arial" w:eastAsia="Arial" w:hAnsi="Arial"/>
                <w:sz w:val="18"/>
                <w:szCs w:val="18"/>
                <w:color w:val="auto"/>
                <w:w w:val="86"/>
              </w:rPr>
              <w:t>5,403,561 shares</w:t>
            </w: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$16,453,843.25</w:t>
            </w: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$1,795.13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ind w:left="580" w:right="120" w:hanging="329"/>
        <w:spacing w:after="0" w:line="259" w:lineRule="auto"/>
        <w:tabs>
          <w:tab w:leader="none" w:pos="574" w:val="left"/>
        </w:tabs>
        <w:numPr>
          <w:ilvl w:val="0"/>
          <w:numId w:val="1"/>
        </w:numPr>
        <w:rPr>
          <w:rFonts w:ascii="Arial" w:cs="Arial" w:eastAsia="Arial" w:hAnsi="Arial"/>
          <w:sz w:val="18"/>
          <w:szCs w:val="18"/>
          <w:color w:val="auto"/>
        </w:rPr>
      </w:pPr>
      <w:r>
        <w:rPr>
          <w:rFonts w:ascii="Arial" w:cs="Arial" w:eastAsia="Arial" w:hAnsi="Arial"/>
          <w:sz w:val="18"/>
          <w:szCs w:val="18"/>
          <w:color w:val="auto"/>
        </w:rPr>
        <w:t>In accordance with Rule 416 under the Securities Act of 1933, as amended (the “Securities Act”), this registration statement (this “Registration Statement”) shall be deemed to cover any additional securities that may from time to time be offered or issued under the Selecta Biosciences, Inc. 2016 Employee Stock Purchase Plan (“ESPP”) and the Selecta Biosciences, Inc. 2016 Incentive Award Plan (the “Incentive Plan”) to prevent dilution resulting from stock splits, stock dividends or similar transactions.</w:t>
      </w:r>
    </w:p>
    <w:p>
      <w:pPr>
        <w:spacing w:after="0" w:line="213" w:lineRule="exact"/>
        <w:rPr>
          <w:rFonts w:ascii="Arial" w:cs="Arial" w:eastAsia="Arial" w:hAnsi="Arial"/>
          <w:sz w:val="18"/>
          <w:szCs w:val="18"/>
          <w:color w:val="auto"/>
        </w:rPr>
      </w:pPr>
    </w:p>
    <w:p>
      <w:pPr>
        <w:ind w:left="580" w:right="400" w:hanging="329"/>
        <w:spacing w:after="0" w:line="277" w:lineRule="auto"/>
        <w:tabs>
          <w:tab w:leader="none" w:pos="574" w:val="left"/>
        </w:tabs>
        <w:numPr>
          <w:ilvl w:val="0"/>
          <w:numId w:val="1"/>
        </w:numPr>
        <w:rPr>
          <w:rFonts w:ascii="Arial" w:cs="Arial" w:eastAsia="Arial" w:hAnsi="Arial"/>
          <w:sz w:val="18"/>
          <w:szCs w:val="18"/>
          <w:color w:val="auto"/>
        </w:rPr>
      </w:pPr>
      <w:r>
        <w:rPr>
          <w:rFonts w:ascii="Arial" w:cs="Arial" w:eastAsia="Arial" w:hAnsi="Arial"/>
          <w:sz w:val="18"/>
          <w:szCs w:val="18"/>
          <w:color w:val="auto"/>
        </w:rPr>
        <w:t>Consists of 1,080,711 shares of the Registrant’s common stock, par value $0.0001 per share (the “Common Stock”) that may become issuable under the ESPP pursuant to its terms.</w:t>
      </w:r>
    </w:p>
    <w:p>
      <w:pPr>
        <w:spacing w:after="0" w:line="197" w:lineRule="exact"/>
        <w:rPr>
          <w:rFonts w:ascii="Arial" w:cs="Arial" w:eastAsia="Arial" w:hAnsi="Arial"/>
          <w:sz w:val="18"/>
          <w:szCs w:val="18"/>
          <w:color w:val="auto"/>
        </w:rPr>
      </w:pPr>
    </w:p>
    <w:p>
      <w:pPr>
        <w:ind w:left="560" w:hanging="309"/>
        <w:spacing w:after="0"/>
        <w:tabs>
          <w:tab w:leader="none" w:pos="560" w:val="left"/>
        </w:tabs>
        <w:numPr>
          <w:ilvl w:val="0"/>
          <w:numId w:val="1"/>
        </w:numPr>
        <w:rPr>
          <w:rFonts w:ascii="Arial" w:cs="Arial" w:eastAsia="Arial" w:hAnsi="Arial"/>
          <w:sz w:val="18"/>
          <w:szCs w:val="18"/>
          <w:color w:val="auto"/>
        </w:rPr>
      </w:pPr>
      <w:r>
        <w:rPr>
          <w:rFonts w:ascii="Arial" w:cs="Arial" w:eastAsia="Arial" w:hAnsi="Arial"/>
          <w:sz w:val="18"/>
          <w:szCs w:val="18"/>
          <w:color w:val="auto"/>
        </w:rPr>
        <w:t>Consists of 4,322,850 shares of Common Stock that may become issuable under the Incentive Plan pursuant to its terms.</w:t>
      </w:r>
    </w:p>
    <w:p>
      <w:pPr>
        <w:spacing w:after="0" w:line="252" w:lineRule="exact"/>
        <w:rPr>
          <w:rFonts w:ascii="Arial" w:cs="Arial" w:eastAsia="Arial" w:hAnsi="Arial"/>
          <w:sz w:val="18"/>
          <w:szCs w:val="18"/>
          <w:color w:val="auto"/>
        </w:rPr>
      </w:pPr>
    </w:p>
    <w:p>
      <w:pPr>
        <w:ind w:left="580" w:right="260" w:hanging="329"/>
        <w:spacing w:after="0" w:line="342" w:lineRule="auto"/>
        <w:tabs>
          <w:tab w:leader="none" w:pos="574" w:val="left"/>
        </w:tabs>
        <w:numPr>
          <w:ilvl w:val="0"/>
          <w:numId w:val="1"/>
        </w:numPr>
        <w:rPr>
          <w:rFonts w:ascii="Arial" w:cs="Arial" w:eastAsia="Arial" w:hAnsi="Arial"/>
          <w:sz w:val="16"/>
          <w:szCs w:val="16"/>
          <w:color w:val="auto"/>
        </w:rPr>
      </w:pPr>
      <w:r>
        <w:rPr>
          <w:rFonts w:ascii="Arial" w:cs="Arial" w:eastAsia="Arial" w:hAnsi="Arial"/>
          <w:sz w:val="16"/>
          <w:szCs w:val="16"/>
          <w:color w:val="auto"/>
        </w:rPr>
        <w:t>Estimated solely for the purpose of calculating the registration fee pursuant to Rules 457(c) and 457(h) of the Securities Act and based upon the average of the high and low prices of the Registrant’s Common Stock as reported on the Nasdaq Global Market on May 7, 2021.</w:t>
      </w:r>
    </w:p>
    <w:p>
      <w:pPr>
        <w:spacing w:after="0" w:line="34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180"/>
          </w:cols>
          <w:pgMar w:left="320" w:top="985" w:right="399" w:bottom="1440" w:gutter="0" w:footer="0" w:header="0"/>
        </w:sectPr>
      </w:pPr>
    </w:p>
    <w:bookmarkStart w:id="2" w:name="page3"/>
    <w:bookmarkEnd w:id="2"/>
    <w:p>
      <w:pPr>
        <w:jc w:val="center"/>
        <w:ind w:right="-199"/>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This Registration Statement on Form S-8 is being filed for the purpose of registering an additional 1,080,711 shares of the Common Stock of Selecta Biosciences, Inc. (the “Registrant”) to be issued pursuant to the ESPP and an additional 4,322,850 shares of the Registrant’s Common Stock to be issued pursuant to the Incentive Plan.</w:t>
      </w:r>
    </w:p>
    <w:p>
      <w:pPr>
        <w:spacing w:after="0" w:line="40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40"/>
          </w:cols>
          <w:pgMar w:left="320" w:top="985" w:right="539" w:bottom="1440" w:gutter="0" w:footer="0" w:header="0"/>
        </w:sectPr>
      </w:pPr>
    </w:p>
    <w:bookmarkStart w:id="3" w:name="page4"/>
    <w:bookmarkEnd w:id="3"/>
    <w:p>
      <w:pPr>
        <w:jc w:val="center"/>
        <w:ind w:right="-35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3000"/>
        <w:spacing w:after="0"/>
        <w:rPr>
          <w:sz w:val="20"/>
          <w:szCs w:val="20"/>
          <w:color w:val="auto"/>
        </w:rPr>
      </w:pPr>
      <w:r>
        <w:rPr>
          <w:rFonts w:ascii="Arial" w:cs="Arial" w:eastAsia="Arial" w:hAnsi="Arial"/>
          <w:sz w:val="18"/>
          <w:szCs w:val="18"/>
          <w:b w:val="1"/>
          <w:bCs w:val="1"/>
          <w:color w:val="auto"/>
        </w:rPr>
        <w:t>INFORMATION REQUIRED IN THE REGISTRATION STATEMENT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Incorporation of Documents by Reference</w:t>
      </w:r>
    </w:p>
    <w:p>
      <w:pPr>
        <w:spacing w:after="0" w:line="229" w:lineRule="exact"/>
        <w:rPr>
          <w:sz w:val="20"/>
          <w:szCs w:val="20"/>
          <w:color w:val="auto"/>
        </w:rPr>
      </w:pPr>
    </w:p>
    <w:p>
      <w:pPr>
        <w:ind w:right="880" w:firstLine="324"/>
        <w:spacing w:after="0" w:line="277" w:lineRule="auto"/>
        <w:rPr>
          <w:sz w:val="20"/>
          <w:szCs w:val="20"/>
          <w:color w:val="auto"/>
        </w:rPr>
      </w:pPr>
      <w:r>
        <w:rPr>
          <w:rFonts w:ascii="Arial" w:cs="Arial" w:eastAsia="Arial" w:hAnsi="Arial"/>
          <w:sz w:val="18"/>
          <w:szCs w:val="18"/>
          <w:color w:val="auto"/>
        </w:rPr>
        <w:t>The following documents, which have been filed by the Registrant with the Securities and Exchange Commission (the “Commission”), are incorporated herein by reference:</w:t>
      </w:r>
    </w:p>
    <w:p>
      <w:pPr>
        <w:spacing w:after="0" w:line="170" w:lineRule="exact"/>
        <w:rPr>
          <w:sz w:val="20"/>
          <w:szCs w:val="20"/>
          <w:color w:val="auto"/>
        </w:rPr>
      </w:pPr>
    </w:p>
    <w:p>
      <w:pPr>
        <w:ind w:left="660" w:right="20" w:hanging="328"/>
        <w:spacing w:after="0" w:line="277"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Registrant’s definitive proxy statement on Schedule 14A for the 2021 annual meeting of stockholders, filed with the Commission on April 29, 2021;</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Registrant’s Annual Report on Form 10-K for the year ended December 31, 2020, filed with the Commission on March 12, 2021;</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Registrant’s Current Reports on Form 8-K filed with the Commission on January 6, 2021, April 15, 2021, and April 29, 2021; and</w:t>
      </w:r>
    </w:p>
    <w:p>
      <w:pPr>
        <w:spacing w:after="0" w:line="225" w:lineRule="exact"/>
        <w:rPr>
          <w:rFonts w:ascii="Arial" w:cs="Arial" w:eastAsia="Arial" w:hAnsi="Arial"/>
          <w:sz w:val="18"/>
          <w:szCs w:val="18"/>
          <w:color w:val="auto"/>
        </w:rPr>
      </w:pPr>
    </w:p>
    <w:p>
      <w:pPr>
        <w:ind w:left="660" w:right="300" w:hanging="328"/>
        <w:spacing w:after="0" w:line="342" w:lineRule="auto"/>
        <w:tabs>
          <w:tab w:leader="none" w:pos="655"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description of the Common Stock contained in the Registrant’s Annual Report on Form 10-K for the year ended December 31, 2020, filed with the Commission on March 12, 2021, including any amendments or reports filed for the purpose of updating such description; and</w:t>
      </w:r>
    </w:p>
    <w:p>
      <w:pPr>
        <w:spacing w:after="0" w:line="123" w:lineRule="exact"/>
        <w:rPr>
          <w:rFonts w:ascii="Arial" w:cs="Arial" w:eastAsia="Arial" w:hAnsi="Arial"/>
          <w:sz w:val="16"/>
          <w:szCs w:val="16"/>
          <w:color w:val="auto"/>
        </w:rPr>
      </w:pPr>
    </w:p>
    <w:p>
      <w:pPr>
        <w:ind w:left="660" w:hanging="328"/>
        <w:spacing w:after="0" w:line="277"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Registrant’s Registration Statements on Form S-8 (File Nos. 333-212215, 333-224109, 333-228264, 333-230501 and 333-2390975) filed with the Securities and Exchange Commission, relating to the ESPP and Incentive Plan.</w:t>
      </w:r>
    </w:p>
    <w:p>
      <w:pPr>
        <w:spacing w:after="0" w:line="170"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 xml:space="preserve">All documents filed by the Registrant pursuant to Sections 13(a), 13(c), 14 and 15(d) of the Exchange Act on or after the date of this Registration Statement and prior to the filing of a post-effective amendment to this Registration Statement that indicates that all securities offered have been sold or that deregisters all securities then remaining unsold shall be deemed to be incorporated by reference in this Registration Statement and to be part hereof from the date of filing of such documents;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documents or information deemed to have been furnished and not filed in accordance with the rules of the SEC shall not be deemed incorporated by reference into this Registration Statement. Any statement contained in a document incorporated or deemed to be incorporated by reference herein shall be deemed to be modified or superseded for purposes of this Registration Statement to the extent that a statement contained herein or in any subsequently filed document which also is deemed to be incorporated by reference herein modifies or supersedes such statement. Any such statement so modified or superseded shall not be deemed, except as so modified or superseded, to constitute a part of this Registration Statement.</w:t>
      </w: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20"/>
          </w:cols>
          <w:pgMar w:left="320" w:top="985" w:right="359" w:bottom="1440" w:gutter="0" w:footer="0" w:header="0"/>
        </w:sectPr>
      </w:pPr>
    </w:p>
    <w:bookmarkStart w:id="4" w:name="page5"/>
    <w:bookmarkEnd w:id="4"/>
    <w:p>
      <w:pPr>
        <w:ind w:left="20"/>
        <w:spacing w:after="0"/>
        <w:rPr>
          <w:sz w:val="20"/>
          <w:szCs w:val="20"/>
          <w:color w:val="auto"/>
        </w:rPr>
      </w:pPr>
      <w:r>
        <w:rPr>
          <w:rFonts w:ascii="Arial" w:cs="Arial" w:eastAsia="Arial" w:hAnsi="Arial"/>
          <w:sz w:val="18"/>
          <w:szCs w:val="18"/>
          <w:b w:val="1"/>
          <w:bCs w:val="1"/>
          <w:color w:val="auto"/>
        </w:rPr>
        <w:t>Item 8. Exhibits</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2360" w:type="dxa"/>
            <w:vAlign w:val="bottom"/>
            <w:gridSpan w:val="6"/>
          </w:tcPr>
          <w:p>
            <w:pPr>
              <w:spacing w:after="0"/>
              <w:rPr>
                <w:sz w:val="20"/>
                <w:szCs w:val="20"/>
                <w:color w:val="auto"/>
              </w:rPr>
            </w:pPr>
            <w:r>
              <w:rPr>
                <w:rFonts w:ascii="Arial" w:cs="Arial" w:eastAsia="Arial" w:hAnsi="Arial"/>
                <w:sz w:val="14"/>
                <w:szCs w:val="14"/>
                <w:b w:val="1"/>
                <w:bCs w:val="1"/>
                <w:color w:val="auto"/>
              </w:rPr>
              <w:t>Exhibit No.</w:t>
            </w:r>
          </w:p>
        </w:tc>
        <w:tc>
          <w:tcPr>
            <w:tcW w:w="8860" w:type="dxa"/>
            <w:vAlign w:val="bottom"/>
            <w:gridSpan w:val="10"/>
          </w:tcPr>
          <w:p>
            <w:pPr>
              <w:spacing w:after="0"/>
              <w:rPr>
                <w:sz w:val="20"/>
                <w:szCs w:val="20"/>
                <w:color w:val="auto"/>
              </w:rPr>
            </w:pPr>
            <w:r>
              <w:rPr>
                <w:rFonts w:ascii="Arial" w:cs="Arial" w:eastAsia="Arial" w:hAnsi="Arial"/>
                <w:sz w:val="14"/>
                <w:szCs w:val="14"/>
                <w:b w:val="1"/>
                <w:bCs w:val="1"/>
                <w:color w:val="auto"/>
              </w:rPr>
              <w:t>Description</w:t>
            </w:r>
          </w:p>
        </w:tc>
      </w:tr>
      <w:tr>
        <w:trPr>
          <w:trHeight w:val="283"/>
        </w:trPr>
        <w:tc>
          <w:tcPr>
            <w:tcW w:w="340" w:type="dxa"/>
            <w:vAlign w:val="bottom"/>
            <w:tcBorders>
              <w:top w:val="single" w:sz="8" w:color="auto"/>
            </w:tcBorders>
            <w:gridSpan w:val="3"/>
          </w:tcPr>
          <w:p>
            <w:pPr>
              <w:ind w:left="20"/>
              <w:spacing w:after="0"/>
              <w:rPr>
                <w:rFonts w:ascii="Arial" w:cs="Arial" w:eastAsia="Arial" w:hAnsi="Arial"/>
                <w:sz w:val="18"/>
                <w:szCs w:val="18"/>
                <w:color w:val="0000FF"/>
              </w:rPr>
            </w:pPr>
            <w:hyperlink r:id="rId12">
              <w:r>
                <w:rPr>
                  <w:rFonts w:ascii="Arial" w:cs="Arial" w:eastAsia="Arial" w:hAnsi="Arial"/>
                  <w:sz w:val="18"/>
                  <w:szCs w:val="18"/>
                  <w:color w:val="0000FF"/>
                </w:rPr>
                <w:t>4.</w:t>
              </w:r>
              <w:r>
                <w:rPr>
                  <w:rFonts w:ascii="Arial" w:cs="Arial" w:eastAsia="Arial" w:hAnsi="Arial"/>
                  <w:sz w:val="18"/>
                  <w:szCs w:val="18"/>
                  <w:u w:val="single" w:color="auto"/>
                  <w:color w:val="0000FF"/>
                </w:rPr>
                <w:t>1</w:t>
              </w:r>
            </w:hyperlink>
          </w:p>
        </w:tc>
        <w:tc>
          <w:tcPr>
            <w:tcW w:w="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400" w:type="dxa"/>
            <w:vAlign w:val="bottom"/>
            <w:tcBorders>
              <w:top w:val="single" w:sz="8" w:color="auto"/>
            </w:tcBorders>
          </w:tcPr>
          <w:p>
            <w:pPr>
              <w:spacing w:after="0"/>
              <w:rPr>
                <w:sz w:val="24"/>
                <w:szCs w:val="24"/>
                <w:color w:val="auto"/>
              </w:rPr>
            </w:pPr>
          </w:p>
        </w:tc>
        <w:tc>
          <w:tcPr>
            <w:tcW w:w="540" w:type="dxa"/>
            <w:vAlign w:val="bottom"/>
          </w:tcPr>
          <w:p>
            <w:pPr>
              <w:spacing w:after="0"/>
              <w:rPr>
                <w:sz w:val="24"/>
                <w:szCs w:val="24"/>
                <w:color w:val="auto"/>
              </w:rPr>
            </w:pPr>
          </w:p>
        </w:tc>
        <w:tc>
          <w:tcPr>
            <w:tcW w:w="8860" w:type="dxa"/>
            <w:vAlign w:val="bottom"/>
            <w:tcBorders>
              <w:top w:val="single" w:sz="8" w:color="auto"/>
            </w:tcBorders>
            <w:gridSpan w:val="10"/>
          </w:tcPr>
          <w:p>
            <w:pPr>
              <w:spacing w:after="0"/>
              <w:rPr>
                <w:rFonts w:ascii="Arial" w:cs="Arial" w:eastAsia="Arial" w:hAnsi="Arial"/>
                <w:sz w:val="18"/>
                <w:szCs w:val="18"/>
                <w:color w:val="0000FF"/>
                <w:w w:val="91"/>
              </w:rPr>
            </w:pPr>
            <w:hyperlink r:id="rId12">
              <w:r>
                <w:rPr>
                  <w:rFonts w:ascii="Arial" w:cs="Arial" w:eastAsia="Arial" w:hAnsi="Arial"/>
                  <w:sz w:val="18"/>
                  <w:szCs w:val="18"/>
                  <w:color w:val="0000FF"/>
                  <w:w w:val="91"/>
                </w:rPr>
                <w:t>Restated Certificate of Incorporation of the Registrant (incorporated by reference to Exhibit 3.1 to the Registrant’s Current</w:t>
              </w:r>
            </w:hyperlink>
          </w:p>
        </w:tc>
      </w:tr>
      <w:tr>
        <w:trPr>
          <w:trHeight w:val="156"/>
        </w:trPr>
        <w:tc>
          <w:tcPr>
            <w:tcW w:w="20" w:type="dxa"/>
            <w:vAlign w:val="bottom"/>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780" w:type="dxa"/>
            <w:vAlign w:val="bottom"/>
            <w:tcBorders>
              <w:top w:val="single" w:sz="8" w:color="0000FF"/>
              <w:bottom w:val="single" w:sz="8" w:color="0000FF"/>
            </w:tcBorders>
            <w:gridSpan w:val="3"/>
          </w:tcPr>
          <w:p>
            <w:pPr>
              <w:spacing w:after="0" w:line="156" w:lineRule="exact"/>
              <w:rPr>
                <w:rFonts w:ascii="Arial" w:cs="Arial" w:eastAsia="Arial" w:hAnsi="Arial"/>
                <w:sz w:val="18"/>
                <w:szCs w:val="18"/>
                <w:color w:val="0000FF"/>
                <w:w w:val="92"/>
              </w:rPr>
            </w:pPr>
            <w:hyperlink r:id="rId12">
              <w:r>
                <w:rPr>
                  <w:rFonts w:ascii="Arial" w:cs="Arial" w:eastAsia="Arial" w:hAnsi="Arial"/>
                  <w:sz w:val="18"/>
                  <w:szCs w:val="18"/>
                  <w:color w:val="0000FF"/>
                  <w:w w:val="92"/>
                </w:rPr>
                <w:t>Report on Form 8-K (File No. 001-37798) filed on June 29, 2016)</w:t>
              </w:r>
            </w:hyperlink>
          </w:p>
        </w:tc>
        <w:tc>
          <w:tcPr>
            <w:tcW w:w="4020" w:type="dxa"/>
            <w:vAlign w:val="bottom"/>
            <w:tcBorders>
              <w:top w:val="single" w:sz="8" w:color="0000FF"/>
            </w:tcBorders>
            <w:gridSpan w:val="5"/>
          </w:tcPr>
          <w:p>
            <w:pPr>
              <w:spacing w:after="0"/>
              <w:rPr>
                <w:sz w:val="13"/>
                <w:szCs w:val="13"/>
                <w:color w:val="auto"/>
              </w:rPr>
            </w:pPr>
          </w:p>
        </w:tc>
        <w:tc>
          <w:tcPr>
            <w:tcW w:w="40" w:type="dxa"/>
            <w:vAlign w:val="bottom"/>
          </w:tcPr>
          <w:p>
            <w:pPr>
              <w:spacing w:after="0"/>
              <w:rPr>
                <w:sz w:val="13"/>
                <w:szCs w:val="13"/>
                <w:color w:val="auto"/>
              </w:rPr>
            </w:pPr>
          </w:p>
        </w:tc>
      </w:tr>
      <w:tr>
        <w:trPr>
          <w:trHeight w:val="209"/>
        </w:trPr>
        <w:tc>
          <w:tcPr>
            <w:tcW w:w="340" w:type="dxa"/>
            <w:vAlign w:val="bottom"/>
            <w:gridSpan w:val="3"/>
          </w:tcPr>
          <w:p>
            <w:pPr>
              <w:ind w:left="20"/>
              <w:spacing w:after="0"/>
              <w:rPr>
                <w:rFonts w:ascii="Arial" w:cs="Arial" w:eastAsia="Arial" w:hAnsi="Arial"/>
                <w:sz w:val="18"/>
                <w:szCs w:val="18"/>
                <w:color w:val="0000FF"/>
              </w:rPr>
            </w:pPr>
            <w:hyperlink r:id="rId13">
              <w:r>
                <w:rPr>
                  <w:rFonts w:ascii="Arial" w:cs="Arial" w:eastAsia="Arial" w:hAnsi="Arial"/>
                  <w:sz w:val="18"/>
                  <w:szCs w:val="18"/>
                  <w:color w:val="0000FF"/>
                </w:rPr>
                <w:t>4.</w:t>
              </w:r>
              <w:r>
                <w:rPr>
                  <w:rFonts w:ascii="Arial" w:cs="Arial" w:eastAsia="Arial" w:hAnsi="Arial"/>
                  <w:sz w:val="18"/>
                  <w:szCs w:val="18"/>
                  <w:u w:val="single" w:color="auto"/>
                  <w:color w:val="0000FF"/>
                </w:rPr>
                <w:t>2</w:t>
              </w:r>
            </w:hyperlink>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860" w:type="dxa"/>
            <w:vAlign w:val="bottom"/>
            <w:gridSpan w:val="10"/>
          </w:tcPr>
          <w:p>
            <w:pPr>
              <w:spacing w:after="0"/>
              <w:rPr>
                <w:rFonts w:ascii="Arial" w:cs="Arial" w:eastAsia="Arial" w:hAnsi="Arial"/>
                <w:sz w:val="18"/>
                <w:szCs w:val="18"/>
                <w:color w:val="0000FF"/>
                <w:w w:val="94"/>
              </w:rPr>
            </w:pPr>
            <w:hyperlink r:id="rId13">
              <w:r>
                <w:rPr>
                  <w:rFonts w:ascii="Arial" w:cs="Arial" w:eastAsia="Arial" w:hAnsi="Arial"/>
                  <w:sz w:val="18"/>
                  <w:szCs w:val="18"/>
                  <w:color w:val="0000FF"/>
                  <w:w w:val="94"/>
                </w:rPr>
                <w:t>Amended and Restated By-laws of the Registrant (incorporated by reference to Exhibit 3.2 to the Registrant’s Current</w:t>
              </w:r>
            </w:hyperlink>
          </w:p>
        </w:tc>
      </w:tr>
      <w:tr>
        <w:trPr>
          <w:trHeight w:val="156"/>
        </w:trPr>
        <w:tc>
          <w:tcPr>
            <w:tcW w:w="20" w:type="dxa"/>
            <w:vAlign w:val="bottom"/>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76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91"/>
              </w:rPr>
            </w:pPr>
            <w:hyperlink r:id="rId13">
              <w:r>
                <w:rPr>
                  <w:rFonts w:ascii="Arial" w:cs="Arial" w:eastAsia="Arial" w:hAnsi="Arial"/>
                  <w:sz w:val="18"/>
                  <w:szCs w:val="18"/>
                  <w:color w:val="0000FF"/>
                  <w:w w:val="91"/>
                </w:rPr>
                <w:t>Report on Form 8-K (File No. 001-37798) filed on June 29, 2016)</w:t>
              </w:r>
            </w:hyperlink>
          </w:p>
        </w:tc>
        <w:tc>
          <w:tcPr>
            <w:tcW w:w="3720" w:type="dxa"/>
            <w:vAlign w:val="bottom"/>
            <w:tcBorders>
              <w:top w:val="single" w:sz="8" w:color="0000FF"/>
            </w:tcBorders>
            <w:gridSpan w:val="5"/>
          </w:tcPr>
          <w:p>
            <w:pPr>
              <w:spacing w:after="0"/>
              <w:rPr>
                <w:sz w:val="13"/>
                <w:szCs w:val="13"/>
                <w:color w:val="auto"/>
              </w:rPr>
            </w:pPr>
          </w:p>
        </w:tc>
        <w:tc>
          <w:tcPr>
            <w:tcW w:w="360" w:type="dxa"/>
            <w:vAlign w:val="bottom"/>
            <w:gridSpan w:val="2"/>
          </w:tcPr>
          <w:p>
            <w:pPr>
              <w:spacing w:after="0"/>
              <w:rPr>
                <w:sz w:val="13"/>
                <w:szCs w:val="13"/>
                <w:color w:val="auto"/>
              </w:rPr>
            </w:pPr>
          </w:p>
        </w:tc>
      </w:tr>
      <w:tr>
        <w:trPr>
          <w:trHeight w:val="209"/>
        </w:trPr>
        <w:tc>
          <w:tcPr>
            <w:tcW w:w="360" w:type="dxa"/>
            <w:vAlign w:val="bottom"/>
            <w:gridSpan w:val="4"/>
          </w:tcPr>
          <w:p>
            <w:pPr>
              <w:ind w:left="20"/>
              <w:spacing w:after="0"/>
              <w:rPr>
                <w:rFonts w:ascii="Arial" w:cs="Arial" w:eastAsia="Arial" w:hAnsi="Arial"/>
                <w:sz w:val="18"/>
                <w:szCs w:val="18"/>
                <w:color w:val="0000FF"/>
                <w:w w:val="89"/>
              </w:rPr>
            </w:pPr>
            <w:hyperlink w:anchor="page8">
              <w:r>
                <w:rPr>
                  <w:rFonts w:ascii="Arial" w:cs="Arial" w:eastAsia="Arial" w:hAnsi="Arial"/>
                  <w:sz w:val="18"/>
                  <w:szCs w:val="18"/>
                  <w:color w:val="0000FF"/>
                  <w:w w:val="89"/>
                </w:rPr>
                <w:t>5.</w:t>
              </w:r>
              <w:r>
                <w:rPr>
                  <w:rFonts w:ascii="Arial" w:cs="Arial" w:eastAsia="Arial" w:hAnsi="Arial"/>
                  <w:sz w:val="18"/>
                  <w:szCs w:val="18"/>
                  <w:u w:val="single" w:color="auto"/>
                  <w:color w:val="0000FF"/>
                  <w:w w:val="89"/>
                </w:rPr>
                <w:t>1+</w:t>
              </w:r>
            </w:hyperlink>
          </w:p>
        </w:tc>
        <w:tc>
          <w:tcPr>
            <w:tcW w:w="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860" w:type="dxa"/>
            <w:vAlign w:val="bottom"/>
            <w:gridSpan w:val="10"/>
          </w:tcPr>
          <w:p>
            <w:pPr>
              <w:spacing w:after="0"/>
              <w:rPr>
                <w:rFonts w:ascii="Arial" w:cs="Arial" w:eastAsia="Arial" w:hAnsi="Arial"/>
                <w:sz w:val="18"/>
                <w:szCs w:val="18"/>
                <w:color w:val="0000FF"/>
              </w:rPr>
            </w:pPr>
            <w:hyperlink w:anchor="page8">
              <w:r>
                <w:rPr>
                  <w:rFonts w:ascii="Arial" w:cs="Arial" w:eastAsia="Arial" w:hAnsi="Arial"/>
                  <w:sz w:val="18"/>
                  <w:szCs w:val="18"/>
                  <w:color w:val="0000FF"/>
                </w:rPr>
                <w:t>Opinion of Covington &amp; Burling LLP, counsel to the Registrant</w:t>
              </w:r>
            </w:hyperlink>
          </w:p>
        </w:tc>
      </w:tr>
      <w:tr>
        <w:trPr>
          <w:trHeight w:val="20"/>
        </w:trPr>
        <w:tc>
          <w:tcPr>
            <w:tcW w:w="340" w:type="dxa"/>
            <w:vAlign w:val="bottom"/>
            <w:gridSpan w:val="3"/>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540" w:type="dxa"/>
            <w:vAlign w:val="bottom"/>
            <w:shd w:val="clear" w:color="auto" w:fill="0000FF"/>
          </w:tcPr>
          <w:p>
            <w:pPr>
              <w:spacing w:after="0" w:line="20" w:lineRule="exact"/>
              <w:rPr>
                <w:sz w:val="1"/>
                <w:szCs w:val="1"/>
                <w:color w:val="auto"/>
              </w:rPr>
            </w:pPr>
          </w:p>
        </w:tc>
        <w:tc>
          <w:tcPr>
            <w:tcW w:w="1280" w:type="dxa"/>
            <w:vAlign w:val="bottom"/>
            <w:tcBorders>
              <w:left w:val="single" w:sz="8" w:color="0000FF"/>
            </w:tcBorders>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420" w:type="dxa"/>
            <w:vAlign w:val="bottom"/>
            <w:gridSpan w:val="4"/>
          </w:tcPr>
          <w:p>
            <w:pPr>
              <w:spacing w:after="0"/>
              <w:rPr>
                <w:rFonts w:ascii="Arial" w:cs="Arial" w:eastAsia="Arial" w:hAnsi="Arial"/>
                <w:sz w:val="18"/>
                <w:szCs w:val="18"/>
                <w:color w:val="0000FF"/>
                <w:w w:val="83"/>
              </w:rPr>
            </w:pPr>
            <w:hyperlink w:anchor="page9">
              <w:r>
                <w:rPr>
                  <w:rFonts w:ascii="Arial" w:cs="Arial" w:eastAsia="Arial" w:hAnsi="Arial"/>
                  <w:sz w:val="18"/>
                  <w:szCs w:val="18"/>
                  <w:color w:val="0000FF"/>
                  <w:w w:val="83"/>
                </w:rPr>
                <w:t>23.</w:t>
              </w:r>
              <w:r>
                <w:rPr>
                  <w:rFonts w:ascii="Arial" w:cs="Arial" w:eastAsia="Arial" w:hAnsi="Arial"/>
                  <w:sz w:val="18"/>
                  <w:szCs w:val="18"/>
                  <w:u w:val="single" w:color="auto"/>
                  <w:color w:val="0000FF"/>
                  <w:w w:val="83"/>
                </w:rPr>
                <w:t>1+</w:t>
              </w:r>
            </w:hyperlink>
          </w:p>
        </w:tc>
        <w:tc>
          <w:tcPr>
            <w:tcW w:w="14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860" w:type="dxa"/>
            <w:vAlign w:val="bottom"/>
            <w:gridSpan w:val="10"/>
          </w:tcPr>
          <w:p>
            <w:pPr>
              <w:spacing w:after="0"/>
              <w:rPr>
                <w:rFonts w:ascii="Arial" w:cs="Arial" w:eastAsia="Arial" w:hAnsi="Arial"/>
                <w:sz w:val="18"/>
                <w:szCs w:val="18"/>
                <w:color w:val="0000FF"/>
              </w:rPr>
            </w:pPr>
            <w:hyperlink w:anchor="page9">
              <w:r>
                <w:rPr>
                  <w:rFonts w:ascii="Arial" w:cs="Arial" w:eastAsia="Arial" w:hAnsi="Arial"/>
                  <w:sz w:val="18"/>
                  <w:szCs w:val="18"/>
                  <w:color w:val="0000FF"/>
                </w:rPr>
                <w:t>Consent of Ernst &amp; Young LLP, Independent Registered Public Accounting Firm</w:t>
              </w:r>
            </w:hyperlink>
          </w:p>
        </w:tc>
      </w:tr>
      <w:tr>
        <w:trPr>
          <w:trHeight w:val="20"/>
        </w:trPr>
        <w:tc>
          <w:tcPr>
            <w:tcW w:w="20" w:type="dxa"/>
            <w:vAlign w:val="bottom"/>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540" w:type="dxa"/>
            <w:vAlign w:val="bottom"/>
            <w:shd w:val="clear" w:color="auto" w:fill="0000FF"/>
          </w:tcPr>
          <w:p>
            <w:pPr>
              <w:spacing w:after="0" w:line="20" w:lineRule="exact"/>
              <w:rPr>
                <w:sz w:val="1"/>
                <w:szCs w:val="1"/>
                <w:color w:val="auto"/>
              </w:rPr>
            </w:pPr>
          </w:p>
        </w:tc>
        <w:tc>
          <w:tcPr>
            <w:tcW w:w="1280" w:type="dxa"/>
            <w:vAlign w:val="bottom"/>
            <w:tcBorders>
              <w:left w:val="single" w:sz="8" w:color="0000FF"/>
            </w:tcBorders>
            <w:gridSpan w:val="3"/>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420" w:type="dxa"/>
            <w:vAlign w:val="bottom"/>
            <w:gridSpan w:val="4"/>
          </w:tcPr>
          <w:p>
            <w:pPr>
              <w:spacing w:after="0"/>
              <w:rPr>
                <w:rFonts w:ascii="Arial" w:cs="Arial" w:eastAsia="Arial" w:hAnsi="Arial"/>
                <w:sz w:val="18"/>
                <w:szCs w:val="18"/>
                <w:color w:val="0000FF"/>
                <w:w w:val="75"/>
              </w:rPr>
            </w:pPr>
            <w:hyperlink w:anchor="page8">
              <w:r>
                <w:rPr>
                  <w:rFonts w:ascii="Arial" w:cs="Arial" w:eastAsia="Arial" w:hAnsi="Arial"/>
                  <w:sz w:val="18"/>
                  <w:szCs w:val="18"/>
                  <w:color w:val="0000FF"/>
                  <w:w w:val="75"/>
                </w:rPr>
                <w:t>23.</w:t>
              </w:r>
              <w:r>
                <w:rPr>
                  <w:rFonts w:ascii="Arial" w:cs="Arial" w:eastAsia="Arial" w:hAnsi="Arial"/>
                  <w:sz w:val="18"/>
                  <w:szCs w:val="18"/>
                  <w:u w:val="single" w:color="auto"/>
                  <w:color w:val="0000FF"/>
                  <w:w w:val="75"/>
                </w:rPr>
                <w:t>2</w:t>
              </w:r>
              <w:r>
                <w:rPr>
                  <w:rFonts w:ascii="Arial" w:cs="Arial" w:eastAsia="Arial" w:hAnsi="Arial"/>
                  <w:sz w:val="18"/>
                  <w:szCs w:val="18"/>
                  <w:color w:val="0000FF"/>
                  <w:w w:val="75"/>
                </w:rPr>
                <w:t xml:space="preserve"> +</w:t>
              </w:r>
            </w:hyperlink>
          </w:p>
        </w:tc>
        <w:tc>
          <w:tcPr>
            <w:tcW w:w="14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860" w:type="dxa"/>
            <w:vAlign w:val="bottom"/>
            <w:gridSpan w:val="10"/>
          </w:tcPr>
          <w:p>
            <w:pPr>
              <w:spacing w:after="0"/>
              <w:rPr>
                <w:rFonts w:ascii="Arial" w:cs="Arial" w:eastAsia="Arial" w:hAnsi="Arial"/>
                <w:sz w:val="18"/>
                <w:szCs w:val="18"/>
                <w:color w:val="0000FF"/>
              </w:rPr>
            </w:pPr>
            <w:hyperlink w:anchor="page8">
              <w:r>
                <w:rPr>
                  <w:rFonts w:ascii="Arial" w:cs="Arial" w:eastAsia="Arial" w:hAnsi="Arial"/>
                  <w:sz w:val="18"/>
                  <w:szCs w:val="18"/>
                  <w:color w:val="0000FF"/>
                </w:rPr>
                <w:t>Consent of Covington &amp; Burling LLP (included in Exhibit 5.1)</w:t>
              </w:r>
            </w:hyperlink>
          </w:p>
        </w:tc>
      </w:tr>
      <w:tr>
        <w:trPr>
          <w:trHeight w:val="20"/>
        </w:trPr>
        <w:tc>
          <w:tcPr>
            <w:tcW w:w="20" w:type="dxa"/>
            <w:vAlign w:val="bottom"/>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1400" w:type="dxa"/>
            <w:vAlign w:val="bottom"/>
            <w:tcBorders>
              <w:left w:val="single" w:sz="8" w:color="0000FF"/>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540" w:type="dxa"/>
            <w:vAlign w:val="bottom"/>
            <w:shd w:val="clear" w:color="auto" w:fill="0000FF"/>
          </w:tcPr>
          <w:p>
            <w:pPr>
              <w:spacing w:after="0" w:line="20" w:lineRule="exact"/>
              <w:rPr>
                <w:sz w:val="1"/>
                <w:szCs w:val="1"/>
                <w:color w:val="auto"/>
              </w:rPr>
            </w:pPr>
          </w:p>
        </w:tc>
        <w:tc>
          <w:tcPr>
            <w:tcW w:w="1460" w:type="dxa"/>
            <w:vAlign w:val="bottom"/>
            <w:gridSpan w:val="4"/>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r>
      <w:tr>
        <w:trPr>
          <w:trHeight w:val="249"/>
        </w:trPr>
        <w:tc>
          <w:tcPr>
            <w:tcW w:w="20" w:type="dxa"/>
            <w:vAlign w:val="bottom"/>
          </w:tcPr>
          <w:p>
            <w:pPr>
              <w:spacing w:after="0"/>
              <w:rPr>
                <w:sz w:val="21"/>
                <w:szCs w:val="21"/>
                <w:color w:val="auto"/>
              </w:rPr>
            </w:pPr>
          </w:p>
        </w:tc>
        <w:tc>
          <w:tcPr>
            <w:tcW w:w="420" w:type="dxa"/>
            <w:vAlign w:val="bottom"/>
            <w:gridSpan w:val="4"/>
          </w:tcPr>
          <w:p>
            <w:pPr>
              <w:spacing w:after="0"/>
              <w:rPr>
                <w:sz w:val="20"/>
                <w:szCs w:val="20"/>
                <w:color w:val="auto"/>
              </w:rPr>
            </w:pPr>
            <w:r>
              <w:rPr>
                <w:rFonts w:ascii="Arial" w:cs="Arial" w:eastAsia="Arial" w:hAnsi="Arial"/>
                <w:sz w:val="18"/>
                <w:szCs w:val="18"/>
                <w:color w:val="auto"/>
                <w:w w:val="83"/>
              </w:rPr>
              <w:t>24.1+</w:t>
            </w:r>
          </w:p>
        </w:tc>
        <w:tc>
          <w:tcPr>
            <w:tcW w:w="14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860" w:type="dxa"/>
            <w:vAlign w:val="bottom"/>
            <w:gridSpan w:val="10"/>
          </w:tcPr>
          <w:p>
            <w:pPr>
              <w:spacing w:after="0"/>
              <w:rPr>
                <w:sz w:val="20"/>
                <w:szCs w:val="20"/>
                <w:color w:val="auto"/>
              </w:rPr>
            </w:pPr>
            <w:r>
              <w:rPr>
                <w:rFonts w:ascii="Arial" w:cs="Arial" w:eastAsia="Arial" w:hAnsi="Arial"/>
                <w:sz w:val="18"/>
                <w:szCs w:val="18"/>
                <w:color w:val="auto"/>
              </w:rPr>
              <w:t>Power of attorney (included on signature pages below)</w:t>
            </w:r>
          </w:p>
        </w:tc>
      </w:tr>
      <w:tr>
        <w:trPr>
          <w:trHeight w:val="190"/>
        </w:trPr>
        <w:tc>
          <w:tcPr>
            <w:tcW w:w="360" w:type="dxa"/>
            <w:vAlign w:val="bottom"/>
            <w:gridSpan w:val="4"/>
          </w:tcPr>
          <w:p>
            <w:pPr>
              <w:ind w:left="20"/>
              <w:spacing w:after="0" w:line="190" w:lineRule="exact"/>
              <w:rPr>
                <w:rFonts w:ascii="Arial" w:cs="Arial" w:eastAsia="Arial" w:hAnsi="Arial"/>
                <w:sz w:val="18"/>
                <w:szCs w:val="18"/>
                <w:color w:val="0000FF"/>
                <w:w w:val="91"/>
              </w:rPr>
            </w:pPr>
            <w:hyperlink r:id="rId14">
              <w:r>
                <w:rPr>
                  <w:rFonts w:ascii="Arial" w:cs="Arial" w:eastAsia="Arial" w:hAnsi="Arial"/>
                  <w:sz w:val="18"/>
                  <w:szCs w:val="18"/>
                  <w:color w:val="0000FF"/>
                  <w:w w:val="91"/>
                </w:rPr>
                <w:t>99.</w:t>
              </w:r>
              <w:r>
                <w:rPr>
                  <w:rFonts w:ascii="Arial" w:cs="Arial" w:eastAsia="Arial" w:hAnsi="Arial"/>
                  <w:sz w:val="18"/>
                  <w:szCs w:val="18"/>
                  <w:u w:val="single" w:color="auto"/>
                  <w:color w:val="0000FF"/>
                  <w:w w:val="91"/>
                </w:rPr>
                <w:t>1</w:t>
              </w:r>
            </w:hyperlink>
          </w:p>
        </w:tc>
        <w:tc>
          <w:tcPr>
            <w:tcW w:w="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860" w:type="dxa"/>
            <w:vAlign w:val="bottom"/>
            <w:gridSpan w:val="10"/>
          </w:tcPr>
          <w:p>
            <w:pPr>
              <w:spacing w:after="0" w:line="190" w:lineRule="exact"/>
              <w:rPr>
                <w:rFonts w:ascii="Arial" w:cs="Arial" w:eastAsia="Arial" w:hAnsi="Arial"/>
                <w:sz w:val="18"/>
                <w:szCs w:val="18"/>
                <w:color w:val="0000FF"/>
                <w:w w:val="97"/>
              </w:rPr>
            </w:pPr>
            <w:hyperlink r:id="rId14">
              <w:r>
                <w:rPr>
                  <w:rFonts w:ascii="Arial" w:cs="Arial" w:eastAsia="Arial" w:hAnsi="Arial"/>
                  <w:sz w:val="18"/>
                  <w:szCs w:val="18"/>
                  <w:color w:val="0000FF"/>
                  <w:w w:val="97"/>
                </w:rPr>
                <w:t>Selecta Biosciences, Inc. 2016 Incentive Award Plan (incorporated by reference to Exhibit 10.2 to the Registrant’s</w:t>
              </w:r>
            </w:hyperlink>
          </w:p>
        </w:tc>
      </w:tr>
      <w:tr>
        <w:trPr>
          <w:trHeight w:val="155"/>
        </w:trPr>
        <w:tc>
          <w:tcPr>
            <w:tcW w:w="20" w:type="dxa"/>
            <w:vAlign w:val="bottom"/>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0" w:type="dxa"/>
            <w:vAlign w:val="bottom"/>
            <w:tcBorders>
              <w:top w:val="single" w:sz="8" w:color="0000FF"/>
            </w:tcBorders>
            <w:gridSpan w:val="6"/>
          </w:tcPr>
          <w:p>
            <w:pPr>
              <w:spacing w:after="0" w:line="156" w:lineRule="exact"/>
              <w:rPr>
                <w:rFonts w:ascii="Arial" w:cs="Arial" w:eastAsia="Arial" w:hAnsi="Arial"/>
                <w:sz w:val="18"/>
                <w:szCs w:val="18"/>
                <w:color w:val="0000FF"/>
              </w:rPr>
            </w:pPr>
            <w:hyperlink r:id="rId14">
              <w:r>
                <w:rPr>
                  <w:rFonts w:ascii="Arial" w:cs="Arial" w:eastAsia="Arial" w:hAnsi="Arial"/>
                  <w:sz w:val="18"/>
                  <w:szCs w:val="18"/>
                  <w:color w:val="0000FF"/>
                </w:rPr>
                <w:t>Registration Statement on Form S-1 (Reg. No. 333-2111555) filed on June 8, 2016)</w:t>
              </w:r>
            </w:hyperlink>
          </w:p>
        </w:tc>
        <w:tc>
          <w:tcPr>
            <w:tcW w:w="640" w:type="dxa"/>
            <w:vAlign w:val="bottom"/>
            <w:gridSpan w:val="3"/>
          </w:tcPr>
          <w:p>
            <w:pPr>
              <w:spacing w:after="0"/>
              <w:rPr>
                <w:sz w:val="13"/>
                <w:szCs w:val="13"/>
                <w:color w:val="auto"/>
              </w:rPr>
            </w:pPr>
          </w:p>
        </w:tc>
      </w:tr>
      <w:tr>
        <w:trPr>
          <w:trHeight w:val="20"/>
        </w:trPr>
        <w:tc>
          <w:tcPr>
            <w:tcW w:w="36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20" w:type="dxa"/>
            <w:vAlign w:val="bottom"/>
            <w:gridSpan w:val="6"/>
            <w:shd w:val="clear" w:color="auto" w:fill="0000FF"/>
          </w:tcPr>
          <w:p>
            <w:pPr>
              <w:spacing w:after="0" w:line="20" w:lineRule="exact"/>
              <w:rPr>
                <w:sz w:val="1"/>
                <w:szCs w:val="1"/>
                <w:color w:val="auto"/>
              </w:rPr>
            </w:pPr>
          </w:p>
        </w:tc>
        <w:tc>
          <w:tcPr>
            <w:tcW w:w="2840" w:type="dxa"/>
            <w:vAlign w:val="bottom"/>
            <w:gridSpan w:val="4"/>
          </w:tcPr>
          <w:p>
            <w:pPr>
              <w:spacing w:after="0" w:line="20" w:lineRule="exact"/>
              <w:rPr>
                <w:sz w:val="1"/>
                <w:szCs w:val="1"/>
                <w:color w:val="auto"/>
              </w:rPr>
            </w:pPr>
          </w:p>
        </w:tc>
      </w:tr>
      <w:tr>
        <w:trPr>
          <w:trHeight w:val="211"/>
        </w:trPr>
        <w:tc>
          <w:tcPr>
            <w:tcW w:w="360" w:type="dxa"/>
            <w:vAlign w:val="bottom"/>
            <w:gridSpan w:val="4"/>
          </w:tcPr>
          <w:p>
            <w:pPr>
              <w:ind w:left="20"/>
              <w:spacing w:after="0"/>
              <w:rPr>
                <w:rFonts w:ascii="Arial" w:cs="Arial" w:eastAsia="Arial" w:hAnsi="Arial"/>
                <w:sz w:val="18"/>
                <w:szCs w:val="18"/>
                <w:u w:val="single" w:color="auto"/>
                <w:color w:val="0000FF"/>
                <w:w w:val="91"/>
              </w:rPr>
            </w:pPr>
            <w:hyperlink r:id="rId14">
              <w:r>
                <w:rPr>
                  <w:rFonts w:ascii="Arial" w:cs="Arial" w:eastAsia="Arial" w:hAnsi="Arial"/>
                  <w:sz w:val="18"/>
                  <w:szCs w:val="18"/>
                  <w:u w:val="single" w:color="auto"/>
                  <w:color w:val="0000FF"/>
                  <w:w w:val="91"/>
                </w:rPr>
                <w:t>99.2</w:t>
              </w:r>
            </w:hyperlink>
          </w:p>
        </w:tc>
        <w:tc>
          <w:tcPr>
            <w:tcW w:w="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860" w:type="dxa"/>
            <w:vAlign w:val="bottom"/>
            <w:gridSpan w:val="10"/>
          </w:tcPr>
          <w:p>
            <w:pPr>
              <w:spacing w:after="0"/>
              <w:rPr>
                <w:rFonts w:ascii="Arial" w:cs="Arial" w:eastAsia="Arial" w:hAnsi="Arial"/>
                <w:sz w:val="18"/>
                <w:szCs w:val="18"/>
                <w:u w:val="single" w:color="auto"/>
                <w:color w:val="0000FF"/>
                <w:w w:val="99"/>
              </w:rPr>
            </w:pPr>
            <w:hyperlink r:id="rId14">
              <w:r>
                <w:rPr>
                  <w:rFonts w:ascii="Arial" w:cs="Arial" w:eastAsia="Arial" w:hAnsi="Arial"/>
                  <w:sz w:val="18"/>
                  <w:szCs w:val="18"/>
                  <w:u w:val="single" w:color="auto"/>
                  <w:color w:val="0000FF"/>
                  <w:w w:val="99"/>
                </w:rPr>
                <w:t>Selecta Biosciences, Inc. 2016 Employee Stock Purchase Plan (incorporated by reference to Exhibit 10.3 to the</w:t>
              </w:r>
            </w:hyperlink>
          </w:p>
        </w:tc>
      </w:tr>
    </w:tbl>
    <w:p>
      <w:pPr>
        <w:ind w:left="2380"/>
        <w:spacing w:after="0"/>
        <w:rPr>
          <w:rFonts w:ascii="Arial" w:cs="Arial" w:eastAsia="Arial" w:hAnsi="Arial"/>
          <w:sz w:val="18"/>
          <w:szCs w:val="18"/>
          <w:u w:val="single" w:color="auto"/>
          <w:color w:val="0000FF"/>
        </w:rPr>
      </w:pPr>
      <w:hyperlink r:id="rId14">
        <w:r>
          <w:rPr>
            <w:rFonts w:ascii="Arial" w:cs="Arial" w:eastAsia="Arial" w:hAnsi="Arial"/>
            <w:sz w:val="18"/>
            <w:szCs w:val="18"/>
            <w:u w:val="single" w:color="auto"/>
            <w:color w:val="0000FF"/>
          </w:rPr>
          <w:t>Registrant’s Registration Statement on Form S-1 (Reg. No. 333-211555) filed on June 8, 2016)</w:t>
        </w:r>
      </w:hyperlink>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904" w:right="339" w:bottom="1440" w:gutter="0" w:footer="0" w:header="0"/>
        </w:sectPr>
      </w:pPr>
    </w:p>
    <w:bookmarkStart w:id="5" w:name="page6"/>
    <w:bookmarkEnd w:id="5"/>
    <w:p>
      <w:pPr>
        <w:jc w:val="center"/>
        <w:ind w:right="-7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Pursuant to the requirements of the Securities Act, the Registrant certifies that it has reasonable grounds to believe that it meets all of the requirements for filing on Form S-8 and has duly caused this Registration Statement to be signed on its behalf by the undersigned, thereunto duly authorized, in the City of Watertown, Commonwealth of Massachusetts, on this 13th day of May, 2021.</w:t>
      </w:r>
    </w:p>
    <w:p>
      <w:pPr>
        <w:spacing w:after="0" w:line="369" w:lineRule="exact"/>
        <w:rPr>
          <w:sz w:val="20"/>
          <w:szCs w:val="20"/>
          <w:color w:val="auto"/>
        </w:rPr>
      </w:pPr>
    </w:p>
    <w:p>
      <w:pPr>
        <w:ind w:left="6460"/>
        <w:spacing w:after="0"/>
        <w:rPr>
          <w:sz w:val="20"/>
          <w:szCs w:val="20"/>
          <w:color w:val="auto"/>
        </w:rPr>
      </w:pPr>
      <w:r>
        <w:rPr>
          <w:rFonts w:ascii="Arial" w:cs="Arial" w:eastAsia="Arial" w:hAnsi="Arial"/>
          <w:sz w:val="18"/>
          <w:szCs w:val="18"/>
          <w:b w:val="1"/>
          <w:bCs w:val="1"/>
          <w:color w:val="auto"/>
        </w:rPr>
        <w:t>SELECTA BIOSCIENCES, INC.</w:t>
      </w:r>
    </w:p>
    <w:p>
      <w:pPr>
        <w:spacing w:after="0" w:line="297" w:lineRule="exact"/>
        <w:rPr>
          <w:sz w:val="20"/>
          <w:szCs w:val="20"/>
          <w:color w:val="auto"/>
        </w:rPr>
      </w:pPr>
    </w:p>
    <w:p>
      <w:pPr>
        <w:ind w:left="6460"/>
        <w:spacing w:after="0"/>
        <w:tabs>
          <w:tab w:leader="none" w:pos="6940" w:val="left"/>
        </w:tabs>
        <w:rPr>
          <w:sz w:val="20"/>
          <w:szCs w:val="20"/>
          <w:color w:val="auto"/>
        </w:rPr>
      </w:pPr>
      <w:r>
        <w:rPr>
          <w:rFonts w:ascii="Arial" w:cs="Arial" w:eastAsia="Arial" w:hAnsi="Arial"/>
          <w:sz w:val="18"/>
          <w:szCs w:val="18"/>
          <w:color w:val="auto"/>
        </w:rPr>
        <w:t>By:</w:t>
        <w:tab/>
        <w:t>/s/ Carsten Brunn,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4411345</wp:posOffset>
            </wp:positionH>
            <wp:positionV relativeFrom="paragraph">
              <wp:posOffset>14605</wp:posOffset>
            </wp:positionV>
            <wp:extent cx="27260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726055" cy="8890"/>
                    </a:xfrm>
                    <a:prstGeom prst="rect">
                      <a:avLst/>
                    </a:prstGeom>
                    <a:noFill/>
                  </pic:spPr>
                </pic:pic>
              </a:graphicData>
            </a:graphic>
          </wp:anchor>
        </w:drawing>
      </w:r>
    </w:p>
    <w:p>
      <w:pPr>
        <w:spacing w:after="0" w:line="16"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Carsten Brunn, Ph.D.</w:t>
      </w:r>
    </w:p>
    <w:p>
      <w:pPr>
        <w:spacing w:after="0" w:line="23"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President and Chief Executive Officer, and Director</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160"/>
          </w:cols>
          <w:pgMar w:left="320" w:top="769" w:right="419" w:bottom="1440" w:gutter="0" w:footer="0" w:header="0"/>
        </w:sectPr>
      </w:pPr>
    </w:p>
    <w:bookmarkStart w:id="6" w:name="page7"/>
    <w:bookmarkEnd w:id="6"/>
    <w:p>
      <w:pPr>
        <w:jc w:val="center"/>
        <w:ind w:right="-79"/>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We, the undersigned officers and directors of Selecta Biosciences, Inc. (the “Company”), hereby severally constitute and appoint the Chief Executive Officer of the Company, who is currently Carsten Brunn, Ph.D., and the Chief Financial Officer of the Company, who is currently Bradford D. Dahms, and each of them singly (with full power to each of them to act alone), our true and lawful attorneys-in-fact and agents, with full power of substitution and resubstitution in each of them for him and in his name, place and stead, and in any and all capacities, to sign any and all amendments (including post-effective amendments) to this Registration Statement, and to file the same, with all exhibits thereto and other documents in connection therewith, with the Commission, granting unto said attorneys-in-fact and agents, and each of them, full power and authority to do and perform each and every act and thing requisite or necessary to be done in and about the premises, as full to all intents and purposes as he might or could do in person, hereby ratifying and confirming all that said attorneys-in-fact and agents or any of them, or their or his substitute or substitutes, may lawfully do or cause to be done by virtue hereof.</w:t>
      </w:r>
    </w:p>
    <w:p>
      <w:pPr>
        <w:spacing w:after="0" w:line="196"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Pursuant to the requirements of the Securities Act, this Registration Statement has been signed by the following persons in the capacities and on the dates indicated.</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640" w:type="dxa"/>
            <w:vAlign w:val="bottom"/>
          </w:tcPr>
          <w:p>
            <w:pPr>
              <w:spacing w:after="0"/>
              <w:rPr>
                <w:sz w:val="17"/>
                <w:szCs w:val="17"/>
                <w:color w:val="auto"/>
              </w:rPr>
            </w:pPr>
          </w:p>
        </w:tc>
        <w:tc>
          <w:tcPr>
            <w:tcW w:w="740" w:type="dxa"/>
            <w:vAlign w:val="bottom"/>
          </w:tcPr>
          <w:p>
            <w:pPr>
              <w:jc w:val="center"/>
              <w:spacing w:after="0"/>
              <w:rPr>
                <w:sz w:val="20"/>
                <w:szCs w:val="20"/>
                <w:color w:val="auto"/>
              </w:rPr>
            </w:pPr>
            <w:r>
              <w:rPr>
                <w:rFonts w:ascii="Arial" w:cs="Arial" w:eastAsia="Arial" w:hAnsi="Arial"/>
                <w:sz w:val="18"/>
                <w:szCs w:val="18"/>
                <w:b w:val="1"/>
                <w:bCs w:val="1"/>
                <w:color w:val="auto"/>
                <w:w w:val="89"/>
              </w:rPr>
              <w:t>Signature</w:t>
            </w:r>
          </w:p>
        </w:tc>
        <w:tc>
          <w:tcPr>
            <w:tcW w:w="1620" w:type="dxa"/>
            <w:vAlign w:val="bottom"/>
          </w:tcPr>
          <w:p>
            <w:pPr>
              <w:spacing w:after="0"/>
              <w:rPr>
                <w:sz w:val="17"/>
                <w:szCs w:val="17"/>
                <w:color w:val="auto"/>
              </w:rPr>
            </w:pPr>
          </w:p>
        </w:tc>
        <w:tc>
          <w:tcPr>
            <w:tcW w:w="5000" w:type="dxa"/>
            <w:vAlign w:val="bottom"/>
            <w:gridSpan w:val="3"/>
          </w:tcPr>
          <w:p>
            <w:pPr>
              <w:jc w:val="center"/>
              <w:spacing w:after="0"/>
              <w:rPr>
                <w:sz w:val="20"/>
                <w:szCs w:val="20"/>
                <w:color w:val="auto"/>
              </w:rPr>
            </w:pPr>
            <w:r>
              <w:rPr>
                <w:rFonts w:ascii="Arial" w:cs="Arial" w:eastAsia="Arial" w:hAnsi="Arial"/>
                <w:sz w:val="18"/>
                <w:szCs w:val="18"/>
                <w:b w:val="1"/>
                <w:bCs w:val="1"/>
                <w:color w:val="auto"/>
                <w:w w:val="91"/>
              </w:rPr>
              <w:t>Title</w:t>
            </w:r>
          </w:p>
        </w:tc>
        <w:tc>
          <w:tcPr>
            <w:tcW w:w="940" w:type="dxa"/>
            <w:vAlign w:val="bottom"/>
          </w:tcPr>
          <w:p>
            <w:pPr>
              <w:spacing w:after="0"/>
              <w:rPr>
                <w:sz w:val="17"/>
                <w:szCs w:val="17"/>
                <w:color w:val="auto"/>
              </w:rPr>
            </w:pPr>
          </w:p>
        </w:tc>
        <w:tc>
          <w:tcPr>
            <w:tcW w:w="6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Date</w:t>
            </w:r>
          </w:p>
        </w:tc>
      </w:tr>
      <w:tr>
        <w:trPr>
          <w:trHeight w:val="20"/>
        </w:trPr>
        <w:tc>
          <w:tcPr>
            <w:tcW w:w="16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520"/>
        </w:trPr>
        <w:tc>
          <w:tcPr>
            <w:tcW w:w="40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0"/>
              </w:rPr>
              <w:t>/s/ Carsten Brunn, Ph.D.</w:t>
            </w:r>
          </w:p>
        </w:tc>
        <w:tc>
          <w:tcPr>
            <w:tcW w:w="5000" w:type="dxa"/>
            <w:vAlign w:val="bottom"/>
            <w:gridSpan w:val="3"/>
          </w:tcPr>
          <w:p>
            <w:pPr>
              <w:jc w:val="center"/>
              <w:spacing w:after="0"/>
              <w:rPr>
                <w:sz w:val="20"/>
                <w:szCs w:val="20"/>
                <w:color w:val="auto"/>
              </w:rPr>
            </w:pPr>
            <w:r>
              <w:rPr>
                <w:rFonts w:ascii="Arial" w:cs="Arial" w:eastAsia="Arial" w:hAnsi="Arial"/>
                <w:sz w:val="18"/>
                <w:szCs w:val="18"/>
                <w:color w:val="auto"/>
                <w:w w:val="91"/>
              </w:rPr>
              <w:t>President and Chief Executive Officer, and Director</w:t>
            </w:r>
          </w:p>
        </w:tc>
        <w:tc>
          <w:tcPr>
            <w:tcW w:w="1620" w:type="dxa"/>
            <w:vAlign w:val="bottom"/>
            <w:gridSpan w:val="3"/>
          </w:tcPr>
          <w:p>
            <w:pPr>
              <w:jc w:val="center"/>
              <w:ind w:left="530"/>
              <w:spacing w:after="0"/>
              <w:rPr>
                <w:sz w:val="20"/>
                <w:szCs w:val="20"/>
                <w:color w:val="auto"/>
              </w:rPr>
            </w:pPr>
            <w:r>
              <w:rPr>
                <w:rFonts w:ascii="Arial" w:cs="Arial" w:eastAsia="Arial" w:hAnsi="Arial"/>
                <w:sz w:val="18"/>
                <w:szCs w:val="18"/>
                <w:color w:val="auto"/>
                <w:w w:val="91"/>
              </w:rPr>
              <w:t>May 13, 2021</w:t>
            </w:r>
          </w:p>
        </w:tc>
      </w:tr>
      <w:tr>
        <w:trPr>
          <w:trHeight w:val="224"/>
        </w:trPr>
        <w:tc>
          <w:tcPr>
            <w:tcW w:w="4000" w:type="dxa"/>
            <w:vAlign w:val="bottom"/>
            <w:gridSpan w:val="3"/>
          </w:tcPr>
          <w:p>
            <w:pPr>
              <w:jc w:val="center"/>
              <w:spacing w:after="0"/>
              <w:rPr>
                <w:sz w:val="20"/>
                <w:szCs w:val="20"/>
                <w:color w:val="auto"/>
              </w:rPr>
            </w:pPr>
            <w:r>
              <w:rPr>
                <w:rFonts w:ascii="Arial" w:cs="Arial" w:eastAsia="Arial" w:hAnsi="Arial"/>
                <w:sz w:val="18"/>
                <w:szCs w:val="18"/>
                <w:color w:val="auto"/>
                <w:w w:val="89"/>
              </w:rPr>
              <w:t>Carsten Brunn, Ph.D.</w:t>
            </w:r>
          </w:p>
        </w:tc>
        <w:tc>
          <w:tcPr>
            <w:tcW w:w="5000" w:type="dxa"/>
            <w:vAlign w:val="bottom"/>
            <w:gridSpan w:val="3"/>
          </w:tcPr>
          <w:p>
            <w:pPr>
              <w:jc w:val="center"/>
              <w:spacing w:after="0"/>
              <w:rPr>
                <w:sz w:val="20"/>
                <w:szCs w:val="20"/>
                <w:color w:val="auto"/>
              </w:rPr>
            </w:pPr>
            <w:r>
              <w:rPr>
                <w:rFonts w:ascii="Arial" w:cs="Arial" w:eastAsia="Arial" w:hAnsi="Arial"/>
                <w:sz w:val="18"/>
                <w:szCs w:val="18"/>
                <w:color w:val="auto"/>
                <w:w w:val="94"/>
              </w:rPr>
              <w:t>(Principal Executive Officer)</w:t>
            </w:r>
          </w:p>
        </w:tc>
        <w:tc>
          <w:tcPr>
            <w:tcW w:w="9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r>
      <w:tr>
        <w:trPr>
          <w:trHeight w:val="499"/>
        </w:trPr>
        <w:tc>
          <w:tcPr>
            <w:tcW w:w="40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2"/>
              </w:rPr>
              <w:t>/s/ Bradford D. Dahms</w:t>
            </w:r>
          </w:p>
        </w:tc>
        <w:tc>
          <w:tcPr>
            <w:tcW w:w="5000" w:type="dxa"/>
            <w:vAlign w:val="bottom"/>
            <w:gridSpan w:val="3"/>
          </w:tcPr>
          <w:p>
            <w:pPr>
              <w:jc w:val="center"/>
              <w:spacing w:after="0"/>
              <w:rPr>
                <w:sz w:val="20"/>
                <w:szCs w:val="20"/>
                <w:color w:val="auto"/>
              </w:rPr>
            </w:pPr>
            <w:r>
              <w:rPr>
                <w:rFonts w:ascii="Arial" w:cs="Arial" w:eastAsia="Arial" w:hAnsi="Arial"/>
                <w:sz w:val="18"/>
                <w:szCs w:val="18"/>
                <w:color w:val="auto"/>
                <w:w w:val="93"/>
              </w:rPr>
              <w:t>Chief Financial Officer</w:t>
            </w:r>
          </w:p>
        </w:tc>
        <w:tc>
          <w:tcPr>
            <w:tcW w:w="1620" w:type="dxa"/>
            <w:vAlign w:val="bottom"/>
            <w:gridSpan w:val="3"/>
          </w:tcPr>
          <w:p>
            <w:pPr>
              <w:jc w:val="center"/>
              <w:ind w:left="530"/>
              <w:spacing w:after="0"/>
              <w:rPr>
                <w:sz w:val="20"/>
                <w:szCs w:val="20"/>
                <w:color w:val="auto"/>
              </w:rPr>
            </w:pPr>
            <w:r>
              <w:rPr>
                <w:rFonts w:ascii="Arial" w:cs="Arial" w:eastAsia="Arial" w:hAnsi="Arial"/>
                <w:sz w:val="18"/>
                <w:szCs w:val="18"/>
                <w:color w:val="auto"/>
                <w:w w:val="91"/>
              </w:rPr>
              <w:t>May 13, 2021</w:t>
            </w:r>
          </w:p>
        </w:tc>
      </w:tr>
      <w:tr>
        <w:trPr>
          <w:trHeight w:val="224"/>
        </w:trPr>
        <w:tc>
          <w:tcPr>
            <w:tcW w:w="4000" w:type="dxa"/>
            <w:vAlign w:val="bottom"/>
            <w:gridSpan w:val="3"/>
          </w:tcPr>
          <w:p>
            <w:pPr>
              <w:jc w:val="center"/>
              <w:spacing w:after="0"/>
              <w:rPr>
                <w:sz w:val="20"/>
                <w:szCs w:val="20"/>
                <w:color w:val="auto"/>
              </w:rPr>
            </w:pPr>
            <w:r>
              <w:rPr>
                <w:rFonts w:ascii="Arial" w:cs="Arial" w:eastAsia="Arial" w:hAnsi="Arial"/>
                <w:sz w:val="18"/>
                <w:szCs w:val="18"/>
                <w:color w:val="auto"/>
                <w:w w:val="92"/>
              </w:rPr>
              <w:t>Bradford D. Dahms</w:t>
            </w:r>
          </w:p>
        </w:tc>
        <w:tc>
          <w:tcPr>
            <w:tcW w:w="5000" w:type="dxa"/>
            <w:vAlign w:val="bottom"/>
            <w:gridSpan w:val="3"/>
          </w:tcPr>
          <w:p>
            <w:pPr>
              <w:jc w:val="center"/>
              <w:spacing w:after="0"/>
              <w:rPr>
                <w:sz w:val="20"/>
                <w:szCs w:val="20"/>
                <w:color w:val="auto"/>
              </w:rPr>
            </w:pPr>
            <w:r>
              <w:rPr>
                <w:rFonts w:ascii="Arial" w:cs="Arial" w:eastAsia="Arial" w:hAnsi="Arial"/>
                <w:sz w:val="18"/>
                <w:szCs w:val="18"/>
                <w:color w:val="auto"/>
                <w:w w:val="93"/>
              </w:rPr>
              <w:t>(Principal Financial and Accounting Officer)</w:t>
            </w:r>
          </w:p>
        </w:tc>
        <w:tc>
          <w:tcPr>
            <w:tcW w:w="9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r>
      <w:tr>
        <w:trPr>
          <w:trHeight w:val="499"/>
        </w:trPr>
        <w:tc>
          <w:tcPr>
            <w:tcW w:w="40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4"/>
              </w:rPr>
              <w:t>/s/ Göran A. Ando, M.D.</w:t>
            </w:r>
          </w:p>
        </w:tc>
        <w:tc>
          <w:tcPr>
            <w:tcW w:w="5000" w:type="dxa"/>
            <w:vAlign w:val="bottom"/>
            <w:gridSpan w:val="3"/>
          </w:tcPr>
          <w:p>
            <w:pPr>
              <w:jc w:val="center"/>
              <w:spacing w:after="0"/>
              <w:rPr>
                <w:sz w:val="20"/>
                <w:szCs w:val="20"/>
                <w:color w:val="auto"/>
              </w:rPr>
            </w:pPr>
            <w:r>
              <w:rPr>
                <w:rFonts w:ascii="Arial" w:cs="Arial" w:eastAsia="Arial" w:hAnsi="Arial"/>
                <w:sz w:val="18"/>
                <w:szCs w:val="18"/>
                <w:color w:val="auto"/>
                <w:w w:val="95"/>
              </w:rPr>
              <w:t>Director</w:t>
            </w:r>
          </w:p>
        </w:tc>
        <w:tc>
          <w:tcPr>
            <w:tcW w:w="1620" w:type="dxa"/>
            <w:vAlign w:val="bottom"/>
            <w:gridSpan w:val="3"/>
          </w:tcPr>
          <w:p>
            <w:pPr>
              <w:jc w:val="center"/>
              <w:ind w:left="530"/>
              <w:spacing w:after="0"/>
              <w:rPr>
                <w:sz w:val="20"/>
                <w:szCs w:val="20"/>
                <w:color w:val="auto"/>
              </w:rPr>
            </w:pPr>
            <w:r>
              <w:rPr>
                <w:rFonts w:ascii="Arial" w:cs="Arial" w:eastAsia="Arial" w:hAnsi="Arial"/>
                <w:sz w:val="18"/>
                <w:szCs w:val="18"/>
                <w:color w:val="auto"/>
                <w:w w:val="91"/>
              </w:rPr>
              <w:t>May 13, 2021</w:t>
            </w:r>
          </w:p>
        </w:tc>
      </w:tr>
      <w:tr>
        <w:trPr>
          <w:trHeight w:val="224"/>
        </w:trPr>
        <w:tc>
          <w:tcPr>
            <w:tcW w:w="4000" w:type="dxa"/>
            <w:vAlign w:val="bottom"/>
            <w:gridSpan w:val="3"/>
          </w:tcPr>
          <w:p>
            <w:pPr>
              <w:jc w:val="center"/>
              <w:spacing w:after="0"/>
              <w:rPr>
                <w:sz w:val="20"/>
                <w:szCs w:val="20"/>
                <w:color w:val="auto"/>
              </w:rPr>
            </w:pPr>
            <w:r>
              <w:rPr>
                <w:rFonts w:ascii="Arial" w:cs="Arial" w:eastAsia="Arial" w:hAnsi="Arial"/>
                <w:sz w:val="18"/>
                <w:szCs w:val="18"/>
                <w:color w:val="auto"/>
                <w:w w:val="94"/>
              </w:rPr>
              <w:t>Göran A. Ando, M.D.</w:t>
            </w:r>
          </w:p>
        </w:tc>
        <w:tc>
          <w:tcPr>
            <w:tcW w:w="2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r>
      <w:tr>
        <w:trPr>
          <w:trHeight w:val="499"/>
        </w:trPr>
        <w:tc>
          <w:tcPr>
            <w:tcW w:w="40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1"/>
              </w:rPr>
              <w:t>/s/ Timothy C. Barabe</w:t>
            </w:r>
          </w:p>
        </w:tc>
        <w:tc>
          <w:tcPr>
            <w:tcW w:w="5000" w:type="dxa"/>
            <w:vAlign w:val="bottom"/>
            <w:gridSpan w:val="3"/>
          </w:tcPr>
          <w:p>
            <w:pPr>
              <w:jc w:val="center"/>
              <w:spacing w:after="0"/>
              <w:rPr>
                <w:sz w:val="20"/>
                <w:szCs w:val="20"/>
                <w:color w:val="auto"/>
              </w:rPr>
            </w:pPr>
            <w:r>
              <w:rPr>
                <w:rFonts w:ascii="Arial" w:cs="Arial" w:eastAsia="Arial" w:hAnsi="Arial"/>
                <w:sz w:val="18"/>
                <w:szCs w:val="18"/>
                <w:color w:val="auto"/>
                <w:w w:val="95"/>
              </w:rPr>
              <w:t>Director</w:t>
            </w:r>
          </w:p>
        </w:tc>
        <w:tc>
          <w:tcPr>
            <w:tcW w:w="1620" w:type="dxa"/>
            <w:vAlign w:val="bottom"/>
            <w:gridSpan w:val="3"/>
          </w:tcPr>
          <w:p>
            <w:pPr>
              <w:jc w:val="center"/>
              <w:ind w:left="530"/>
              <w:spacing w:after="0"/>
              <w:rPr>
                <w:sz w:val="20"/>
                <w:szCs w:val="20"/>
                <w:color w:val="auto"/>
              </w:rPr>
            </w:pPr>
            <w:r>
              <w:rPr>
                <w:rFonts w:ascii="Arial" w:cs="Arial" w:eastAsia="Arial" w:hAnsi="Arial"/>
                <w:sz w:val="18"/>
                <w:szCs w:val="18"/>
                <w:color w:val="auto"/>
                <w:w w:val="91"/>
              </w:rPr>
              <w:t>May 13, 2021</w:t>
            </w:r>
          </w:p>
        </w:tc>
      </w:tr>
      <w:tr>
        <w:trPr>
          <w:trHeight w:val="224"/>
        </w:trPr>
        <w:tc>
          <w:tcPr>
            <w:tcW w:w="4000" w:type="dxa"/>
            <w:vAlign w:val="bottom"/>
            <w:gridSpan w:val="3"/>
          </w:tcPr>
          <w:p>
            <w:pPr>
              <w:jc w:val="center"/>
              <w:spacing w:after="0"/>
              <w:rPr>
                <w:sz w:val="20"/>
                <w:szCs w:val="20"/>
                <w:color w:val="auto"/>
              </w:rPr>
            </w:pPr>
            <w:r>
              <w:rPr>
                <w:rFonts w:ascii="Arial" w:cs="Arial" w:eastAsia="Arial" w:hAnsi="Arial"/>
                <w:sz w:val="18"/>
                <w:szCs w:val="18"/>
                <w:color w:val="auto"/>
                <w:w w:val="91"/>
              </w:rPr>
              <w:t>Timothy C. Barabe</w:t>
            </w:r>
          </w:p>
        </w:tc>
        <w:tc>
          <w:tcPr>
            <w:tcW w:w="2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r>
      <w:tr>
        <w:trPr>
          <w:trHeight w:val="499"/>
        </w:trPr>
        <w:tc>
          <w:tcPr>
            <w:tcW w:w="40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0"/>
              </w:rPr>
              <w:t>/s/ Carrie S. Cox</w:t>
            </w:r>
          </w:p>
        </w:tc>
        <w:tc>
          <w:tcPr>
            <w:tcW w:w="5000" w:type="dxa"/>
            <w:vAlign w:val="bottom"/>
            <w:gridSpan w:val="3"/>
          </w:tcPr>
          <w:p>
            <w:pPr>
              <w:jc w:val="center"/>
              <w:spacing w:after="0"/>
              <w:rPr>
                <w:sz w:val="20"/>
                <w:szCs w:val="20"/>
                <w:color w:val="auto"/>
              </w:rPr>
            </w:pPr>
            <w:r>
              <w:rPr>
                <w:rFonts w:ascii="Arial" w:cs="Arial" w:eastAsia="Arial" w:hAnsi="Arial"/>
                <w:sz w:val="18"/>
                <w:szCs w:val="18"/>
                <w:color w:val="auto"/>
                <w:w w:val="91"/>
              </w:rPr>
              <w:t>Chairman of the Board</w:t>
            </w:r>
          </w:p>
        </w:tc>
        <w:tc>
          <w:tcPr>
            <w:tcW w:w="1620" w:type="dxa"/>
            <w:vAlign w:val="bottom"/>
            <w:gridSpan w:val="3"/>
          </w:tcPr>
          <w:p>
            <w:pPr>
              <w:jc w:val="center"/>
              <w:ind w:left="530"/>
              <w:spacing w:after="0"/>
              <w:rPr>
                <w:sz w:val="20"/>
                <w:szCs w:val="20"/>
                <w:color w:val="auto"/>
              </w:rPr>
            </w:pPr>
            <w:r>
              <w:rPr>
                <w:rFonts w:ascii="Arial" w:cs="Arial" w:eastAsia="Arial" w:hAnsi="Arial"/>
                <w:sz w:val="18"/>
                <w:szCs w:val="18"/>
                <w:color w:val="auto"/>
                <w:w w:val="91"/>
              </w:rPr>
              <w:t>May 13, 2021</w:t>
            </w:r>
          </w:p>
        </w:tc>
      </w:tr>
      <w:tr>
        <w:trPr>
          <w:trHeight w:val="224"/>
        </w:trPr>
        <w:tc>
          <w:tcPr>
            <w:tcW w:w="4000" w:type="dxa"/>
            <w:vAlign w:val="bottom"/>
            <w:gridSpan w:val="3"/>
          </w:tcPr>
          <w:p>
            <w:pPr>
              <w:jc w:val="center"/>
              <w:spacing w:after="0"/>
              <w:rPr>
                <w:sz w:val="20"/>
                <w:szCs w:val="20"/>
                <w:color w:val="auto"/>
              </w:rPr>
            </w:pPr>
            <w:r>
              <w:rPr>
                <w:rFonts w:ascii="Arial" w:cs="Arial" w:eastAsia="Arial" w:hAnsi="Arial"/>
                <w:sz w:val="18"/>
                <w:szCs w:val="18"/>
                <w:color w:val="auto"/>
                <w:w w:val="90"/>
              </w:rPr>
              <w:t>Carrie S. Cox</w:t>
            </w:r>
          </w:p>
        </w:tc>
        <w:tc>
          <w:tcPr>
            <w:tcW w:w="2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r>
      <w:tr>
        <w:trPr>
          <w:trHeight w:val="499"/>
        </w:trPr>
        <w:tc>
          <w:tcPr>
            <w:tcW w:w="40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1"/>
              </w:rPr>
              <w:t>/s/ Scott D. Myers</w:t>
            </w:r>
          </w:p>
        </w:tc>
        <w:tc>
          <w:tcPr>
            <w:tcW w:w="5000" w:type="dxa"/>
            <w:vAlign w:val="bottom"/>
            <w:gridSpan w:val="3"/>
          </w:tcPr>
          <w:p>
            <w:pPr>
              <w:jc w:val="center"/>
              <w:spacing w:after="0"/>
              <w:rPr>
                <w:sz w:val="20"/>
                <w:szCs w:val="20"/>
                <w:color w:val="auto"/>
              </w:rPr>
            </w:pPr>
            <w:r>
              <w:rPr>
                <w:rFonts w:ascii="Arial" w:cs="Arial" w:eastAsia="Arial" w:hAnsi="Arial"/>
                <w:sz w:val="18"/>
                <w:szCs w:val="18"/>
                <w:color w:val="auto"/>
                <w:w w:val="95"/>
              </w:rPr>
              <w:t>Director</w:t>
            </w:r>
          </w:p>
        </w:tc>
        <w:tc>
          <w:tcPr>
            <w:tcW w:w="1620" w:type="dxa"/>
            <w:vAlign w:val="bottom"/>
            <w:gridSpan w:val="3"/>
          </w:tcPr>
          <w:p>
            <w:pPr>
              <w:jc w:val="center"/>
              <w:ind w:left="530"/>
              <w:spacing w:after="0"/>
              <w:rPr>
                <w:sz w:val="20"/>
                <w:szCs w:val="20"/>
                <w:color w:val="auto"/>
              </w:rPr>
            </w:pPr>
            <w:r>
              <w:rPr>
                <w:rFonts w:ascii="Arial" w:cs="Arial" w:eastAsia="Arial" w:hAnsi="Arial"/>
                <w:sz w:val="18"/>
                <w:szCs w:val="18"/>
                <w:color w:val="auto"/>
                <w:w w:val="91"/>
              </w:rPr>
              <w:t>May 13, 2021</w:t>
            </w:r>
          </w:p>
        </w:tc>
      </w:tr>
      <w:tr>
        <w:trPr>
          <w:trHeight w:val="224"/>
        </w:trPr>
        <w:tc>
          <w:tcPr>
            <w:tcW w:w="4000" w:type="dxa"/>
            <w:vAlign w:val="bottom"/>
            <w:gridSpan w:val="3"/>
          </w:tcPr>
          <w:p>
            <w:pPr>
              <w:jc w:val="center"/>
              <w:spacing w:after="0"/>
              <w:rPr>
                <w:sz w:val="20"/>
                <w:szCs w:val="20"/>
                <w:color w:val="auto"/>
              </w:rPr>
            </w:pPr>
            <w:r>
              <w:rPr>
                <w:rFonts w:ascii="Arial" w:cs="Arial" w:eastAsia="Arial" w:hAnsi="Arial"/>
                <w:sz w:val="18"/>
                <w:szCs w:val="18"/>
                <w:color w:val="auto"/>
                <w:w w:val="93"/>
              </w:rPr>
              <w:t>Scott D. Myers</w:t>
            </w:r>
          </w:p>
        </w:tc>
        <w:tc>
          <w:tcPr>
            <w:tcW w:w="2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r>
      <w:tr>
        <w:trPr>
          <w:trHeight w:val="499"/>
        </w:trPr>
        <w:tc>
          <w:tcPr>
            <w:tcW w:w="40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4"/>
              </w:rPr>
              <w:t>/s/ Aymeric Sallin</w:t>
            </w:r>
          </w:p>
        </w:tc>
        <w:tc>
          <w:tcPr>
            <w:tcW w:w="5000" w:type="dxa"/>
            <w:vAlign w:val="bottom"/>
            <w:gridSpan w:val="3"/>
          </w:tcPr>
          <w:p>
            <w:pPr>
              <w:jc w:val="center"/>
              <w:spacing w:after="0"/>
              <w:rPr>
                <w:sz w:val="20"/>
                <w:szCs w:val="20"/>
                <w:color w:val="auto"/>
              </w:rPr>
            </w:pPr>
            <w:r>
              <w:rPr>
                <w:rFonts w:ascii="Arial" w:cs="Arial" w:eastAsia="Arial" w:hAnsi="Arial"/>
                <w:sz w:val="18"/>
                <w:szCs w:val="18"/>
                <w:color w:val="auto"/>
                <w:w w:val="95"/>
              </w:rPr>
              <w:t>Director</w:t>
            </w:r>
          </w:p>
        </w:tc>
        <w:tc>
          <w:tcPr>
            <w:tcW w:w="1620" w:type="dxa"/>
            <w:vAlign w:val="bottom"/>
            <w:gridSpan w:val="3"/>
          </w:tcPr>
          <w:p>
            <w:pPr>
              <w:jc w:val="center"/>
              <w:ind w:left="530"/>
              <w:spacing w:after="0"/>
              <w:rPr>
                <w:sz w:val="20"/>
                <w:szCs w:val="20"/>
                <w:color w:val="auto"/>
              </w:rPr>
            </w:pPr>
            <w:r>
              <w:rPr>
                <w:rFonts w:ascii="Arial" w:cs="Arial" w:eastAsia="Arial" w:hAnsi="Arial"/>
                <w:sz w:val="18"/>
                <w:szCs w:val="18"/>
                <w:color w:val="auto"/>
                <w:w w:val="91"/>
              </w:rPr>
              <w:t>May 13, 2021</w:t>
            </w:r>
          </w:p>
        </w:tc>
      </w:tr>
      <w:tr>
        <w:trPr>
          <w:trHeight w:val="224"/>
        </w:trPr>
        <w:tc>
          <w:tcPr>
            <w:tcW w:w="4000" w:type="dxa"/>
            <w:vAlign w:val="bottom"/>
            <w:gridSpan w:val="3"/>
          </w:tcPr>
          <w:p>
            <w:pPr>
              <w:jc w:val="center"/>
              <w:spacing w:after="0"/>
              <w:rPr>
                <w:sz w:val="20"/>
                <w:szCs w:val="20"/>
                <w:color w:val="auto"/>
              </w:rPr>
            </w:pPr>
            <w:r>
              <w:rPr>
                <w:rFonts w:ascii="Arial" w:cs="Arial" w:eastAsia="Arial" w:hAnsi="Arial"/>
                <w:sz w:val="18"/>
                <w:szCs w:val="18"/>
                <w:color w:val="auto"/>
                <w:w w:val="94"/>
              </w:rPr>
              <w:t>Aymeric Sallin</w:t>
            </w:r>
          </w:p>
        </w:tc>
        <w:tc>
          <w:tcPr>
            <w:tcW w:w="2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r>
      <w:tr>
        <w:trPr>
          <w:trHeight w:val="499"/>
        </w:trPr>
        <w:tc>
          <w:tcPr>
            <w:tcW w:w="40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1"/>
              </w:rPr>
              <w:t>/s/ Timothy Springer, Ph.D.</w:t>
            </w:r>
          </w:p>
        </w:tc>
        <w:tc>
          <w:tcPr>
            <w:tcW w:w="5000" w:type="dxa"/>
            <w:vAlign w:val="bottom"/>
            <w:gridSpan w:val="3"/>
          </w:tcPr>
          <w:p>
            <w:pPr>
              <w:jc w:val="center"/>
              <w:spacing w:after="0"/>
              <w:rPr>
                <w:sz w:val="20"/>
                <w:szCs w:val="20"/>
                <w:color w:val="auto"/>
              </w:rPr>
            </w:pPr>
            <w:r>
              <w:rPr>
                <w:rFonts w:ascii="Arial" w:cs="Arial" w:eastAsia="Arial" w:hAnsi="Arial"/>
                <w:sz w:val="18"/>
                <w:szCs w:val="18"/>
                <w:color w:val="auto"/>
                <w:w w:val="95"/>
              </w:rPr>
              <w:t>Director</w:t>
            </w:r>
          </w:p>
        </w:tc>
        <w:tc>
          <w:tcPr>
            <w:tcW w:w="1620" w:type="dxa"/>
            <w:vAlign w:val="bottom"/>
            <w:gridSpan w:val="3"/>
          </w:tcPr>
          <w:p>
            <w:pPr>
              <w:jc w:val="center"/>
              <w:ind w:left="530"/>
              <w:spacing w:after="0"/>
              <w:rPr>
                <w:sz w:val="20"/>
                <w:szCs w:val="20"/>
                <w:color w:val="auto"/>
              </w:rPr>
            </w:pPr>
            <w:r>
              <w:rPr>
                <w:rFonts w:ascii="Arial" w:cs="Arial" w:eastAsia="Arial" w:hAnsi="Arial"/>
                <w:sz w:val="18"/>
                <w:szCs w:val="18"/>
                <w:color w:val="auto"/>
                <w:w w:val="91"/>
              </w:rPr>
              <w:t>May 13, 2021</w:t>
            </w:r>
          </w:p>
        </w:tc>
      </w:tr>
      <w:tr>
        <w:trPr>
          <w:trHeight w:val="224"/>
        </w:trPr>
        <w:tc>
          <w:tcPr>
            <w:tcW w:w="4000" w:type="dxa"/>
            <w:vAlign w:val="bottom"/>
            <w:gridSpan w:val="3"/>
          </w:tcPr>
          <w:p>
            <w:pPr>
              <w:jc w:val="center"/>
              <w:spacing w:after="0"/>
              <w:rPr>
                <w:sz w:val="20"/>
                <w:szCs w:val="20"/>
                <w:color w:val="auto"/>
              </w:rPr>
            </w:pPr>
            <w:r>
              <w:rPr>
                <w:rFonts w:ascii="Arial" w:cs="Arial" w:eastAsia="Arial" w:hAnsi="Arial"/>
                <w:sz w:val="18"/>
                <w:szCs w:val="18"/>
                <w:color w:val="auto"/>
                <w:w w:val="92"/>
              </w:rPr>
              <w:t>Timothy Springer, Ph.D.</w:t>
            </w:r>
          </w:p>
        </w:tc>
        <w:tc>
          <w:tcPr>
            <w:tcW w:w="2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r>
      <w:tr>
        <w:trPr>
          <w:trHeight w:val="499"/>
        </w:trPr>
        <w:tc>
          <w:tcPr>
            <w:tcW w:w="40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0"/>
              </w:rPr>
              <w:t>/s/ Patrick Zenner</w:t>
            </w:r>
          </w:p>
        </w:tc>
        <w:tc>
          <w:tcPr>
            <w:tcW w:w="5000" w:type="dxa"/>
            <w:vAlign w:val="bottom"/>
            <w:gridSpan w:val="3"/>
          </w:tcPr>
          <w:p>
            <w:pPr>
              <w:jc w:val="center"/>
              <w:spacing w:after="0"/>
              <w:rPr>
                <w:sz w:val="20"/>
                <w:szCs w:val="20"/>
                <w:color w:val="auto"/>
              </w:rPr>
            </w:pPr>
            <w:r>
              <w:rPr>
                <w:rFonts w:ascii="Arial" w:cs="Arial" w:eastAsia="Arial" w:hAnsi="Arial"/>
                <w:sz w:val="18"/>
                <w:szCs w:val="18"/>
                <w:color w:val="auto"/>
                <w:w w:val="95"/>
              </w:rPr>
              <w:t>Director</w:t>
            </w:r>
          </w:p>
        </w:tc>
        <w:tc>
          <w:tcPr>
            <w:tcW w:w="1620" w:type="dxa"/>
            <w:vAlign w:val="bottom"/>
            <w:gridSpan w:val="3"/>
          </w:tcPr>
          <w:p>
            <w:pPr>
              <w:jc w:val="center"/>
              <w:ind w:left="530"/>
              <w:spacing w:after="0"/>
              <w:rPr>
                <w:sz w:val="20"/>
                <w:szCs w:val="20"/>
                <w:color w:val="auto"/>
              </w:rPr>
            </w:pPr>
            <w:r>
              <w:rPr>
                <w:rFonts w:ascii="Arial" w:cs="Arial" w:eastAsia="Arial" w:hAnsi="Arial"/>
                <w:sz w:val="18"/>
                <w:szCs w:val="18"/>
                <w:color w:val="auto"/>
                <w:w w:val="91"/>
              </w:rPr>
              <w:t>May 13, 2021</w:t>
            </w:r>
          </w:p>
        </w:tc>
      </w:tr>
      <w:tr>
        <w:trPr>
          <w:trHeight w:val="224"/>
        </w:trPr>
        <w:tc>
          <w:tcPr>
            <w:tcW w:w="4000" w:type="dxa"/>
            <w:vAlign w:val="bottom"/>
            <w:gridSpan w:val="3"/>
          </w:tcPr>
          <w:p>
            <w:pPr>
              <w:jc w:val="center"/>
              <w:spacing w:after="0"/>
              <w:rPr>
                <w:sz w:val="20"/>
                <w:szCs w:val="20"/>
                <w:color w:val="auto"/>
              </w:rPr>
            </w:pPr>
            <w:r>
              <w:rPr>
                <w:rFonts w:ascii="Arial" w:cs="Arial" w:eastAsia="Arial" w:hAnsi="Arial"/>
                <w:sz w:val="18"/>
                <w:szCs w:val="18"/>
                <w:color w:val="auto"/>
                <w:w w:val="90"/>
              </w:rPr>
              <w:t>Patrick Zenner</w:t>
            </w:r>
          </w:p>
        </w:tc>
        <w:tc>
          <w:tcPr>
            <w:tcW w:w="2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180"/>
          </w:cols>
          <w:pgMar w:left="320" w:top="769" w:right="399" w:bottom="1440" w:gutter="0" w:footer="0" w:header="0"/>
        </w:sectPr>
      </w:pPr>
    </w:p>
    <w:bookmarkStart w:id="7" w:name="page8"/>
    <w:bookmarkEnd w:id="7"/>
    <w:p>
      <w:pPr>
        <w:jc w:val="right"/>
        <w:spacing w:after="0"/>
        <w:rPr>
          <w:sz w:val="20"/>
          <w:szCs w:val="20"/>
          <w:color w:val="auto"/>
        </w:rPr>
      </w:pPr>
      <w:r>
        <w:rPr>
          <w:rFonts w:ascii="Arial" w:cs="Arial" w:eastAsia="Arial" w:hAnsi="Arial"/>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1007745</wp:posOffset>
            </wp:positionH>
            <wp:positionV relativeFrom="paragraph">
              <wp:posOffset>325755</wp:posOffset>
            </wp:positionV>
            <wp:extent cx="5134610" cy="9601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5134610" cy="960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color w:val="auto"/>
        </w:rPr>
        <w:t>May 13, 2021</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Selecta Biosciences,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65 Grove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Watertown, MA 02472</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52"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We have acted as counsel to Selecta Biosciences, Inc., a Delaware corporation (the “Company”), in connection with the registration by the Company under the Securities Act of 1933, as amended (the “Act”), of 5,403,561 shares of the Company’s common stock, par value $0.0001 per share (the “Shares”), issuable under the Company’s 2016 Incentive Award Plan (the “Incentive Plan”) and under the Company’s 2016 Employee Stock Purchase Plan (the “ESPP”), pursuant to the registration statement on Form S-8 being filed with the Securities and Exchange Commission on the date hereof (such registration statement is referred to herein as the “Registration Statement”).</w:t>
      </w:r>
    </w:p>
    <w:p>
      <w:pPr>
        <w:spacing w:after="0" w:line="215" w:lineRule="exact"/>
        <w:rPr>
          <w:sz w:val="20"/>
          <w:szCs w:val="20"/>
          <w:color w:val="auto"/>
        </w:rPr>
      </w:pPr>
    </w:p>
    <w:p>
      <w:pPr>
        <w:ind w:right="40" w:firstLine="324"/>
        <w:spacing w:after="0" w:line="263" w:lineRule="auto"/>
        <w:rPr>
          <w:sz w:val="20"/>
          <w:szCs w:val="20"/>
          <w:color w:val="auto"/>
        </w:rPr>
      </w:pPr>
      <w:r>
        <w:rPr>
          <w:rFonts w:ascii="Arial" w:cs="Arial" w:eastAsia="Arial" w:hAnsi="Arial"/>
          <w:sz w:val="18"/>
          <w:szCs w:val="18"/>
          <w:color w:val="auto"/>
        </w:rPr>
        <w:t>We have reviewed such corporate records, certificates and other documents, and such questions of law, as we have considered necessary or appropriate for the purposes of this opinion. We have assumed that all signatures are genuine, that all documents submitted to us as originals are authentic and that all copies of documents submitted to us conform to the originals.</w:t>
      </w:r>
    </w:p>
    <w:p>
      <w:pPr>
        <w:spacing w:after="0" w:line="211" w:lineRule="exact"/>
        <w:rPr>
          <w:sz w:val="20"/>
          <w:szCs w:val="20"/>
          <w:color w:val="auto"/>
        </w:rPr>
      </w:pPr>
    </w:p>
    <w:p>
      <w:pPr>
        <w:ind w:right="420" w:firstLine="324"/>
        <w:spacing w:after="0" w:line="277" w:lineRule="auto"/>
        <w:rPr>
          <w:sz w:val="20"/>
          <w:szCs w:val="20"/>
          <w:color w:val="auto"/>
        </w:rPr>
      </w:pPr>
      <w:r>
        <w:rPr>
          <w:rFonts w:ascii="Arial" w:cs="Arial" w:eastAsia="Arial" w:hAnsi="Arial"/>
          <w:sz w:val="18"/>
          <w:szCs w:val="18"/>
          <w:color w:val="auto"/>
        </w:rPr>
        <w:t>We have relied as to certain matters on information obtained from public officials, officers of the Company and other sources believed by us to be responsible.</w:t>
      </w:r>
    </w:p>
    <w:p>
      <w:pPr>
        <w:spacing w:after="0" w:line="197" w:lineRule="exact"/>
        <w:rPr>
          <w:sz w:val="20"/>
          <w:szCs w:val="20"/>
          <w:color w:val="auto"/>
        </w:rPr>
      </w:pPr>
    </w:p>
    <w:p>
      <w:pPr>
        <w:ind w:right="80" w:firstLine="324"/>
        <w:spacing w:after="0" w:line="263" w:lineRule="auto"/>
        <w:rPr>
          <w:sz w:val="20"/>
          <w:szCs w:val="20"/>
          <w:color w:val="auto"/>
        </w:rPr>
      </w:pPr>
      <w:r>
        <w:rPr>
          <w:rFonts w:ascii="Arial" w:cs="Arial" w:eastAsia="Arial" w:hAnsi="Arial"/>
          <w:sz w:val="18"/>
          <w:szCs w:val="18"/>
          <w:color w:val="auto"/>
        </w:rPr>
        <w:t>Based upon the foregoing, we are of the opinion that the Shares have been duly authorized and, when issued and paid for in accordance with the terms of the Company’s Restated Certificate of Incorporation, the Incentive Plan and the ESPP and any individual agreements relating to such Shares, will be validly issued, fully paid and nonassessable.</w:t>
      </w:r>
    </w:p>
    <w:p>
      <w:pPr>
        <w:spacing w:after="0" w:line="211"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We are members of the bar of the State of New York. We do not express any opinion herein on any laws other than the General Corporation Law of the State of Delaware and reported judicial decisions interpreting such law.</w:t>
      </w:r>
    </w:p>
    <w:p>
      <w:pPr>
        <w:spacing w:after="0" w:line="197"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We hereby consent to the filing of this opinion as Exhibit 5.1 to the Registration Statement. In giving such consent, we do not thereby admit that we are in the category of persons whose consent is required under Section 7 of the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Very truly yours,</w:t>
      </w:r>
    </w:p>
    <w:p>
      <w:pPr>
        <w:spacing w:after="0" w:line="252"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/s/ Covington &amp; Burling LLP</w:t>
      </w:r>
    </w:p>
    <w:p>
      <w:pPr>
        <w:sectPr>
          <w:pgSz w:w="11900" w:h="16838" w:orient="portrait"/>
          <w:cols w:equalWidth="0" w:num="1">
            <w:col w:w="11240"/>
          </w:cols>
          <w:pgMar w:left="320" w:top="769" w:right="339" w:bottom="1440" w:gutter="0" w:footer="0" w:header="0"/>
        </w:sectPr>
      </w:pPr>
    </w:p>
    <w:bookmarkStart w:id="8" w:name="page9"/>
    <w:bookmarkEnd w:id="8"/>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We consent to the incorporation by reference in the Registration Statement (Form S-8) pertaining to the 2016 Incentive Award Plan and the 2016 Employee Stock Purchase Plan of Selecta Biosciences, Inc. of our report dated March 12, 2021, with respect to the consolidated financial statements of Selecta Biosciences, Inc. included in its Annual Report (Form 10-K) for the year ended December 31, 2020, filed with the Securities and Exchange Commission.</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May 13, 2021</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6" Type="http://schemas.openxmlformats.org/officeDocument/2006/relationships/image" Target="media/image6.jpeg"/><Relationship Id="rId12" Type="http://schemas.openxmlformats.org/officeDocument/2006/relationships/hyperlink" Target="http://www.sec.gov/Archives/edgar/data/1453687/000110465916129891/a16-14002_1ex3d1.htm" TargetMode="External"/><Relationship Id="rId13" Type="http://schemas.openxmlformats.org/officeDocument/2006/relationships/hyperlink" Target="http://www.sec.gov/Archives/edgar/data/1453687/000110465916129891/a16-14002_1ex3d2.htm" TargetMode="External"/><Relationship Id="rId14" Type="http://schemas.openxmlformats.org/officeDocument/2006/relationships/hyperlink" Target="http://www.sec.gov/Archives/edgar/data/1453687/000104746916013718/a2228810zs-1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2021-05-13T07:07:57Z</dcterms:created>
  <dcterms:modified xsi:type="dcterms:W3CDTF">2021-05-13T07:07:57Z</dcterms:modified>
</cp:coreProperties>
</file>