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As filed with the Securities and Exchange Commission on October 25, 2023</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7"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7"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FORM S-3</w:t>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REGISTRATION STATEMENT</w:t>
      </w:r>
    </w:p>
    <w:p>
      <w:pPr>
        <w:jc w:val="center"/>
        <w:ind w:right="-119"/>
        <w:spacing w:after="0"/>
        <w:rPr>
          <w:sz w:val="20"/>
          <w:szCs w:val="20"/>
          <w:color w:val="auto"/>
        </w:rPr>
      </w:pPr>
      <w:r>
        <w:rPr>
          <w:rFonts w:ascii="Arial" w:cs="Arial" w:eastAsia="Arial" w:hAnsi="Arial"/>
          <w:sz w:val="20"/>
          <w:szCs w:val="20"/>
          <w:b w:val="1"/>
          <w:bCs w:val="1"/>
          <w:i w:val="1"/>
          <w:iCs w:val="1"/>
          <w:color w:val="auto"/>
        </w:rPr>
        <w:t>UNDER</w:t>
      </w:r>
    </w:p>
    <w:p>
      <w:pPr>
        <w:jc w:val="center"/>
        <w:ind w:right="-1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SELECTA BIOSCIENCES, INC.</w:t>
      </w:r>
    </w:p>
    <w:p>
      <w:pPr>
        <w:spacing w:after="0" w:line="3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tbl>
      <w:tblPr>
        <w:tblLayout w:type="fixed"/>
        <w:tblInd w:w="2080" w:type="dxa"/>
        <w:tblCellMar>
          <w:top w:w="0" w:type="dxa"/>
          <w:left w:w="0" w:type="dxa"/>
          <w:bottom w:w="0" w:type="dxa"/>
          <w:right w:w="0" w:type="dxa"/>
        </w:tblCellMar>
      </w:tblPr>
      <w:tr>
        <w:trPr>
          <w:trHeight w:val="198"/>
        </w:trPr>
        <w:tc>
          <w:tcPr>
            <w:tcW w:w="3700" w:type="dxa"/>
            <w:vAlign w:val="bottom"/>
          </w:tcPr>
          <w:p>
            <w:pPr>
              <w:jc w:val="center"/>
              <w:ind w:right="1991"/>
              <w:spacing w:after="0"/>
              <w:rPr>
                <w:sz w:val="20"/>
                <w:szCs w:val="20"/>
                <w:color w:val="auto"/>
              </w:rPr>
            </w:pPr>
            <w:r>
              <w:rPr>
                <w:rFonts w:ascii="Arial" w:cs="Arial" w:eastAsia="Arial" w:hAnsi="Arial"/>
                <w:sz w:val="16"/>
                <w:szCs w:val="16"/>
                <w:b w:val="1"/>
                <w:bCs w:val="1"/>
                <w:color w:val="auto"/>
                <w:w w:val="91"/>
              </w:rPr>
              <w:t>Delaware</w:t>
            </w:r>
          </w:p>
        </w:tc>
        <w:tc>
          <w:tcPr>
            <w:tcW w:w="3300" w:type="dxa"/>
            <w:vAlign w:val="bottom"/>
          </w:tcPr>
          <w:p>
            <w:pPr>
              <w:jc w:val="center"/>
              <w:ind w:left="1991"/>
              <w:spacing w:after="0"/>
              <w:rPr>
                <w:sz w:val="20"/>
                <w:szCs w:val="20"/>
                <w:color w:val="auto"/>
              </w:rPr>
            </w:pPr>
            <w:r>
              <w:rPr>
                <w:rFonts w:ascii="Arial" w:cs="Arial" w:eastAsia="Arial" w:hAnsi="Arial"/>
                <w:sz w:val="16"/>
                <w:szCs w:val="16"/>
                <w:b w:val="1"/>
                <w:bCs w:val="1"/>
                <w:color w:val="auto"/>
                <w:w w:val="88"/>
              </w:rPr>
              <w:t>26-1622110</w:t>
            </w:r>
          </w:p>
        </w:tc>
      </w:tr>
      <w:tr>
        <w:trPr>
          <w:trHeight w:val="135"/>
        </w:trPr>
        <w:tc>
          <w:tcPr>
            <w:tcW w:w="3700" w:type="dxa"/>
            <w:vAlign w:val="bottom"/>
          </w:tcPr>
          <w:p>
            <w:pPr>
              <w:jc w:val="center"/>
              <w:ind w:right="1991"/>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300" w:type="dxa"/>
            <w:vAlign w:val="bottom"/>
          </w:tcPr>
          <w:p>
            <w:pPr>
              <w:jc w:val="center"/>
              <w:ind w:left="1991"/>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700" w:type="dxa"/>
            <w:vAlign w:val="bottom"/>
          </w:tcPr>
          <w:p>
            <w:pPr>
              <w:jc w:val="center"/>
              <w:ind w:right="1991"/>
              <w:spacing w:after="0"/>
              <w:rPr>
                <w:sz w:val="20"/>
                <w:szCs w:val="20"/>
                <w:color w:val="auto"/>
              </w:rPr>
            </w:pPr>
            <w:r>
              <w:rPr>
                <w:rFonts w:ascii="Arial" w:cs="Arial" w:eastAsia="Arial" w:hAnsi="Arial"/>
                <w:sz w:val="13"/>
                <w:szCs w:val="13"/>
                <w:b w:val="1"/>
                <w:bCs w:val="1"/>
                <w:color w:val="auto"/>
                <w:w w:val="88"/>
              </w:rPr>
              <w:t>incorporation or organization)</w:t>
            </w:r>
          </w:p>
        </w:tc>
        <w:tc>
          <w:tcPr>
            <w:tcW w:w="3300" w:type="dxa"/>
            <w:vAlign w:val="bottom"/>
          </w:tcPr>
          <w:p>
            <w:pPr>
              <w:jc w:val="center"/>
              <w:ind w:left="1991"/>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65 Grove Street</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Watertown, Massachusetts 02472</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(617) 923-1400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Carsten Brunn, Ph.D.</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65 Grove Street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Watertown, Massachusetts 02472</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(617) 923-1400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114935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With copies to:</w:t>
      </w:r>
    </w:p>
    <w:p>
      <w:pPr>
        <w:spacing w:after="0" w:line="6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Brian K. Rosenzweig</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Sarah C. Griffiths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Covington &amp; Burling LLP</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One International Place, Suite 1020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Boston, Massachusetts 02110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(617) 603-8805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4"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becomes effective.</w:t>
      </w:r>
    </w:p>
    <w:p>
      <w:pPr>
        <w:spacing w:after="0" w:line="37"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24" w:lineRule="exact"/>
        <w:rPr>
          <w:sz w:val="24"/>
          <w:szCs w:val="24"/>
          <w:color w:val="auto"/>
        </w:rPr>
      </w:pPr>
    </w:p>
    <w:p>
      <w:pPr>
        <w:ind w:left="120" w:right="360" w:firstLine="440"/>
        <w:spacing w:after="0" w:line="217" w:lineRule="exact"/>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5" w:lineRule="exact"/>
        <w:rPr>
          <w:sz w:val="24"/>
          <w:szCs w:val="24"/>
          <w:color w:val="auto"/>
        </w:rPr>
      </w:pPr>
    </w:p>
    <w:p>
      <w:pPr>
        <w:ind w:left="120" w:right="280" w:firstLine="440"/>
        <w:spacing w:after="0" w:line="217" w:lineRule="exact"/>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5" w:lineRule="exact"/>
        <w:rPr>
          <w:sz w:val="24"/>
          <w:szCs w:val="24"/>
          <w:color w:val="auto"/>
        </w:rPr>
      </w:pPr>
    </w:p>
    <w:p>
      <w:pPr>
        <w:ind w:left="120" w:right="180" w:firstLine="440"/>
        <w:spacing w:after="0" w:line="217" w:lineRule="exact"/>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5" w:lineRule="exact"/>
        <w:rPr>
          <w:sz w:val="24"/>
          <w:szCs w:val="24"/>
          <w:color w:val="auto"/>
        </w:rPr>
      </w:pPr>
    </w:p>
    <w:p>
      <w:pPr>
        <w:ind w:left="120" w:right="160" w:firstLine="440"/>
        <w:spacing w:after="0" w:line="217" w:lineRule="exact"/>
        <w:rPr>
          <w:sz w:val="20"/>
          <w:szCs w:val="20"/>
          <w:color w:val="auto"/>
        </w:rPr>
      </w:pPr>
      <w:r>
        <w:rPr>
          <w:rFonts w:ascii="Arial" w:cs="Arial" w:eastAsia="Arial" w:hAnsi="Arial"/>
          <w:sz w:val="16"/>
          <w:szCs w:val="16"/>
          <w:color w:val="auto"/>
        </w:rPr>
        <w:t>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5" w:lineRule="exact"/>
        <w:rPr>
          <w:sz w:val="24"/>
          <w:szCs w:val="24"/>
          <w:color w:val="auto"/>
        </w:rPr>
      </w:pPr>
    </w:p>
    <w:p>
      <w:pPr>
        <w:ind w:left="120" w:right="180" w:firstLine="440"/>
        <w:spacing w:after="0" w:line="217" w:lineRule="exact"/>
        <w:rPr>
          <w:sz w:val="20"/>
          <w:szCs w:val="20"/>
          <w:color w:val="auto"/>
        </w:rPr>
      </w:pPr>
      <w:r>
        <w:rPr>
          <w:rFonts w:ascii="Arial" w:cs="Arial" w:eastAsia="Arial" w:hAnsi="Arial"/>
          <w:sz w:val="16"/>
          <w:szCs w:val="16"/>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5" w:lineRule="exact"/>
        <w:rPr>
          <w:sz w:val="24"/>
          <w:szCs w:val="24"/>
          <w:color w:val="auto"/>
        </w:rPr>
      </w:pPr>
    </w:p>
    <w:p>
      <w:pPr>
        <w:jc w:val="both"/>
        <w:ind w:left="120" w:right="120" w:firstLine="440"/>
        <w:spacing w:after="0" w:line="27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Arial" w:cs="Arial" w:eastAsia="Arial" w:hAnsi="Arial"/>
                <w:sz w:val="16"/>
                <w:szCs w:val="16"/>
                <w:color w:val="auto"/>
                <w:w w:val="99"/>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320" w:type="dxa"/>
            <w:vAlign w:val="bottom"/>
          </w:tcPr>
          <w:p>
            <w:pPr>
              <w:ind w:left="3400"/>
              <w:spacing w:after="0"/>
              <w:rPr>
                <w:sz w:val="20"/>
                <w:szCs w:val="20"/>
                <w:color w:val="auto"/>
              </w:rPr>
            </w:pPr>
            <w:r>
              <w:rPr>
                <w:rFonts w:ascii="Arial" w:cs="Arial" w:eastAsia="Arial" w:hAnsi="Arial"/>
                <w:sz w:val="16"/>
                <w:szCs w:val="16"/>
                <w:color w:val="auto"/>
                <w:w w:val="99"/>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left="120" w:right="440" w:firstLine="440"/>
        <w:spacing w:after="0" w:line="217"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jc w:val="both"/>
        <w:ind w:left="120" w:right="180"/>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65405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158"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October 25,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178435</wp:posOffset>
            </wp:positionV>
            <wp:extent cx="2143125" cy="796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Selecta Biosciences, Inc.</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206"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From time to time, we may offer and sell up to $200,000,000 in the aggregate of the securities identified above, either individually or in combination, at prices and on terms described in one or more supplements to this prospectus. We may also offer securities as may be issuable upon conversion, redemption, repurchase, exchange or exercise of any securities registered hereunder, including any applicable anti-dilution provisions.</w:t>
      </w:r>
    </w:p>
    <w:p>
      <w:pPr>
        <w:spacing w:after="0" w:line="14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This prospectus describes the general terms of these securities and the general manner in which they may be offered. Each time we offer any securities pursuant to this prospectus, we will provide you with a prospectus supplement that will describe the specific amounts, prices and terms of the securities being offered and the specific manner in which they may be offered. The prospectus supplement and any related free writing prospectus may also add, update or change information contained in this prospectus. You should read this prospectus, the information incorporated by reference in this prospectus, the accompanying prospectus supplement, including any information incorporated by reference therein, and any applicable free writing prospectus carefully before you invest in the securities described in the applicable prospectus supplement.</w:t>
      </w:r>
    </w:p>
    <w:p>
      <w:pPr>
        <w:spacing w:after="0" w:line="16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Our common stock is listed on the Nasdaq Global Market, or Nasdaq, under the symbol “SELB.” On October 24, 2023, the last reported sale price of our common stock was $1.15 per share. The applicable prospectus supplement will contain information, where applicable, as to other listings, if any, on the Nasdaq Global Market or other securities exchange of the securities covered by the prospectus supplement.</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may offer and sell these securities to or through one or more underwriters, dealers and agents, directly to purchasers or through a combination of these methods, on a continuous or delayed basis from time to time. See “</w:t>
      </w:r>
      <w:r>
        <w:rPr>
          <w:rFonts w:ascii="Arial" w:cs="Arial" w:eastAsia="Arial" w:hAnsi="Arial"/>
          <w:sz w:val="18"/>
          <w:szCs w:val="18"/>
          <w:i w:val="1"/>
          <w:iCs w:val="1"/>
          <w:color w:val="auto"/>
        </w:rPr>
        <w:t>Plan of Distribution</w:t>
      </w:r>
      <w:r>
        <w:rPr>
          <w:rFonts w:ascii="Arial" w:cs="Arial" w:eastAsia="Arial" w:hAnsi="Arial"/>
          <w:sz w:val="18"/>
          <w:szCs w:val="18"/>
          <w:color w:val="auto"/>
        </w:rPr>
        <w:t>” in this prospectus and in the applicable prospectus supplement. The names of any underwriters, dealers or agents involved in the distribution of our securities, their compensation and any option they hold to acquire additional securities will be described in the applicable prospectus supplement. Net proceeds from the sale of securities will be set forth in the applicable prospectus supplement.</w:t>
      </w:r>
    </w:p>
    <w:p>
      <w:pPr>
        <w:spacing w:after="0" w:line="17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22"/>
          <w:szCs w:val="22"/>
          <w:b w:val="1"/>
          <w:bCs w:val="1"/>
          <w:color w:val="auto"/>
        </w:rPr>
        <w:t>Investing in our securities involves a high degree of risk. Before investing in our securities, you should carefully consider the risks and uncertainties described under the caption “</w:t>
      </w:r>
      <w:r>
        <w:rPr>
          <w:rFonts w:ascii="Arial" w:cs="Arial" w:eastAsia="Arial" w:hAnsi="Arial"/>
          <w:sz w:val="22"/>
          <w:szCs w:val="22"/>
          <w:b w:val="1"/>
          <w:bCs w:val="1"/>
          <w:i w:val="1"/>
          <w:iCs w:val="1"/>
          <w:u w:val="single" w:color="auto"/>
          <w:color w:val="0000EE"/>
        </w:rPr>
        <w:t>Risk Factors</w:t>
      </w:r>
      <w:r>
        <w:rPr>
          <w:rFonts w:ascii="Arial" w:cs="Arial" w:eastAsia="Arial" w:hAnsi="Arial"/>
          <w:sz w:val="22"/>
          <w:szCs w:val="22"/>
          <w:b w:val="1"/>
          <w:bCs w:val="1"/>
          <w:color w:val="auto"/>
        </w:rPr>
        <w:t>” beginning on page 8 of this prospectus and any similar section contained in the applicable prospectus supplement and in any free writing prospectus we have authorized for use in connection with a specific offering, and under similar headings in the documents incorporated by reference into this prospectus.</w:t>
      </w:r>
    </w:p>
    <w:p>
      <w:pPr>
        <w:spacing w:after="0" w:line="191" w:lineRule="exact"/>
        <w:rPr>
          <w:sz w:val="20"/>
          <w:szCs w:val="20"/>
          <w:color w:val="auto"/>
        </w:rPr>
      </w:pPr>
    </w:p>
    <w:p>
      <w:pPr>
        <w:ind w:left="120" w:right="1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 2023.</w:t>
      </w:r>
    </w:p>
    <w:p>
      <w:pPr>
        <w:sectPr>
          <w:pgSz w:w="11900" w:h="16838" w:orient="portrait"/>
          <w:cols w:equalWidth="0" w:num="1">
            <w:col w:w="11100"/>
          </w:cols>
          <w:pgMar w:left="320" w:top="459"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40" w:type="dxa"/>
            <w:vAlign w:val="bottom"/>
            <w:gridSpan w:val="17"/>
          </w:tcPr>
          <w:p>
            <w:pPr>
              <w:spacing w:after="0"/>
              <w:rPr>
                <w:sz w:val="20"/>
                <w:szCs w:val="20"/>
                <w:color w:val="auto"/>
              </w:rPr>
            </w:pPr>
            <w:r>
              <w:rPr>
                <w:rFonts w:ascii="Arial" w:cs="Arial" w:eastAsia="Arial" w:hAnsi="Arial"/>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6"/>
          </w:tcPr>
          <w:p>
            <w:pPr>
              <w:spacing w:after="0"/>
              <w:rPr>
                <w:sz w:val="20"/>
                <w:szCs w:val="20"/>
                <w:color w:val="auto"/>
              </w:rPr>
            </w:pPr>
            <w:r>
              <w:rPr>
                <w:rFonts w:ascii="Arial" w:cs="Arial" w:eastAsia="Arial" w:hAnsi="Arial"/>
                <w:sz w:val="18"/>
                <w:szCs w:val="18"/>
                <w:color w:val="0000EE"/>
              </w:rPr>
              <w:t>ABOUT THIS PROSPECTUS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6"/>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8620" w:type="dxa"/>
            <w:vAlign w:val="bottom"/>
            <w:gridSpan w:val="16"/>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INCORPORATION BY REFERENCE</w:t>
            </w:r>
          </w:p>
        </w:tc>
        <w:tc>
          <w:tcPr>
            <w:tcW w:w="980" w:type="dxa"/>
            <w:vAlign w:val="bottom"/>
            <w:tcBorders>
              <w:top w:val="single" w:sz="8" w:color="0000EE"/>
            </w:tcBorders>
            <w:gridSpan w:val="3"/>
          </w:tcPr>
          <w:p>
            <w:pPr>
              <w:spacing w:after="0"/>
              <w:rPr>
                <w:sz w:val="17"/>
                <w:szCs w:val="17"/>
                <w:color w:val="auto"/>
              </w:rPr>
            </w:pPr>
          </w:p>
        </w:tc>
        <w:tc>
          <w:tcPr>
            <w:tcW w:w="48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5"/>
              </w:rPr>
              <w:t>THE COMPANY</w:t>
            </w:r>
          </w:p>
        </w:tc>
        <w:tc>
          <w:tcPr>
            <w:tcW w:w="734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8620" w:type="dxa"/>
            <w:vAlign w:val="bottom"/>
            <w:gridSpan w:val="16"/>
          </w:tcPr>
          <w:p>
            <w:pPr>
              <w:spacing w:after="0" w:line="196" w:lineRule="exact"/>
              <w:rPr>
                <w:sz w:val="20"/>
                <w:szCs w:val="20"/>
                <w:color w:val="auto"/>
              </w:rPr>
            </w:pPr>
            <w:r>
              <w:rPr>
                <w:rFonts w:ascii="Arial" w:cs="Arial" w:eastAsia="Arial" w:hAnsi="Arial"/>
                <w:sz w:val="18"/>
                <w:szCs w:val="18"/>
                <w:color w:val="0000EE"/>
              </w:rPr>
              <w:t>RISK FACTORS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USE OF PROCEEDS</w:t>
            </w:r>
          </w:p>
        </w:tc>
        <w:tc>
          <w:tcPr>
            <w:tcW w:w="704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8620" w:type="dxa"/>
            <w:vAlign w:val="bottom"/>
            <w:gridSpan w:val="16"/>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560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614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660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18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6"/>
              </w:rPr>
              <w:t>GLOBAL SECURITIES</w:t>
            </w:r>
          </w:p>
        </w:tc>
        <w:tc>
          <w:tcPr>
            <w:tcW w:w="682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8620" w:type="dxa"/>
            <w:vAlign w:val="bottom"/>
            <w:gridSpan w:val="16"/>
          </w:tcPr>
          <w:p>
            <w:pPr>
              <w:spacing w:after="0" w:line="196" w:lineRule="exact"/>
              <w:rPr>
                <w:sz w:val="20"/>
                <w:szCs w:val="20"/>
                <w:color w:val="auto"/>
              </w:rPr>
            </w:pPr>
            <w:r>
              <w:rPr>
                <w:rFonts w:ascii="Arial" w:cs="Arial" w:eastAsia="Arial" w:hAnsi="Arial"/>
                <w:sz w:val="18"/>
                <w:szCs w:val="18"/>
                <w:color w:val="0000EE"/>
              </w:rPr>
              <w:t>PLAN OF DISTRIBUTION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4"/>
          </w:tcPr>
          <w:p>
            <w:pPr>
              <w:spacing w:after="0"/>
              <w:rPr>
                <w:sz w:val="17"/>
                <w:szCs w:val="17"/>
                <w:color w:val="auto"/>
              </w:rPr>
            </w:pPr>
          </w:p>
        </w:tc>
        <w:tc>
          <w:tcPr>
            <w:tcW w:w="65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8620" w:type="dxa"/>
            <w:vAlign w:val="bottom"/>
            <w:gridSpan w:val="16"/>
          </w:tcPr>
          <w:p>
            <w:pPr>
              <w:spacing w:after="0" w:line="196" w:lineRule="exact"/>
              <w:rPr>
                <w:sz w:val="20"/>
                <w:szCs w:val="20"/>
                <w:color w:val="auto"/>
              </w:rPr>
            </w:pPr>
            <w:r>
              <w:rPr>
                <w:rFonts w:ascii="Arial" w:cs="Arial" w:eastAsia="Arial" w:hAnsi="Arial"/>
                <w:sz w:val="18"/>
                <w:szCs w:val="18"/>
                <w:color w:val="0000EE"/>
              </w:rPr>
              <w:t>EXPERTS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This prospectus is part of a registration statement on Form S-3 that we filed with the U.S. Securities and Exchange Commission, or the SEC, using a “shelf” registration process under the Securities Act of 1933, as amended, or the Securities Act. Under this shelf registration statement, we may offer and sell from time to time, separately or together, any combination of our common stock, preferred stock, debt securities warrants and units in one or more offerings at an aggregate offering price of up to $200,000,000. The preferred stock, debt securities, warrants and units may be convertible into, or exercisable or exchangeable for, our common or preferred stock or other securities issued by us.</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offer and sell securities, we will provide a prospectus supplement that will contain specific information about the terms of that offering. The prospectus supplement may also add, update or change information contained in this prospectus. You should read this prospectus and the applicable prospectus supplement together with the additional information described under the heading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We may also prepare free writing prospectuses that describe particular securities. Any free writing prospectus should also be read in connection with this prospectus and any prospectus supplement referred to therein. For purposes of this prospectus, any reference to an applicable prospectus supplement may also refer to a free writing prospectus, unless the context otherwise requires.</w:t>
      </w:r>
    </w:p>
    <w:p>
      <w:pPr>
        <w:spacing w:after="0" w:line="19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When we refer to “Selecta,” “we,” “our,” “us” and the “Company” in this prospectus, we mean Selecta Biosciences, Inc. and its consolidated subsidiaries, unless otherwise specified.</w:t>
      </w:r>
    </w:p>
    <w:p>
      <w:pPr>
        <w:spacing w:after="0" w:line="170" w:lineRule="exact"/>
        <w:rPr>
          <w:sz w:val="20"/>
          <w:szCs w:val="20"/>
          <w:color w:val="auto"/>
        </w:rPr>
      </w:pPr>
    </w:p>
    <w:p>
      <w:pPr>
        <w:ind w:left="120" w:right="220" w:firstLine="440"/>
        <w:spacing w:after="0" w:line="290" w:lineRule="auto"/>
        <w:rPr>
          <w:sz w:val="20"/>
          <w:szCs w:val="20"/>
          <w:color w:val="auto"/>
        </w:rPr>
      </w:pPr>
      <w:r>
        <w:rPr>
          <w:rFonts w:ascii="Arial" w:cs="Arial" w:eastAsia="Arial" w:hAnsi="Arial"/>
          <w:sz w:val="16"/>
          <w:szCs w:val="16"/>
          <w:color w:val="auto"/>
        </w:rPr>
        <w:t>This prospectus describes the terms of this offering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 The information contained in this prospectus or any free writing prospectus, or incorporated by reference herein or therein, is accurate only as of the respective dates thereof, regardless of the time of delivery of this prospectus or of any sale of our shares of common stock. Our business, financial condition, results of operations and prospects may have changed since those dates.</w:t>
      </w:r>
    </w:p>
    <w:p>
      <w:pPr>
        <w:spacing w:after="0" w:line="165"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registration statement of which this prospectus forms a part, including the exhibits to the registration statement, contains additional information about us and the securities offered under this prospectus. The registration statement can be obtained from the SEC’s website, www.sec.gov. Copies of information filed by us with the SEC are also available on our website at www.selectabio.com. The reference to our website is not intended to be an active link and the information on, or that can be accessed through, our website is not, and you must not consider the information to be, a part of this prospectus or any other filings we make with the SEC.</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use our registered trademark, Selecta Biosciences, Inc. in this prospectus. This prospectus, including the documents incorporated by reference into this prospectus, also includes trademarks, tradenames and service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22" w:lineRule="auto"/>
        <w:rPr>
          <w:sz w:val="20"/>
          <w:szCs w:val="20"/>
          <w:color w:val="auto"/>
        </w:rPr>
      </w:pPr>
      <w:r>
        <w:rPr>
          <w:rFonts w:ascii="Arial" w:cs="Arial" w:eastAsia="Arial" w:hAnsi="Arial"/>
          <w:sz w:val="18"/>
          <w:szCs w:val="18"/>
          <w:color w:val="auto"/>
        </w:rPr>
        <w:t xml:space="preserve">marks that are the property of other organizations. Solely for convenience, trademarks and tradenames referred to in this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trademarks and tradenames.</w:t>
      </w:r>
    </w:p>
    <w:p>
      <w:pPr>
        <w:spacing w:after="0" w:line="20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We have not authorized anyone to provide you with information in addition to or different from that contained in this prospectus or any applicable prospectus supplement or free writing prospectus. We take no responsibility for, and can provide no assurance as to the reliability of, any information that others may provide. You should not assume that the information in this prospectus, any applicable prospectus supplement or any free writing prospectus that we have prepared is accurate as of any date other than the date of those documents, and that any information in documents that we have incorporated by reference is accurate only as of the date of such document, regardless of the time of delivery of this prospectus or any prospectus supplement or any sale of a security. Our business, financial condition, results of operations and prospects may have changed since those dates.</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distribution of this prospectus and any applicable prospectus supplement and the offering of the securities in certain jurisdictions may be restricted by law. Persons who obtain this prospectus and any applicable prospectus supplement should inform themselves about, and observe, any such restrictions. This prospectus and any applicable prospectus supplement do not constitute, and may not be used in connection with, an offer or solicitation by anyone in any jurisdiction in which such offer or solicitation is not permitted or in which the person making such offer or solicitation is not qualified to do so or to any person to whom it is unlawful to make such offer or solicitation.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within the meaning of Section 27A of the Securities Act, and Section 21E of the Securities Exchange Act of 1934, as amended, or the Exchange Act.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All forward-looking statements, expressed or implied, included herewith are expressly qualified in their entirety by the cautionary statements contained or referred to herein. The inclusion of forward-looking information in this prospectus and the documents incorporated by reference 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Factors that may affect our results are disclosed in “Risk Factors” beginning on page 8 of this prospectus, and in the documents incorporated by reference into this prospectus and included or incorporated by reference in this prospectus. Some of the risks and uncertainties that may cause our actual results, performance or achievements to differ materially from those expressed include, but are not limited to, the following:</w:t>
      </w:r>
    </w:p>
    <w:p>
      <w:pPr>
        <w:spacing w:after="0" w:line="76"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execute our strategic initiative plans and manage operating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capital needs;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value of our pipeline of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access manufacturing facilities and to receive or manufacture sufficient quantities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maintain our existing or future collaborations or licenses and to seek new collaborations, licenses or partnerships;</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continuing impact of the COVID-19 pandemic on our operations, the continuity of our business, including our preclinical studies and clinical trials, and general economic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U.S. Food and Drug Administration, or FDA, regulation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retain qualified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These forward-looking statements are only predictions based on our current expectations and projections about future events and are subject to a number of risks, uncertainties and assumptions, including those described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w:t>
      </w:r>
      <w:r>
        <w:rPr>
          <w:rFonts w:ascii="Arial" w:cs="Arial" w:eastAsia="Arial" w:hAnsi="Arial"/>
          <w:sz w:val="16"/>
          <w:szCs w:val="16"/>
          <w:i w:val="1"/>
          <w:iCs w:val="1"/>
          <w:color w:val="auto"/>
        </w:rPr>
        <w:t>Risk Factors</w:t>
      </w:r>
      <w:r>
        <w:rPr>
          <w:rFonts w:ascii="Arial" w:cs="Arial" w:eastAsia="Arial" w:hAnsi="Arial"/>
          <w:sz w:val="16"/>
          <w:szCs w:val="16"/>
          <w:color w:val="auto"/>
        </w:rPr>
        <w:t>” and elsewhere in this prospectus. Moreover, we operate in a competitive industry, and new risks emerge from time to time. It is not possible for the management of Selecta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spacing w:after="0" w:line="16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forward-looking statements included in this prospectus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We do not undertake any obligation to update publicly any forward-looking statements for any reason after the date of this prospectus to conform these statements to actual results or to changes in expectations, except as required by law.</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should read this prospectus, the documents that have been filed as exhibits to the registration statement of which this prospectus forms a part, and any accompanying prospectus supplement with the understanding that the actual future results, levels of activity, performance, events and circumstances of Selecta may be materially different from what is expected.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filed with the SEC a registration statement on Form S-3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our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www.sec.gov.</w:t>
      </w:r>
    </w:p>
    <w:p>
      <w:pPr>
        <w:spacing w:after="0" w:line="19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are subject to the information reporting requirements of the Exchange Act, and we file reports, proxy statements and other information with the SEC. These reports, proxy statements and other information are available for review at the SEC’s website at www.sec.gov. We also maintain a website at www.selectabio.com, at which you may access these materials free of charge as soon as reasonably practicable after they are electronically filed with, or furnished to, the SEC. Selecta’s website and the information contained on, or that can be accessed through, such website are not deemed to be incorporated by reference in, and are not considered part of, this prospectus.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SEC allows us to “incorporate by reference” into this prospectus the information in documents we file with the SEC, which means that we can disclose important information to you by referring you to those documents.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into this prospectus, you should rely on the information contained in the document that was filed later. We incorporate by reference (other than any information furnished to, rather than filed with, the SEC, unless expressly stated otherwise therein) the documents listed below (File No. 001-37798 unless otherwise stated), which are considered to be a part of this prospectus:</w:t>
      </w:r>
    </w:p>
    <w:p>
      <w:pPr>
        <w:spacing w:after="0" w:line="84"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2022, filed with the SEC on </w:t>
      </w:r>
      <w:hyperlink r:id="rId27">
        <w:r>
          <w:rPr>
            <w:rFonts w:ascii="Arial" w:cs="Arial" w:eastAsia="Arial" w:hAnsi="Arial"/>
            <w:sz w:val="18"/>
            <w:szCs w:val="18"/>
            <w:u w:val="single" w:color="auto"/>
            <w:color w:val="0000EE"/>
          </w:rPr>
          <w:t>March 2, 2023</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from our Definitive Proxy Statement on Schedule 14A, filed with the SEC on </w:t>
      </w:r>
      <w:hyperlink r:id="rId28">
        <w:r>
          <w:rPr>
            <w:rFonts w:ascii="Arial" w:cs="Arial" w:eastAsia="Arial" w:hAnsi="Arial"/>
            <w:sz w:val="18"/>
            <w:szCs w:val="18"/>
            <w:u w:val="single" w:color="auto"/>
            <w:color w:val="0000EE"/>
          </w:rPr>
          <w:t>April 28, 2023</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2023 and June 30, 2023, filed with the SEC on </w:t>
      </w:r>
      <w:hyperlink r:id="rId29">
        <w:r>
          <w:rPr>
            <w:rFonts w:ascii="Arial" w:cs="Arial" w:eastAsia="Arial" w:hAnsi="Arial"/>
            <w:sz w:val="18"/>
            <w:szCs w:val="18"/>
            <w:u w:val="single" w:color="auto"/>
            <w:color w:val="0000EE"/>
          </w:rPr>
          <w:t>May 4,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0">
        <w:r>
          <w:rPr>
            <w:rFonts w:ascii="Arial" w:cs="Arial" w:eastAsia="Arial" w:hAnsi="Arial"/>
            <w:sz w:val="18"/>
            <w:szCs w:val="18"/>
            <w:u w:val="single" w:color="auto"/>
            <w:color w:val="0000EE"/>
          </w:rPr>
          <w:t>August 17,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80" w:hanging="424"/>
        <w:spacing w:after="0" w:line="277" w:lineRule="auto"/>
        <w:tabs>
          <w:tab w:leader="none" w:pos="1080" w:val="left"/>
        </w:tabs>
        <w:numPr>
          <w:ilvl w:val="0"/>
          <w:numId w:val="2"/>
        </w:numPr>
        <w:rPr>
          <w:rFonts w:ascii="Arial" w:cs="Arial" w:eastAsia="Arial" w:hAnsi="Arial"/>
          <w:sz w:val="18"/>
          <w:szCs w:val="18"/>
          <w:color w:val="0000EE"/>
        </w:rPr>
      </w:pPr>
      <w:hyperlink r:id="rId31">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9,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21,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4,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16,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September 13,</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2023</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32">
        <w:r>
          <w:rPr>
            <w:rFonts w:ascii="Arial" w:cs="Arial" w:eastAsia="Arial" w:hAnsi="Arial"/>
            <w:sz w:val="18"/>
            <w:szCs w:val="18"/>
            <w:u w:val="single" w:color="auto"/>
            <w:color w:val="0000EE"/>
          </w:rPr>
          <w:t>September 25, 2023</w:t>
        </w:r>
      </w:hyperlink>
      <w:hyperlink r:id="rId31">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1080" w:right="1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Form 8-A, filed with the SEC on </w:t>
      </w:r>
      <w:hyperlink r:id="rId33">
        <w:r>
          <w:rPr>
            <w:rFonts w:ascii="Arial" w:cs="Arial" w:eastAsia="Arial" w:hAnsi="Arial"/>
            <w:sz w:val="18"/>
            <w:szCs w:val="18"/>
            <w:u w:val="single" w:color="auto"/>
            <w:color w:val="0000EE"/>
          </w:rPr>
          <w:t>June 8,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any amendment or report filed with the SEC for the purpose of updating the description.</w:t>
      </w:r>
    </w:p>
    <w:p>
      <w:pPr>
        <w:spacing w:after="0" w:line="170" w:lineRule="exact"/>
        <w:rPr>
          <w:rFonts w:ascii="Arial" w:cs="Arial" w:eastAsia="Arial" w:hAnsi="Arial"/>
          <w:sz w:val="18"/>
          <w:szCs w:val="18"/>
          <w:color w:val="0000EE"/>
        </w:rPr>
      </w:pPr>
    </w:p>
    <w:p>
      <w:pPr>
        <w:ind w:left="120" w:right="20" w:firstLine="440"/>
        <w:spacing w:after="0" w:line="263" w:lineRule="auto"/>
        <w:rPr>
          <w:sz w:val="20"/>
          <w:szCs w:val="20"/>
          <w:color w:val="auto"/>
        </w:rPr>
      </w:pPr>
      <w:r>
        <w:rPr>
          <w:rFonts w:ascii="Arial" w:cs="Arial" w:eastAsia="Arial" w:hAnsi="Arial"/>
          <w:sz w:val="18"/>
          <w:szCs w:val="18"/>
          <w:color w:val="auto"/>
        </w:rPr>
        <w:t>All reports and other documents we subsequently file with the SEC under Sections 13(a), 13(c), 14 or 15(d) of the Exchange Act until our offering is completed, including all such reports and other documents filed with the SEC after the date of the initial filing of the registration statement of which this prospectus forms a part and prior</w:t>
      </w:r>
    </w:p>
    <w:p>
      <w:pPr>
        <w:spacing w:after="0" w:line="116"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to the effectiveness of such registration statement, will also be incorporated by reference into this prospectus and deemed to be part hereof (other than any information furnished to, rather than filed with, the SEC, unless expressly stated otherwise therein). The information contained in any such filing will be deemed to be a part of this prospectus commencing on the date on which the document is filed.</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(617) 923-1400</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or any accompanying prospectus supplement.</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9" w:right="6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firstLine="440"/>
        <w:spacing w:after="0" w:line="229" w:lineRule="auto"/>
        <w:rPr>
          <w:sz w:val="20"/>
          <w:szCs w:val="20"/>
          <w:color w:val="auto"/>
        </w:rPr>
      </w:pPr>
      <w:r>
        <w:rPr>
          <w:rFonts w:ascii="Arial" w:cs="Arial" w:eastAsia="Arial" w:hAnsi="Arial"/>
          <w:sz w:val="18"/>
          <w:szCs w:val="18"/>
          <w:color w:val="auto"/>
        </w:rPr>
        <w:t>We are a clinical-stage biotechnology company leveraging our ImmTOR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to develop tolerogenic therapies designed to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We have several proprietary and partnered programs in our pipeline.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filed our certificate of incorporation with the Secretary of State of Delaware on December 10, 2007.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principal executive offices are located at 65 Grove Street, Watertown, MA 02472, and our telephone number is (617) 923-1400.</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320" w:top="459" w:right="5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Investing in securities issued by us involves a high degree of risk. The prospectus supplement applicable to each offering of our securities will contain a discussion of the risks applicable to an investment in our securities. Before deciding whether to invest in our securities, you should consider carefully the risks described under the heading “Risk Factors” in the applicable prospectus supplement and in any of our filings with the SEC that are incorporated by reference therein.</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320" w:top="459" w:right="6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will retain broad discretion over the use of the net proceeds from the sale of our securities offered by this prospectus. Unless we indicate otherwise in the applicable prospectus supplement, we anticipate that any net proceeds will be used for working capital and general corporate purposes, including expenses related to funding research and development expenses for our clinical trials and pre-clinical studies, manufacturing and other costs associated with advancing our product candidates. We will set forth in the applicable prospectus supplement our intended use for the net proceeds received from the sale of any securities sold pursuant to the prospectus supplement. Pending these uses, we intend to invest the net proceeds in short-term U.S. treasury money market mutual funds.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320" w:top="459" w:right="5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as amended, or the Certificate, and our Amended and Restated Bylaws, or the Bylaws, and the applicable provisions of the Delaware General Corporation Law, or the DGCL. Each of our Charter and Bylaws is incorporated by reference as an exhibit to the registration statement of which this prospectus forms a part.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of the date of this prospectus, our authorized capital stock consists of 360,000,000 shares, comprised of 350,000,000 shares of common stock, $0.0001 par value per share, and 10,000,000 shares of preferred stock, $0.0001 par value per share. As of October 20, 2023, there were 155,203,782 shares of our common stock outstanding and no shares of preferred stock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“SELB.”</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common stock are entitled to one vote for each share held on all matters submitted to a vote of stockholders and do</w:t>
      </w:r>
      <w:r>
        <w:rPr>
          <w:rFonts w:ascii="Arial" w:cs="Arial" w:eastAsia="Arial" w:hAnsi="Arial"/>
          <w:sz w:val="17"/>
          <w:szCs w:val="17"/>
          <w:i w:val="1"/>
          <w:iCs w:val="1"/>
          <w:color w:val="auto"/>
        </w:rPr>
        <w:t xml:space="preserve"> </w:t>
      </w:r>
      <w:r>
        <w:rPr>
          <w:rFonts w:ascii="Arial" w:cs="Arial" w:eastAsia="Arial" w:hAnsi="Arial"/>
          <w:sz w:val="17"/>
          <w:szCs w:val="17"/>
          <w:color w:val="auto"/>
        </w:rPr>
        <w:t>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Certificate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Certificate.</w:t>
      </w:r>
    </w:p>
    <w:p>
      <w:pPr>
        <w:spacing w:after="0" w:line="17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Rights upon Liquidation</w:t>
      </w:r>
      <w:r>
        <w:rPr>
          <w:rFonts w:ascii="Arial" w:cs="Arial" w:eastAsia="Arial" w:hAnsi="Arial"/>
          <w:sz w:val="18"/>
          <w:szCs w:val="18"/>
          <w:color w:val="auto"/>
        </w:rPr>
        <w:t>. In the event of our liquidation or dissolution, the holders of common stock are entitled to receive proportionately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distribution to stockholders after the payment of all debts and other liabilities and subject to the prior rights of any outstanding preferred stock</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Holders of common stock are entitled to receive proportionately any dividends as may be declared by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preferential dividend rights of outstanding preferred stock.</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common stock have no preemptive, subscription, redemption or conversion rights. The rights, preferences and privileges</w:t>
      </w:r>
      <w:r>
        <w:rPr>
          <w:rFonts w:ascii="Arial" w:cs="Arial" w:eastAsia="Arial" w:hAnsi="Arial"/>
          <w:sz w:val="18"/>
          <w:szCs w:val="18"/>
          <w:i w:val="1"/>
          <w:iCs w:val="1"/>
          <w:color w:val="auto"/>
        </w:rPr>
        <w:t xml:space="preserve"> </w:t>
      </w:r>
      <w:r>
        <w:rPr>
          <w:rFonts w:ascii="Arial" w:cs="Arial" w:eastAsia="Arial" w:hAnsi="Arial"/>
          <w:sz w:val="18"/>
          <w:szCs w:val="18"/>
          <w:color w:val="auto"/>
        </w:rPr>
        <w:t>of holders of common stock are subject to and may be adversely affected by the rights of the holders of shares of any series of preferred stock that we may designate and issue in the future.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Transfer Agent. </w:t>
      </w:r>
      <w:r>
        <w:rPr>
          <w:rFonts w:ascii="Arial" w:cs="Arial" w:eastAsia="Arial" w:hAnsi="Arial"/>
          <w:sz w:val="18"/>
          <w:szCs w:val="18"/>
          <w:color w:val="auto"/>
        </w:rPr>
        <w:t>The transfer agent and registrar for our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Pursuant to the Certificate, our board of directors has the authority, without stockholder approval, subject to limitations prescribed by law, to provide for the issuance of up to 10,000,000 shares of preferred stock in one or more series, and by filing a certificate pursuant to the applicable law of the State of Delaware, to establish from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14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this prospectus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63"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dividends are cumulative or non-cumulative and, if cumulative, the date from which dividends will accumulate;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such deferral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procedures for auction and remarketing,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will be convertible into common stock, including the conversion price (or manner of calculation) and conversion period;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the liquidation, dissolution or winding up of our affairs;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preferred stock.</w:t>
      </w:r>
    </w:p>
    <w:p>
      <w:pPr>
        <w:spacing w:after="0" w:line="225"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Our board of directors could authorize the issuance of shares of preferred stock with terms and conditions that could have the effect of discouraging a takeover or other transaction that might involve a premium price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any series of preferred stock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Certain holders our common stock or their transferees are entitled to the following rights with respect to the registration of such shares for public resale under the Securities Act.</w:t>
      </w:r>
    </w:p>
    <w:p>
      <w:pPr>
        <w:spacing w:after="0" w:line="170"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These registration rights are granted pursuant to a registration rights agreement, or the 2020 Registration Rights Agreement, we entered into in connection with the private placement of 5,416,390 shares of our common stock, or the 2020 Private Placement, which closed on July 31, 2020.</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Registration Rights Agreement</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Holders of registrable securities under the 2020 Registration Rights Agreement, as amended,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Any time we propose to register any shares of our common stock under the Securities Act,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8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If the holders of registrable securities request in writing that we effect a registration with respect to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securities, we will be required to effect such registration.</w:t>
      </w:r>
    </w:p>
    <w:p>
      <w:pPr>
        <w:spacing w:after="0" w:line="170"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Ordinarily, other than underwriting discounts and commissions, we will be required to pay all expenses incurred by us related to any</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Termination of Registration Rights</w:t>
      </w:r>
      <w:r>
        <w:rPr>
          <w:rFonts w:ascii="Arial" w:cs="Arial" w:eastAsia="Arial" w:hAnsi="Arial"/>
          <w:sz w:val="18"/>
          <w:szCs w:val="18"/>
          <w:color w:val="auto"/>
        </w:rPr>
        <w:t>. The registration rights terminate upon the earlier of (i) such time as there are no longer any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held by the purchaser, its affiliates or permitted transferees and (ii) such time as all of the securities can otherwise be sold without regard to the volume or manner-of-sale restrictions pursuant to Rule 144.</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Some provisions of the DGCL, our Certificate and our Bylaws could make the following transactions more difficult: an acquisition of us by means of a tender offer; an acquisition of us by means of a proxy contest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Undesignated Preferred Stock</w:t>
      </w:r>
      <w:r>
        <w:rPr>
          <w:rFonts w:ascii="Arial" w:cs="Arial" w:eastAsia="Arial" w:hAnsi="Arial"/>
          <w:sz w:val="18"/>
          <w:szCs w:val="18"/>
          <w:color w:val="auto"/>
        </w:rPr>
        <w:t>. The ability of our board of directors, without action by the stockholders, to issue up to 10,000,000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87"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i w:val="1"/>
          <w:iCs w:val="1"/>
          <w:color w:val="auto"/>
        </w:rPr>
        <w:t>Stockholder Meetings</w:t>
      </w:r>
      <w:r>
        <w:rPr>
          <w:rFonts w:ascii="Arial" w:cs="Arial" w:eastAsia="Arial" w:hAnsi="Arial"/>
          <w:sz w:val="16"/>
          <w:szCs w:val="16"/>
          <w:color w:val="auto"/>
        </w:rPr>
        <w:t>. Our Bylaws provide that a special meeting of stockholders may be called only by our chairman of the board,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or president (in the absence of a chief executive officer), or by a resolution adopted by a majority of our board of directors.</w:t>
      </w:r>
    </w:p>
    <w:p>
      <w:pPr>
        <w:spacing w:after="0" w:line="124"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i w:val="1"/>
          <w:iCs w:val="1"/>
          <w:color w:val="auto"/>
        </w:rPr>
        <w:t>Requirements for Advance Notification of Stockholder Nominations and Proposals</w:t>
      </w:r>
      <w:r>
        <w:rPr>
          <w:rFonts w:ascii="Arial" w:cs="Arial" w:eastAsia="Arial" w:hAnsi="Arial"/>
          <w:sz w:val="17"/>
          <w:szCs w:val="17"/>
          <w:color w:val="auto"/>
        </w:rPr>
        <w:t>. Our Bylaws establish advance notice procedures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6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Elimination of Stockholder Action by Written Consent</w:t>
      </w:r>
      <w:r>
        <w:rPr>
          <w:rFonts w:ascii="Arial" w:cs="Arial" w:eastAsia="Arial" w:hAnsi="Arial"/>
          <w:sz w:val="18"/>
          <w:szCs w:val="18"/>
          <w:color w:val="auto"/>
        </w:rPr>
        <w:t>. Our Certificate eliminates the right of stockholders to act by written consent without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i w:val="1"/>
          <w:iCs w:val="1"/>
          <w:color w:val="auto"/>
        </w:rPr>
        <w:t>Staggered Board</w:t>
      </w:r>
      <w:r>
        <w:rPr>
          <w:rFonts w:ascii="Arial" w:cs="Arial" w:eastAsia="Arial" w:hAnsi="Arial"/>
          <w:sz w:val="16"/>
          <w:szCs w:val="16"/>
          <w:color w:val="auto"/>
        </w:rPr>
        <w:t>. Our board of directors is divided into three classes. The directors in each class will serve for a three-year term, one class being</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4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Our Certificate provides that no member of our board of directors may be removed from office by our stockholders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for cause and, in addition to any other vote required by law, upon the approval of the holders of at least two-thirds in voting power of the outstanding shares of stock entitled to vote in the election of directors.</w:t>
      </w:r>
    </w:p>
    <w:p>
      <w:pPr>
        <w:spacing w:after="0" w:line="184"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i w:val="1"/>
          <w:iCs w:val="1"/>
          <w:color w:val="auto"/>
        </w:rPr>
        <w:t>Stockholders Not Entitled to Cumulative Voting</w:t>
      </w:r>
      <w:r>
        <w:rPr>
          <w:rFonts w:ascii="Arial" w:cs="Arial" w:eastAsia="Arial" w:hAnsi="Arial"/>
          <w:sz w:val="17"/>
          <w:szCs w:val="17"/>
          <w:color w:val="auto"/>
        </w:rPr>
        <w:t>. Our Certificate does not permit stockholders to cumulate their votes in the election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are subject to Section 203 of the DGCL, which prohibits persons deemed to be “interested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i w:val="1"/>
          <w:iCs w:val="1"/>
          <w:color w:val="auto"/>
        </w:rPr>
        <w:t>Choice of Forum</w:t>
      </w:r>
      <w:r>
        <w:rPr>
          <w:rFonts w:ascii="Arial" w:cs="Arial" w:eastAsia="Arial" w:hAnsi="Arial"/>
          <w:sz w:val="16"/>
          <w:szCs w:val="16"/>
          <w:color w:val="auto"/>
        </w:rPr>
        <w:t>. Our Certificate provides that, unless we consent in writing to the selection of an alternative form, the Court of Chancery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or Bylaws; or</w:t>
      </w:r>
    </w:p>
    <w:p>
      <w:pPr>
        <w:spacing w:after="0" w:line="1" w:lineRule="exact"/>
        <w:rPr>
          <w:sz w:val="20"/>
          <w:szCs w:val="20"/>
          <w:color w:val="auto"/>
        </w:rPr>
      </w:pPr>
    </w:p>
    <w:p>
      <w:pPr>
        <w:ind w:left="120" w:hanging="4"/>
        <w:spacing w:after="0" w:line="253"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 Our Certificate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is inapplicable or unenforceable if it is challenged in a proceeding or otherwise.</w:t>
      </w:r>
    </w:p>
    <w:p>
      <w:pPr>
        <w:spacing w:after="0" w:line="193"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i w:val="1"/>
          <w:iCs w:val="1"/>
          <w:color w:val="auto"/>
        </w:rPr>
        <w:t>Amendment of Certificate</w:t>
      </w:r>
      <w:r>
        <w:rPr>
          <w:rFonts w:ascii="Arial" w:cs="Arial" w:eastAsia="Arial" w:hAnsi="Arial"/>
          <w:sz w:val="18"/>
          <w:szCs w:val="18"/>
          <w:color w:val="auto"/>
        </w:rPr>
        <w:t>. The amendment of any of the above provisions in our Certificate, except for the provision making it possible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to issue preferred stock and the provision prohibiting cumulative voting, would require approval by holders of at least two-thirds in voting power of the outstanding shares of stock entitled to vote thereon.</w:t>
      </w:r>
    </w:p>
    <w:p>
      <w:pPr>
        <w:spacing w:after="0" w:line="184"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provisions of the DGCL, our Certificate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320" w:top="459" w:right="5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used in this section only, “Selecta,” “we,” “our” or “us” refer to Selecta Biosciences, Inc. excluding our subsidiaries, unless expressly stated or the context otherwise requires.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54"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6"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will set forth in the applicable prospectus supplement any restrictive covenants applicable to any issue of debt securities. (Article IV)</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080" w:right="28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Selecta) is a corporation organized and validly existing under the laws of any U.S. domestic jurisdiction and expressly assumes our obligations on the debt securities and under the indenture;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Notwithstanding the above, any of our subsidiaries may consolidate with, merge into or transfer all or part of its properties to us. (Section 5.1)</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100" w:hanging="424"/>
        <w:spacing w:after="0" w:line="30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Selecta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Selecta;</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70"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and in compliance with the indenture that withholding notice is in the interest of the holders of those debt securities. (Section 7.5)</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70"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 applicable series of debt securities,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discharged from any and all obligations in respect of the debt securities of any series (subject to certain exceptions). We will be so discharged upon the irrevocable deposit with the trustee,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w:t>
      </w:r>
    </w:p>
    <w:p>
      <w:pPr>
        <w:spacing w:after="0" w:line="76" w:lineRule="exact"/>
        <w:rPr>
          <w:sz w:val="20"/>
          <w:szCs w:val="20"/>
          <w:color w:val="auto"/>
        </w:rPr>
      </w:pPr>
    </w:p>
    <w:p>
      <w:pPr>
        <w:ind w:left="1080" w:right="1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80" w:right="20" w:hanging="424"/>
        <w:spacing w:after="0" w:line="273"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7"/>
          <w:szCs w:val="17"/>
          <w:color w:val="auto"/>
        </w:rPr>
      </w:pPr>
    </w:p>
    <w:p>
      <w:pPr>
        <w:ind w:left="1080" w:right="4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59" w:right="5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1080" w:right="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warrants;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receive notice as shareholders with respect to any meeting of shareholders for the election of our directors or any other matter;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exercise any rights as shareholders of Selecta.</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5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320" w:top="459" w:right="5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320" w:top="459" w:right="5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such circumstances, in the event that a successor depositary is not obtained, securities certificates are required to be printed and delivered.</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1080" w:right="22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6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sell the securities offered under this prospectus from time to time pursuant to underwritten public offerings, negotiated transactions, block trades or a combination of these methods or through underwriters, dealers or agents or directly to one or more purchasers. The securities may be distributed from time to time in one or more transactions (or in any combination) at:</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each type and series of securities offered, the applicable prospectus supplement will set forth the terms of the offering, including, without limitation:</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names of any underwriters, dealers or agents and the amount of securities underwritten or purchased by each of them, if any;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proceeds from the sale of securities to us and the use of proceeds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underwriting discounts, concessions, commissions, agency fees or other compensation payable to underwriters, dealers or agents;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repaid to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offering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securities exchanges on which the securities will be listed, if any.</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may grant underwriters options to purchase additional securities at the public offering price, with additional underwriting commissions or discounts, as applicable, set forth in the prospectus supplement. The terms of any such option will be set forth in the prospectus supplement for those securities.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Underwriters or agents may make sales in privately negotiated transactions and/or any other method permitted by law, including sales deemed to be an “at-the-market” offering as defined in Rule 415 under the Securities Act, which includes sales made directly on Nasdaq, the existing trading market for our common stock, or sales made to or through a market maker other than on an exchange.</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may issue to our existing security holders, though a dividend or similar distribution, rights to purchase shares of our common stock or preferred stock, which may or may not be transferable. In any distribution of rights to our existing security holders, if all of the underlying securities are not subscribed for, we may then sell the unsubscribed securities directly to third parties or may engage the services of one or more underwriters, dealers or agents, including standby underwriters, to facilitate the distribution of the unsubscribed securities. The applicable prospectus supplement will describe the specific terms of any offering of our common stock or preferred stock through the issuance of rights including, if applicable, the material terms of any standby underwriting agreement or purchase agreement.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Through Underwriters, Dealers or Agents; Direct Sales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If we use underwriters in any sale of securities offered under this prospectus, the underwriters will buy the securities for their own account, including through underwriting, purchase, security lending or repurchase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agreements with us. The underwriters may then resell the securities in one or more transactions at a fixed public offering price or at varying prices determined at the time of sale or thereafter. Unless otherwise indicated in the prospectus supplement, the obligations of the underwriters to purchase the securities will be subject to certain conditions and the underwriters will be obligated to purchase all the securities offered if they purchase any securities. The public offering price for the securities and any discounts or concessions allowed or re-allowed or paid to dealers may be changed from time to time.</w:t>
      </w:r>
    </w:p>
    <w:p>
      <w:pPr>
        <w:spacing w:after="0" w:line="15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we use dealers in any sale of securities offered under this prospectus, the securities will be sold to such dealers as principals. The dealers may then resell the securities to the public at varying prices to be determined by such dealers at the time of resale.</w:t>
      </w:r>
    </w:p>
    <w:p>
      <w:pPr>
        <w:spacing w:after="0" w:line="170"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If agents are used in any sale of securities offered under this prospectus, they will use their reasonable best efforts to solicit purchases for the period of their appointment or to sell our securities on a continuing basis. If required, the prospectus supplement relating to any particular offering of securities will name any agents designated to solicit offers and will include information about any commissions they may be paid in that offering.</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securities offered under this prospectus are sold directly, no underwriters, dealers or agents would be involved.</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are not making an offer of securities in any state that does not permit such an offer. If we sell securities through dealers or agents, or directly, the terms of any such sales will be described in the applicable prospectus supplement.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Delayed Delivery Contracts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may authorize underwriters, dealers or agents to solicit offers from certain institutions whereby the institution contractually agrees to purchase the securities offered under this prospectus from us on a future date at a specific price. This type of contract may be made only with institutions that we specifically approve. Such institutions could include banks, insurance companies, pension funds, investment companies and educational and charitable institutions. The underwriters, dealers or agents will not be responsible for the validity or performance of these contracts. The prospectus supplement relating to the contracts will set forth the price to be paid for offered securities pursuant to such contracts, the commission payable for solicitation of the contracts and the date or dates in the future for delivery of offered securities pursuant to the contracts.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 Making, Stabilization and Other Transactions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issue of a new series of securities, other than issuances of our common stock, will not have an established trading market, except as indicated in the applicable prospectus supplement. Unless indicated in the applicable prospectus supplement, we do not expect to list the offered securities on a securities exchange, except for our common stock, which is listed on Nasdaq. We can provide no assurance as to whether any of our securities will have a liquid trading market.</w:t>
      </w:r>
    </w:p>
    <w:p>
      <w:pPr>
        <w:spacing w:after="0" w:line="18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order to facilitate the offering of any of the securities offered under this prospectus, the underwriters with respect to any such offering may, as described in the prospectus supplement and in accordance with applicable law, engage in transactions that stabilize, maintain or otherwise affect the price of the securities or any other securities the prices of which may be used to determine payments on these securities. Stabilizing transactions involve bids to purchase the underlying security in the open market for the purpose of preventing or delaying a decline in the price of the securities. Syndicate covering transactions involve purchases of the securities in the open market after the distribution has been completed in order to cover syndicate short positions. Penalty bids permit the underwriters to reclaim a selling concession from a syndicate member when the securities originally sold by the syndicate member are purchased in a stabilizing or syndicate covering transaction to cover syndicate short positions. Any of these activities may have the effect of raising or maintaining the market price of our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securities or preventing or delaying a decline in the market price of our securities. As a result, the market price of the securities may be higher than it otherwise would be in the absence of these transactions. The underwriters are not required to engage in these activities, and may end any of these activities at any time, all as described in the applicable prospectus supplement.</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Any person participating in the distribution of securities will be subject to applicable provisions of the Exchange Act and the rules and regulations under the Exchange Act, including Regulation M, which may limit the timing of transactions involving the securities offered under this prospectus. Furthermore, Regulation M may restrict the ability of any person engaged in the distribution of such securities to engage in market-making activities with respect to the particular securities being distributed. All of the above may affect the marketability of the securities offered under this prospectus and the ability of any person or entity to engage in market-making activities with respect to such securities.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Derivative Transactions and Hedging</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the underwriters or other agents engaged by us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Electronic Auctions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which we will provide in a prospectus supplement.</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expect that any agreements we may have with underwriters, dealers and agents will include provisions indemnifying them against certain civil liabilities, including certain liabilities under the Securities Act,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providing for contribution with respect to payments that they may be required to make. An underwriter, dealer or agent, or any of their affiliates, may be a customer of, or otherwise engage in transactions with or perform services for us in the ordinary course of business.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specific terms of any lock-up provisions with respect to any given offering will be described in the applicable prospectus supplement.</w:t>
      </w:r>
    </w:p>
    <w:p>
      <w:pPr>
        <w:spacing w:after="0" w:line="23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the securities laws of various states, the securities offered under this prospectus may be sold in those states only through registered or licensed brokers or dealers. In addition, in various states the securities offered under this prospectus may not be offered and sold unless such securities have been registered or qualified for sale in the state or an exemption from such registration or qualification is available. We are not making an offer of securities in any state that does not permit such an offer.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Unless otherwise indicated in the applicable prospectus supplement, the validity of the securities will be passed upon for us by Covington &amp; Burling LLP, Boston, Massachusetts. If legal matters are passed upon by counsel for the underwriters, dealers or agents, if any, such counsel will be named in the prospectus supplement relating to such offering.</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consolidated financial statements of Selecta Biosciences, Inc. appearing in Selecta Biosciences, Inc.’s Annual Report (Form 10-K) for the year ended December 31, 2022, have been audited by Ernst &amp; Young LLP, independent registered public accounting firm, as set forth in their report thereon, included therein, and incorporated herein by reference. Such consolidated financial statements are, and audited consolidated financial statements to be included in subsequently filed documents will be, incorporated herein in reliance upon the reports of Ernst &amp; Young LLP pertaining to such consolidated financial statements (to the extent covered by consents filed with the Securities and Exchange Commission) given on the authority of such firm as experts in accounting and auditing.</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320" w:top="459" w:right="5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is an estimate, other than with respect to the SEC registration fee, of the expenses (all of which are to be paid by the registrant) that we may incur in connection with the securities being registered hereby.</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Printing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Blue Sky, qualification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20320</wp:posOffset>
            </wp:positionV>
            <wp:extent cx="474916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Transfer agent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Trustee and depositary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27940</wp:posOffset>
            </wp:positionV>
            <wp:extent cx="474916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Warrant agent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25" w:hanging="125"/>
        <w:spacing w:after="0"/>
        <w:tabs>
          <w:tab w:leader="none" w:pos="1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29,520</w:t>
      </w:r>
    </w:p>
    <w:p>
      <w:pPr>
        <w:spacing w:after="0" w:line="46" w:lineRule="exact"/>
        <w:rPr>
          <w:rFonts w:ascii="Arial" w:cs="Arial" w:eastAsia="Arial" w:hAnsi="Arial"/>
          <w:sz w:val="16"/>
          <w:szCs w:val="16"/>
          <w:color w:val="auto"/>
        </w:rPr>
      </w:pPr>
    </w:p>
    <w:p>
      <w:pPr>
        <w:ind w:left="125" w:hanging="125"/>
        <w:spacing w:after="0"/>
        <w:tabs>
          <w:tab w:leader="none" w:pos="1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30,500</w:t>
      </w:r>
    </w:p>
    <w:p>
      <w:pPr>
        <w:spacing w:after="0" w:line="32" w:lineRule="exact"/>
        <w:rPr>
          <w:sz w:val="20"/>
          <w:szCs w:val="20"/>
          <w:color w:val="auto"/>
        </w:rPr>
      </w:pPr>
    </w:p>
    <w:p>
      <w:pPr>
        <w:ind w:left="525" w:hanging="525"/>
        <w:spacing w:after="0"/>
        <w:tabs>
          <w:tab w:leader="none" w:pos="5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25" w:hanging="525"/>
        <w:spacing w:after="0"/>
        <w:tabs>
          <w:tab w:leader="none" w:pos="5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525" w:hanging="525"/>
        <w:spacing w:after="0"/>
        <w:tabs>
          <w:tab w:leader="none" w:pos="5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3943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3943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3943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445"/>
          </w:cols>
          <w:pgMar w:left="320" w:top="459" w:right="459" w:bottom="1440" w:gutter="0" w:footer="0" w:header="0"/>
          <w:type w:val="continuous"/>
        </w:sectPr>
      </w:pPr>
    </w:p>
    <w:p>
      <w:pPr>
        <w:spacing w:after="0" w:line="10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These fees are calculated based on the securities offered and the number of issuances and accordingly cannot be estimated at this time.</w:t>
      </w:r>
    </w:p>
    <w:p>
      <w:pPr>
        <w:spacing w:after="0" w:line="38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8"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Section 145 further provides that to the extent a director or officer of a corporation has been successful on the merits or otherwise in the defense of any action, suit or proceeding referred to in subsections (a) and (b)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81"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w:t>
      </w:r>
    </w:p>
    <w:p>
      <w:pPr>
        <w:spacing w:after="0" w:line="2" w:lineRule="exact"/>
        <w:rPr>
          <w:sz w:val="20"/>
          <w:szCs w:val="20"/>
          <w:color w:val="auto"/>
        </w:rPr>
      </w:pPr>
    </w:p>
    <w:p>
      <w:pPr>
        <w:ind w:left="120" w:right="100" w:hanging="4"/>
        <w:spacing w:after="0" w:line="260" w:lineRule="auto"/>
        <w:tabs>
          <w:tab w:leader="none" w:pos="3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under Section 174 of the DGCL, or (iv) for any transaction from which the director derived an improper personal benefit.</w:t>
      </w:r>
    </w:p>
    <w:p>
      <w:pPr>
        <w:spacing w:after="0" w:line="18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restated certificate of incorporation, as amended, provides that to the fullest extent permitted by the DGCL, none of our directors shall be liable to our company or our stockholders for monetary damages arising from a breach of fiduciary duty owed to our company or our stockholders. In addition, 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our company or our subsidiaries.</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our restated certificate of incorporation, our amended and restated bylaws, any agreement, any vote of stockholders or disinterested directors or otherwise.</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purchased and intend to maintain insurance on behalf of Selecta Biosciences and any person who is or was a director or officer against any loss arising from any claim asserted against him or her and incurred by him or her in that capacity, subject to certain exclusions and limits of the amount of coverage.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9"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160" w:type="dxa"/>
            <w:vAlign w:val="bottom"/>
            <w:gridSpan w:val="15"/>
          </w:tcPr>
          <w:p>
            <w:pPr>
              <w:ind w:left="22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69"/>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0" w:type="dxa"/>
            <w:vAlign w:val="bottom"/>
            <w:gridSpan w:val="12"/>
            <w:vMerge w:val="restart"/>
          </w:tcPr>
          <w:p>
            <w:pPr>
              <w:ind w:left="1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700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860" w:type="dxa"/>
            <w:vAlign w:val="bottom"/>
            <w:gridSpan w:val="2"/>
          </w:tcPr>
          <w:p>
            <w:pPr>
              <w:spacing w:after="0"/>
              <w:rPr>
                <w:sz w:val="20"/>
                <w:szCs w:val="20"/>
                <w:color w:val="auto"/>
              </w:rPr>
            </w:pPr>
            <w:r>
              <w:rPr>
                <w:rFonts w:ascii="Arial" w:cs="Arial" w:eastAsia="Arial" w:hAnsi="Arial"/>
                <w:sz w:val="18"/>
                <w:szCs w:val="18"/>
                <w:color w:val="auto"/>
              </w:rPr>
              <w:t> 1.1*</w:t>
            </w:r>
          </w:p>
        </w:tc>
        <w:tc>
          <w:tcPr>
            <w:tcW w:w="40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860" w:type="dxa"/>
            <w:vAlign w:val="bottom"/>
            <w:gridSpan w:val="2"/>
          </w:tcPr>
          <w:p>
            <w:pPr>
              <w:spacing w:after="0"/>
              <w:rPr>
                <w:sz w:val="20"/>
                <w:szCs w:val="20"/>
                <w:color w:val="auto"/>
              </w:rPr>
            </w:pPr>
            <w:r>
              <w:rPr>
                <w:rFonts w:ascii="Arial" w:cs="Arial" w:eastAsia="Arial" w:hAnsi="Arial"/>
                <w:sz w:val="18"/>
                <w:szCs w:val="18"/>
                <w:color w:val="auto"/>
              </w:rPr>
              <w:t> 3.1</w:t>
            </w:r>
          </w:p>
        </w:tc>
        <w:tc>
          <w:tcPr>
            <w:tcW w:w="400" w:type="dxa"/>
            <w:vAlign w:val="bottom"/>
          </w:tcPr>
          <w:p>
            <w:pPr>
              <w:spacing w:after="0"/>
              <w:rPr>
                <w:sz w:val="24"/>
                <w:szCs w:val="24"/>
                <w:color w:val="auto"/>
              </w:rPr>
            </w:pPr>
          </w:p>
        </w:tc>
        <w:tc>
          <w:tcPr>
            <w:tcW w:w="9680" w:type="dxa"/>
            <w:vAlign w:val="bottom"/>
            <w:tcBorders>
              <w:bottom w:val="single" w:sz="8" w:color="0000EE"/>
            </w:tcBorders>
            <w:gridSpan w:val="12"/>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Certificate of Incorporation of Selecta Biosciences, Inc. (incorporated by reference to Exhibit 3.1 of the Company’s Current Report on</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Form 8-K (File No. 001-37798), filed with the SEC on June 29, 2016).</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 3.2</w:t>
            </w:r>
          </w:p>
        </w:tc>
        <w:tc>
          <w:tcPr>
            <w:tcW w:w="400" w:type="dxa"/>
            <w:vAlign w:val="bottom"/>
          </w:tcPr>
          <w:p>
            <w:pPr>
              <w:spacing w:after="0"/>
              <w:rPr>
                <w:sz w:val="24"/>
                <w:szCs w:val="24"/>
                <w:color w:val="auto"/>
              </w:rPr>
            </w:pPr>
          </w:p>
        </w:tc>
        <w:tc>
          <w:tcPr>
            <w:tcW w:w="9200" w:type="dxa"/>
            <w:vAlign w:val="bottom"/>
            <w:tcBorders>
              <w:bottom w:val="single" w:sz="8" w:color="0000EE"/>
            </w:tcBorders>
            <w:gridSpan w:val="10"/>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Certificate of Amendment to the Restated Certificate of Incorporation of Selecta Biosciences, Inc. (incorporated by reference to</w:t>
              </w:r>
            </w:hyperlink>
          </w:p>
        </w:tc>
        <w:tc>
          <w:tcPr>
            <w:tcW w:w="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60" w:type="dxa"/>
            <w:vAlign w:val="bottom"/>
            <w:gridSpan w:val="14"/>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Exhibit 3.1 of the Company’s Current Report on Form 8-K (File No. 001-37798), filed with the SEC on June 21, 2022).</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 3.3</w:t>
            </w:r>
          </w:p>
        </w:tc>
        <w:tc>
          <w:tcPr>
            <w:tcW w:w="40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Amended and Restated Bylaws of Selecta Biosciences, Inc. (incorporated by reference to Exhibit 3.2 of the Company’s Current Report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on Form 8-K (File No. 001-37798), filed with the SEC on August 19, 2022).</w:t>
              </w:r>
            </w:hyperlink>
          </w:p>
        </w:tc>
        <w:tc>
          <w:tcPr>
            <w:tcW w:w="420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 4.1</w:t>
            </w:r>
          </w:p>
        </w:tc>
        <w:tc>
          <w:tcPr>
            <w:tcW w:w="400" w:type="dxa"/>
            <w:vAlign w:val="bottom"/>
          </w:tcPr>
          <w:p>
            <w:pPr>
              <w:spacing w:after="0"/>
              <w:rPr>
                <w:sz w:val="24"/>
                <w:szCs w:val="24"/>
                <w:color w:val="auto"/>
              </w:rPr>
            </w:pPr>
          </w:p>
        </w:tc>
        <w:tc>
          <w:tcPr>
            <w:tcW w:w="9760" w:type="dxa"/>
            <w:vAlign w:val="bottom"/>
            <w:gridSpan w:val="14"/>
          </w:tcPr>
          <w:p>
            <w:pPr>
              <w:spacing w:after="0"/>
              <w:rPr>
                <w:rFonts w:ascii="Arial" w:cs="Arial" w:eastAsia="Arial" w:hAnsi="Arial"/>
                <w:sz w:val="18"/>
                <w:szCs w:val="18"/>
                <w:color w:val="0000EE"/>
                <w:w w:val="93"/>
              </w:rPr>
            </w:pPr>
            <w:hyperlink r:id="rId78">
              <w:r>
                <w:rPr>
                  <w:rFonts w:ascii="Arial" w:cs="Arial" w:eastAsia="Arial" w:hAnsi="Arial"/>
                  <w:sz w:val="18"/>
                  <w:szCs w:val="18"/>
                  <w:color w:val="0000EE"/>
                  <w:w w:val="93"/>
                </w:rPr>
                <w:t>Form of Specimen Certificate Representing Common Stock (incorporated by reference to Exhibit 4.2 of the Company’s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Statement on Form S-1 (Reg. No. 333-211555), filed with the SEC on May 24, 2016).</w:t>
              </w:r>
            </w:hyperlink>
          </w:p>
        </w:tc>
        <w:tc>
          <w:tcPr>
            <w:tcW w:w="3340" w:type="dxa"/>
            <w:vAlign w:val="bottom"/>
            <w:tcBorders>
              <w:top w:val="single" w:sz="8" w:color="0000EE"/>
            </w:tcBorders>
            <w:gridSpan w:val="3"/>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Arial" w:cs="Arial" w:eastAsia="Arial" w:hAnsi="Arial"/>
                <w:sz w:val="18"/>
                <w:szCs w:val="18"/>
                <w:color w:val="auto"/>
              </w:rPr>
              <w:t> 4.2</w:t>
            </w:r>
          </w:p>
        </w:tc>
        <w:tc>
          <w:tcPr>
            <w:tcW w:w="40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0000EE"/>
              </w:rPr>
              <w:t>Form of Indenture.</w:t>
            </w:r>
          </w:p>
        </w:tc>
        <w:tc>
          <w:tcPr>
            <w:tcW w:w="0" w:type="dxa"/>
            <w:vAlign w:val="bottom"/>
          </w:tcPr>
          <w:p>
            <w:pPr>
              <w:spacing w:after="0"/>
              <w:rPr>
                <w:sz w:val="1"/>
                <w:szCs w:val="1"/>
                <w:color w:val="auto"/>
              </w:rPr>
            </w:pPr>
          </w:p>
        </w:tc>
      </w:tr>
      <w:tr>
        <w:trPr>
          <w:trHeight w:val="344"/>
        </w:trPr>
        <w:tc>
          <w:tcPr>
            <w:tcW w:w="860" w:type="dxa"/>
            <w:vAlign w:val="bottom"/>
            <w:gridSpan w:val="2"/>
          </w:tcPr>
          <w:p>
            <w:pPr>
              <w:spacing w:after="0"/>
              <w:rPr>
                <w:sz w:val="20"/>
                <w:szCs w:val="20"/>
                <w:color w:val="auto"/>
              </w:rPr>
            </w:pPr>
            <w:r>
              <w:rPr>
                <w:rFonts w:ascii="Arial" w:cs="Arial" w:eastAsia="Arial" w:hAnsi="Arial"/>
                <w:sz w:val="18"/>
                <w:szCs w:val="18"/>
                <w:color w:val="auto"/>
              </w:rPr>
              <w:t> 4.3*</w:t>
            </w:r>
          </w:p>
        </w:tc>
        <w:tc>
          <w:tcPr>
            <w:tcW w:w="400" w:type="dxa"/>
            <w:vAlign w:val="bottom"/>
          </w:tcPr>
          <w:p>
            <w:pPr>
              <w:spacing w:after="0"/>
              <w:rPr>
                <w:sz w:val="24"/>
                <w:szCs w:val="24"/>
                <w:color w:val="auto"/>
              </w:rPr>
            </w:pPr>
          </w:p>
        </w:tc>
        <w:tc>
          <w:tcPr>
            <w:tcW w:w="13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Form of Note.</w:t>
            </w:r>
          </w:p>
        </w:tc>
        <w:tc>
          <w:tcPr>
            <w:tcW w:w="8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 4.4*</w:t>
            </w:r>
          </w:p>
        </w:tc>
        <w:tc>
          <w:tcPr>
            <w:tcW w:w="40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 4.5*</w:t>
            </w:r>
          </w:p>
        </w:tc>
        <w:tc>
          <w:tcPr>
            <w:tcW w:w="40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 4.6*</w:t>
            </w:r>
          </w:p>
        </w:tc>
        <w:tc>
          <w:tcPr>
            <w:tcW w:w="40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283"/>
        </w:trPr>
        <w:tc>
          <w:tcPr>
            <w:tcW w:w="860" w:type="dxa"/>
            <w:vAlign w:val="bottom"/>
            <w:gridSpan w:val="2"/>
          </w:tcPr>
          <w:p>
            <w:pPr>
              <w:spacing w:after="0"/>
              <w:rPr>
                <w:sz w:val="20"/>
                <w:szCs w:val="20"/>
                <w:color w:val="auto"/>
              </w:rPr>
            </w:pPr>
            <w:r>
              <w:rPr>
                <w:rFonts w:ascii="Arial" w:cs="Arial" w:eastAsia="Arial" w:hAnsi="Arial"/>
                <w:sz w:val="18"/>
                <w:szCs w:val="18"/>
                <w:color w:val="auto"/>
              </w:rPr>
              <w:t> 5.1</w:t>
            </w:r>
          </w:p>
        </w:tc>
        <w:tc>
          <w:tcPr>
            <w:tcW w:w="40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0000EE"/>
              </w:rPr>
              <w:t>Opinion of Covington &amp; Burling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4"/>
              </w:rPr>
              <w:t>Consent of Covington &amp; Burling LLP (included in Exhibit 5.1).</w:t>
            </w:r>
          </w:p>
        </w:tc>
        <w:tc>
          <w:tcPr>
            <w:tcW w:w="51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40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0000EE"/>
              </w:rPr>
              <w:t>Powers of Attorney (incorporated by reference to the signature page hereto).</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00" w:type="dxa"/>
            <w:vAlign w:val="bottom"/>
            <w:gridSpan w:val="5"/>
            <w:shd w:val="clear" w:color="auto" w:fill="0000EE"/>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w w:val="97"/>
              </w:rPr>
              <w:t>25.1**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60" w:type="dxa"/>
            <w:vAlign w:val="bottom"/>
            <w:gridSpan w:val="14"/>
          </w:tcPr>
          <w:p>
            <w:pPr>
              <w:spacing w:after="0"/>
              <w:rPr>
                <w:sz w:val="20"/>
                <w:szCs w:val="20"/>
                <w:color w:val="auto"/>
              </w:rPr>
            </w:pPr>
            <w:r>
              <w:rPr>
                <w:rFonts w:ascii="Arial" w:cs="Arial" w:eastAsia="Arial" w:hAnsi="Arial"/>
                <w:sz w:val="18"/>
                <w:szCs w:val="18"/>
                <w:color w:val="auto"/>
              </w:rPr>
              <w:t>Form T-1 Statement of Eligibility and Qualification under the Trust Indenture Act of 1939 of Trustee for Form of Indenture.</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80" w:hanging="1264"/>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52"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w:t>
      </w:r>
    </w:p>
    <w:p>
      <w:pPr>
        <w:spacing w:after="0" w:line="23"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35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left="800" w:hanging="244"/>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100" w:right="380" w:firstLine="408"/>
        <w:spacing w:after="0" w:line="277" w:lineRule="auto"/>
        <w:tabs>
          <w:tab w:leader="none" w:pos="1766"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3" w:lineRule="auto"/>
        <w:rPr>
          <w:sz w:val="20"/>
          <w:szCs w:val="20"/>
          <w:color w:val="auto"/>
        </w:rPr>
      </w:pPr>
      <w:r>
        <w:rPr>
          <w:rFonts w:ascii="Arial" w:cs="Arial" w:eastAsia="Arial" w:hAnsi="Arial"/>
          <w:sz w:val="17"/>
          <w:szCs w:val="17"/>
          <w:color w:val="auto"/>
        </w:rPr>
        <w:t>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and</w:t>
      </w:r>
    </w:p>
    <w:p>
      <w:pPr>
        <w:spacing w:after="0" w:line="70" w:lineRule="exact"/>
        <w:rPr>
          <w:sz w:val="20"/>
          <w:szCs w:val="20"/>
          <w:color w:val="auto"/>
        </w:rPr>
      </w:pPr>
    </w:p>
    <w:p>
      <w:pPr>
        <w:ind w:left="1100" w:right="60" w:firstLine="408"/>
        <w:spacing w:after="0" w:line="277" w:lineRule="auto"/>
        <w:tabs>
          <w:tab w:leader="none" w:pos="18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79" w:lineRule="exact"/>
        <w:rPr>
          <w:sz w:val="20"/>
          <w:szCs w:val="20"/>
          <w:color w:val="auto"/>
        </w:rPr>
      </w:pPr>
    </w:p>
    <w:p>
      <w:pPr>
        <w:jc w:val="both"/>
        <w:ind w:left="560" w:right="20" w:firstLine="419"/>
        <w:spacing w:after="0" w:line="263" w:lineRule="auto"/>
        <w:tabs>
          <w:tab w:leader="none" w:pos="12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560" w:right="200" w:firstLine="419"/>
        <w:spacing w:after="0" w:line="277" w:lineRule="auto"/>
        <w:tabs>
          <w:tab w:leader="none" w:pos="12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left="1240" w:hanging="261"/>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100" w:right="200" w:firstLine="408"/>
        <w:spacing w:after="0" w:line="277" w:lineRule="auto"/>
        <w:tabs>
          <w:tab w:leader="none" w:pos="1796"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100" w:right="60" w:firstLine="408"/>
        <w:spacing w:after="0" w:line="269" w:lineRule="auto"/>
        <w:tabs>
          <w:tab w:leader="none" w:pos="1786" w:val="left"/>
        </w:tabs>
        <w:numPr>
          <w:ilvl w:val="1"/>
          <w:numId w:val="37"/>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0" w:lineRule="exact"/>
        <w:rPr>
          <w:rFonts w:ascii="Arial" w:cs="Arial" w:eastAsia="Arial" w:hAnsi="Arial"/>
          <w:sz w:val="17"/>
          <w:szCs w:val="17"/>
          <w:color w:val="auto"/>
        </w:rPr>
      </w:pPr>
    </w:p>
    <w:p>
      <w:pPr>
        <w:ind w:left="560" w:right="80" w:firstLine="419"/>
        <w:spacing w:after="0" w:line="277" w:lineRule="auto"/>
        <w:tabs>
          <w:tab w:leader="none" w:pos="12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62" w:lineRule="exact"/>
        <w:rPr>
          <w:sz w:val="20"/>
          <w:szCs w:val="20"/>
          <w:color w:val="auto"/>
        </w:rPr>
      </w:pPr>
    </w:p>
    <w:p>
      <w:pPr>
        <w:ind w:left="1100" w:right="40" w:firstLine="401"/>
        <w:spacing w:after="0" w:line="263"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following communications, the undersigned registrant will be a seller to the purchaser and will be considered to offer or sell such securities to such purchaser:</w:t>
      </w:r>
    </w:p>
    <w:p>
      <w:pPr>
        <w:spacing w:after="0" w:line="62" w:lineRule="exact"/>
        <w:rPr>
          <w:sz w:val="20"/>
          <w:szCs w:val="20"/>
          <w:color w:val="auto"/>
        </w:rPr>
      </w:pPr>
    </w:p>
    <w:p>
      <w:pPr>
        <w:ind w:left="1100" w:right="340" w:firstLine="408"/>
        <w:spacing w:after="0" w:line="277" w:lineRule="auto"/>
        <w:tabs>
          <w:tab w:leader="none" w:pos="17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100" w:right="180" w:firstLine="408"/>
        <w:spacing w:after="0" w:line="277" w:lineRule="auto"/>
        <w:tabs>
          <w:tab w:leader="none" w:pos="176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100" w:right="200" w:firstLine="408"/>
        <w:spacing w:after="0" w:line="277" w:lineRule="auto"/>
        <w:tabs>
          <w:tab w:leader="none" w:pos="18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820" w:hanging="312"/>
        <w:spacing w:after="0"/>
        <w:tabs>
          <w:tab w:leader="none" w:pos="1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225" w:lineRule="exact"/>
        <w:rPr>
          <w:rFonts w:ascii="Arial" w:cs="Arial" w:eastAsia="Arial" w:hAnsi="Arial"/>
          <w:sz w:val="18"/>
          <w:szCs w:val="18"/>
          <w:color w:val="auto"/>
        </w:rPr>
      </w:pPr>
    </w:p>
    <w:p>
      <w:pPr>
        <w:ind w:left="120" w:right="20" w:firstLine="436"/>
        <w:spacing w:after="0" w:line="257"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sz w:val="20"/>
          <w:szCs w:val="20"/>
          <w:color w:val="auto"/>
        </w:rPr>
      </w:pPr>
    </w:p>
    <w:p>
      <w:pPr>
        <w:ind w:left="120" w:right="20" w:firstLine="436"/>
        <w:spacing w:after="0" w:line="271" w:lineRule="auto"/>
        <w:tabs>
          <w:tab w:leader="none" w:pos="8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120" w:right="260" w:firstLine="436"/>
        <w:spacing w:after="0" w:line="263" w:lineRule="auto"/>
        <w:tabs>
          <w:tab w:leader="none" w:pos="7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Watertown, Massachusetts, on October 25, 2023.</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Each of the undersigned officers and directors of the registrant hereby severally constitutes and appoints Carsten Brunn, Ph.D. and Blaine Davis,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8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2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1880" w:type="dxa"/>
            <w:vAlign w:val="bottom"/>
          </w:tcPr>
          <w:p>
            <w:pPr>
              <w:spacing w:after="0"/>
              <w:rPr>
                <w:sz w:val="14"/>
                <w:szCs w:val="14"/>
                <w:color w:val="auto"/>
              </w:rPr>
            </w:pPr>
          </w:p>
        </w:tc>
        <w:tc>
          <w:tcPr>
            <w:tcW w:w="158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rPr>
              <w:t>DATE</w:t>
            </w:r>
          </w:p>
        </w:tc>
      </w:tr>
      <w:tr>
        <w:trPr>
          <w:trHeight w:val="20"/>
        </w:trPr>
        <w:tc>
          <w:tcPr>
            <w:tcW w:w="20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CARSTEN BRUNN, PH.D.</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w:t>
            </w:r>
          </w:p>
        </w:tc>
        <w:tc>
          <w:tcPr>
            <w:tcW w:w="1580" w:type="dxa"/>
            <w:vAlign w:val="bottom"/>
            <w:gridSpan w:val="3"/>
          </w:tcPr>
          <w:p>
            <w:pPr>
              <w:jc w:val="center"/>
              <w:ind w:left="253"/>
              <w:spacing w:after="0"/>
              <w:rPr>
                <w:sz w:val="20"/>
                <w:szCs w:val="20"/>
                <w:color w:val="auto"/>
              </w:rPr>
            </w:pPr>
            <w:r>
              <w:rPr>
                <w:rFonts w:ascii="Arial" w:cs="Arial" w:eastAsia="Arial" w:hAnsi="Arial"/>
                <w:sz w:val="18"/>
                <w:szCs w:val="18"/>
                <w:color w:val="auto"/>
                <w:w w:val="89"/>
              </w:rPr>
              <w:t>October 25,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1"/>
              </w:rPr>
              <w:t>Carsten Brunn, Ph.D.</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Director (Principal Executive Officer)</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BLAINE DAVIS</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Officer</w:t>
            </w:r>
          </w:p>
        </w:tc>
        <w:tc>
          <w:tcPr>
            <w:tcW w:w="1580" w:type="dxa"/>
            <w:vAlign w:val="bottom"/>
            <w:gridSpan w:val="3"/>
          </w:tcPr>
          <w:p>
            <w:pPr>
              <w:jc w:val="center"/>
              <w:ind w:left="253"/>
              <w:spacing w:after="0"/>
              <w:rPr>
                <w:sz w:val="20"/>
                <w:szCs w:val="20"/>
                <w:color w:val="auto"/>
              </w:rPr>
            </w:pPr>
            <w:r>
              <w:rPr>
                <w:rFonts w:ascii="Arial" w:cs="Arial" w:eastAsia="Arial" w:hAnsi="Arial"/>
                <w:sz w:val="18"/>
                <w:szCs w:val="18"/>
                <w:color w:val="auto"/>
                <w:w w:val="89"/>
              </w:rPr>
              <w:t>October 25,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1"/>
              </w:rPr>
              <w:t>Blaine Davis</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and Principal Accounting Officer)</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CARRIE S. COX</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c>
          <w:tcPr>
            <w:tcW w:w="1580" w:type="dxa"/>
            <w:vAlign w:val="bottom"/>
            <w:gridSpan w:val="3"/>
          </w:tcPr>
          <w:p>
            <w:pPr>
              <w:jc w:val="center"/>
              <w:ind w:left="253"/>
              <w:spacing w:after="0"/>
              <w:rPr>
                <w:sz w:val="20"/>
                <w:szCs w:val="20"/>
                <w:color w:val="auto"/>
              </w:rPr>
            </w:pPr>
            <w:r>
              <w:rPr>
                <w:rFonts w:ascii="Arial" w:cs="Arial" w:eastAsia="Arial" w:hAnsi="Arial"/>
                <w:sz w:val="18"/>
                <w:szCs w:val="18"/>
                <w:color w:val="auto"/>
                <w:w w:val="89"/>
              </w:rPr>
              <w:t>October 25,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2"/>
              </w:rPr>
              <w:t>Carrie S. Cox</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TIMOTHY C. BARABE</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253"/>
              <w:spacing w:after="0"/>
              <w:rPr>
                <w:sz w:val="20"/>
                <w:szCs w:val="20"/>
                <w:color w:val="auto"/>
              </w:rPr>
            </w:pPr>
            <w:r>
              <w:rPr>
                <w:rFonts w:ascii="Arial" w:cs="Arial" w:eastAsia="Arial" w:hAnsi="Arial"/>
                <w:sz w:val="18"/>
                <w:szCs w:val="18"/>
                <w:color w:val="auto"/>
                <w:w w:val="89"/>
              </w:rPr>
              <w:t>October 25,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0"/>
              </w:rPr>
              <w:t>Timothy C. Barabe</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NISHAN DE SILVA, M.D.</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253"/>
              <w:spacing w:after="0"/>
              <w:rPr>
                <w:sz w:val="20"/>
                <w:szCs w:val="20"/>
                <w:color w:val="auto"/>
              </w:rPr>
            </w:pPr>
            <w:r>
              <w:rPr>
                <w:rFonts w:ascii="Arial" w:cs="Arial" w:eastAsia="Arial" w:hAnsi="Arial"/>
                <w:sz w:val="18"/>
                <w:szCs w:val="18"/>
                <w:color w:val="auto"/>
                <w:w w:val="89"/>
              </w:rPr>
              <w:t>October 25, 2023</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2"/>
              </w:rPr>
              <w:t>Nishan de Silva, M.D.</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4"/>
        </w:trPr>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160" w:type="dxa"/>
            <w:vAlign w:val="bottom"/>
            <w:gridSpan w:val="3"/>
          </w:tcPr>
          <w:p>
            <w:pPr>
              <w:ind w:left="400"/>
              <w:spacing w:after="0"/>
              <w:rPr>
                <w:sz w:val="20"/>
                <w:szCs w:val="20"/>
                <w:color w:val="auto"/>
              </w:rPr>
            </w:pPr>
            <w:r>
              <w:rPr>
                <w:rFonts w:ascii="Arial" w:cs="Arial" w:eastAsia="Arial" w:hAnsi="Arial"/>
                <w:sz w:val="18"/>
                <w:szCs w:val="18"/>
                <w:color w:val="auto"/>
              </w:rPr>
              <w:t>II-6</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43" w:name="page44"/>
    <w:bookmarkEnd w:id="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spacing w:after="0"/>
              <w:rPr>
                <w:sz w:val="20"/>
                <w:szCs w:val="20"/>
                <w:color w:val="auto"/>
              </w:rPr>
            </w:pPr>
            <w:r>
              <w:rPr>
                <w:rFonts w:ascii="Arial" w:cs="Arial" w:eastAsia="Arial" w:hAnsi="Arial"/>
                <w:sz w:val="18"/>
                <w:szCs w:val="18"/>
                <w:b w:val="1"/>
                <w:bCs w:val="1"/>
                <w:color w:val="0000EE"/>
              </w:rPr>
              <w:t>Table of Contents</w:t>
            </w:r>
          </w:p>
        </w:tc>
        <w:tc>
          <w:tcPr>
            <w:tcW w:w="260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1150"/>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SCOTT D. MYERS</w:t>
            </w:r>
          </w:p>
        </w:tc>
        <w:tc>
          <w:tcPr>
            <w:tcW w:w="26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900"/>
              <w:spacing w:after="0"/>
              <w:rPr>
                <w:sz w:val="20"/>
                <w:szCs w:val="20"/>
                <w:color w:val="auto"/>
              </w:rPr>
            </w:pPr>
            <w:r>
              <w:rPr>
                <w:rFonts w:ascii="Arial" w:cs="Arial" w:eastAsia="Arial" w:hAnsi="Arial"/>
                <w:sz w:val="18"/>
                <w:szCs w:val="18"/>
                <w:color w:val="auto"/>
                <w:w w:val="87"/>
              </w:rPr>
              <w:t>October 25, 2023</w:t>
            </w:r>
          </w:p>
        </w:tc>
      </w:tr>
      <w:tr>
        <w:trPr>
          <w:trHeight w:val="224"/>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720" w:type="dxa"/>
            <w:vAlign w:val="bottom"/>
          </w:tcPr>
          <w:p>
            <w:pPr>
              <w:jc w:val="center"/>
              <w:ind w:right="1150"/>
              <w:spacing w:after="0"/>
              <w:rPr>
                <w:sz w:val="20"/>
                <w:szCs w:val="20"/>
                <w:color w:val="auto"/>
              </w:rPr>
            </w:pPr>
            <w:r>
              <w:rPr>
                <w:rFonts w:ascii="Arial" w:cs="Arial" w:eastAsia="Arial" w:hAnsi="Arial"/>
                <w:sz w:val="18"/>
                <w:szCs w:val="18"/>
                <w:color w:val="auto"/>
                <w:w w:val="91"/>
              </w:rPr>
              <w:t>Scott D. Myers</w:t>
            </w:r>
          </w:p>
        </w:tc>
        <w:tc>
          <w:tcPr>
            <w:tcW w:w="26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1150"/>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AYMERIC SALLIN</w:t>
            </w:r>
          </w:p>
        </w:tc>
        <w:tc>
          <w:tcPr>
            <w:tcW w:w="26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900"/>
              <w:spacing w:after="0"/>
              <w:rPr>
                <w:sz w:val="20"/>
                <w:szCs w:val="20"/>
                <w:color w:val="auto"/>
              </w:rPr>
            </w:pPr>
            <w:r>
              <w:rPr>
                <w:rFonts w:ascii="Arial" w:cs="Arial" w:eastAsia="Arial" w:hAnsi="Arial"/>
                <w:sz w:val="18"/>
                <w:szCs w:val="18"/>
                <w:color w:val="auto"/>
                <w:w w:val="87"/>
              </w:rPr>
              <w:t>October 25, 2023</w:t>
            </w:r>
          </w:p>
        </w:tc>
      </w:tr>
      <w:tr>
        <w:trPr>
          <w:trHeight w:val="224"/>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720" w:type="dxa"/>
            <w:vAlign w:val="bottom"/>
          </w:tcPr>
          <w:p>
            <w:pPr>
              <w:jc w:val="center"/>
              <w:ind w:right="1150"/>
              <w:spacing w:after="0"/>
              <w:rPr>
                <w:sz w:val="20"/>
                <w:szCs w:val="20"/>
                <w:color w:val="auto"/>
              </w:rPr>
            </w:pPr>
            <w:r>
              <w:rPr>
                <w:rFonts w:ascii="Arial" w:cs="Arial" w:eastAsia="Arial" w:hAnsi="Arial"/>
                <w:sz w:val="18"/>
                <w:szCs w:val="18"/>
                <w:color w:val="auto"/>
                <w:w w:val="94"/>
              </w:rPr>
              <w:t>Aymeric Sallin</w:t>
            </w:r>
          </w:p>
        </w:tc>
        <w:tc>
          <w:tcPr>
            <w:tcW w:w="26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4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TIMOTHY SPRINGER, PH.D.</w:t>
            </w:r>
          </w:p>
        </w:tc>
        <w:tc>
          <w:tcPr>
            <w:tcW w:w="26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900"/>
              <w:spacing w:after="0"/>
              <w:rPr>
                <w:sz w:val="20"/>
                <w:szCs w:val="20"/>
                <w:color w:val="auto"/>
              </w:rPr>
            </w:pPr>
            <w:r>
              <w:rPr>
                <w:rFonts w:ascii="Arial" w:cs="Arial" w:eastAsia="Arial" w:hAnsi="Arial"/>
                <w:sz w:val="18"/>
                <w:szCs w:val="18"/>
                <w:color w:val="auto"/>
                <w:w w:val="87"/>
              </w:rPr>
              <w:t>October 25, 2023</w:t>
            </w:r>
          </w:p>
        </w:tc>
      </w:tr>
      <w:tr>
        <w:trPr>
          <w:trHeight w:val="224"/>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720" w:type="dxa"/>
            <w:vAlign w:val="bottom"/>
          </w:tcPr>
          <w:p>
            <w:pPr>
              <w:jc w:val="center"/>
              <w:ind w:right="1150"/>
              <w:spacing w:after="0"/>
              <w:rPr>
                <w:sz w:val="20"/>
                <w:szCs w:val="20"/>
                <w:color w:val="auto"/>
              </w:rPr>
            </w:pPr>
            <w:r>
              <w:rPr>
                <w:rFonts w:ascii="Arial" w:cs="Arial" w:eastAsia="Arial" w:hAnsi="Arial"/>
                <w:sz w:val="18"/>
                <w:szCs w:val="18"/>
                <w:color w:val="auto"/>
                <w:w w:val="91"/>
              </w:rPr>
              <w:t>Timothy Springer, Ph.D.</w:t>
            </w:r>
          </w:p>
        </w:tc>
        <w:tc>
          <w:tcPr>
            <w:tcW w:w="26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1150"/>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PATRICK ZENNER</w:t>
            </w:r>
          </w:p>
        </w:tc>
        <w:tc>
          <w:tcPr>
            <w:tcW w:w="26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900"/>
              <w:spacing w:after="0"/>
              <w:rPr>
                <w:sz w:val="20"/>
                <w:szCs w:val="20"/>
                <w:color w:val="auto"/>
              </w:rPr>
            </w:pPr>
            <w:r>
              <w:rPr>
                <w:rFonts w:ascii="Arial" w:cs="Arial" w:eastAsia="Arial" w:hAnsi="Arial"/>
                <w:sz w:val="18"/>
                <w:szCs w:val="18"/>
                <w:color w:val="auto"/>
                <w:w w:val="87"/>
              </w:rPr>
              <w:t>October 25, 2023</w:t>
            </w:r>
          </w:p>
        </w:tc>
      </w:tr>
      <w:tr>
        <w:trPr>
          <w:trHeight w:val="224"/>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720" w:type="dxa"/>
            <w:vAlign w:val="bottom"/>
          </w:tcPr>
          <w:p>
            <w:pPr>
              <w:jc w:val="center"/>
              <w:ind w:right="1150"/>
              <w:spacing w:after="0"/>
              <w:rPr>
                <w:sz w:val="20"/>
                <w:szCs w:val="20"/>
                <w:color w:val="auto"/>
              </w:rPr>
            </w:pPr>
            <w:r>
              <w:rPr>
                <w:rFonts w:ascii="Arial" w:cs="Arial" w:eastAsia="Arial" w:hAnsi="Arial"/>
                <w:sz w:val="18"/>
                <w:szCs w:val="18"/>
                <w:color w:val="auto"/>
                <w:w w:val="92"/>
              </w:rPr>
              <w:t>Patrick Zenner</w:t>
            </w:r>
          </w:p>
        </w:tc>
        <w:tc>
          <w:tcPr>
            <w:tcW w:w="260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00" w:type="dxa"/>
            <w:vAlign w:val="bottom"/>
          </w:tcPr>
          <w:p>
            <w:pPr>
              <w:ind w:left="400"/>
              <w:spacing w:after="0"/>
              <w:rPr>
                <w:sz w:val="20"/>
                <w:szCs w:val="20"/>
                <w:color w:val="auto"/>
              </w:rPr>
            </w:pPr>
            <w:r>
              <w:rPr>
                <w:rFonts w:ascii="Arial" w:cs="Arial" w:eastAsia="Arial" w:hAnsi="Arial"/>
                <w:sz w:val="18"/>
                <w:szCs w:val="18"/>
                <w:color w:val="auto"/>
              </w:rPr>
              <w:t>II-7</w:t>
            </w:r>
          </w:p>
        </w:tc>
        <w:tc>
          <w:tcPr>
            <w:tcW w:w="3140" w:type="dxa"/>
            <w:vAlign w:val="bottom"/>
          </w:tcPr>
          <w:p>
            <w:pPr>
              <w:spacing w:after="0"/>
              <w:rPr>
                <w:sz w:val="24"/>
                <w:szCs w:val="24"/>
                <w:color w:val="auto"/>
              </w:rPr>
            </w:pPr>
          </w:p>
        </w:tc>
      </w:tr>
    </w:tbl>
    <w:p>
      <w:pPr>
        <w:sectPr>
          <w:pgSz w:w="11900" w:h="16838" w:orient="portrait"/>
          <w:cols w:equalWidth="0" w:num="1">
            <w:col w:w="10820"/>
          </w:cols>
          <w:pgMar w:left="320" w:top="446" w:right="7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80" w:type="dxa"/>
            <w:vAlign w:val="bottom"/>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68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1.1.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1.2. Other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1.3. Incorporation by Reference of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1.4. Rules of Construction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ARTICLE II.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2.1. Issuable in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2.2. Establishment of Terms of Series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2.3. Execution and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2.4. Registrar and Paying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2.5. Paying Agent to Hold Money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2.6. Securityholder Lists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2.7. 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2.8. Mutilated, Destroyed, Lost and Stolen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2.9. Outstanding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2.10. Treasury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2.11. Temporary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2.12. Cancellation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2.13. Defaulted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2.14. Global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2.15. CUSIP Numbers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ARTICLE III.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3.1. Notice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3.2. Selection of Securities to be Redeemed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3.3. 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3.4. Effect of 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3.5. Deposit of Redemption Price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3.6. Securities Redeemed in Part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ARTICLE IV.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4.1. Payment of Principal and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4.2. SEC 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4.3. Compliance Certificate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4.4. Stay, Extension and Usury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0680" w:type="dxa"/>
            <w:vAlign w:val="bottom"/>
          </w:tcPr>
          <w:p>
            <w:pPr>
              <w:spacing w:after="0"/>
              <w:rPr>
                <w:sz w:val="20"/>
                <w:szCs w:val="20"/>
                <w:color w:val="auto"/>
              </w:rPr>
            </w:pPr>
            <w:r>
              <w:rPr>
                <w:rFonts w:ascii="Arial" w:cs="Arial" w:eastAsia="Arial" w:hAnsi="Arial"/>
                <w:sz w:val="18"/>
                <w:szCs w:val="18"/>
                <w:color w:val="auto"/>
              </w:rPr>
              <w:t>ARTICLE V. SUCCESSORS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80" w:type="dxa"/>
            <w:vAlign w:val="bottom"/>
          </w:tcPr>
          <w:p>
            <w:pPr>
              <w:ind w:left="360"/>
              <w:spacing w:after="0"/>
              <w:rPr>
                <w:sz w:val="20"/>
                <w:szCs w:val="20"/>
                <w:color w:val="auto"/>
              </w:rPr>
            </w:pPr>
            <w:r>
              <w:rPr>
                <w:rFonts w:ascii="Arial" w:cs="Arial" w:eastAsia="Arial" w:hAnsi="Arial"/>
                <w:sz w:val="18"/>
                <w:szCs w:val="18"/>
                <w:color w:val="auto"/>
              </w:rPr>
              <w:t>Section 5.1. When Company May Merge,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0680" w:type="dxa"/>
            <w:vAlign w:val="bottom"/>
          </w:tcPr>
          <w:p>
            <w:pPr>
              <w:ind w:left="360"/>
              <w:spacing w:after="0"/>
              <w:rPr>
                <w:sz w:val="20"/>
                <w:szCs w:val="20"/>
                <w:color w:val="auto"/>
              </w:rPr>
            </w:pPr>
            <w:r>
              <w:rPr>
                <w:rFonts w:ascii="Arial" w:cs="Arial" w:eastAsia="Arial" w:hAnsi="Arial"/>
                <w:sz w:val="18"/>
                <w:szCs w:val="18"/>
                <w:color w:val="auto"/>
              </w:rPr>
              <w:t>Section 5.2. Successor Corporation Substituted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ARTICLE VI. DEFAULTS AND REMEDIES</w:t>
            </w:r>
          </w:p>
        </w:tc>
        <w:tc>
          <w:tcPr>
            <w:tcW w:w="2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6.1. Events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6.2. Acceleration of Maturity; Rescission and Annulment</w:t>
            </w:r>
          </w:p>
        </w:tc>
        <w:tc>
          <w:tcPr>
            <w:tcW w:w="2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6.3. Collection of Indebtedness and Suits for Enforcement by Trustee</w:t>
            </w:r>
          </w:p>
        </w:tc>
        <w:tc>
          <w:tcPr>
            <w:tcW w:w="2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6.4. Trustee May File Proofs of Claim</w:t>
            </w:r>
          </w:p>
        </w:tc>
        <w:tc>
          <w:tcPr>
            <w:tcW w:w="2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6.5. Trustee May Enforce Claims Without Possession of Securities</w:t>
            </w:r>
          </w:p>
        </w:tc>
        <w:tc>
          <w:tcPr>
            <w:tcW w:w="2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6.6. Application of Money Collected</w:t>
            </w:r>
          </w:p>
        </w:tc>
        <w:tc>
          <w:tcPr>
            <w:tcW w:w="2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6.7. Limitation on Suits</w:t>
            </w:r>
          </w:p>
        </w:tc>
        <w:tc>
          <w:tcPr>
            <w:tcW w:w="2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6.8. Unconditional Right of Holders to Receive Principal and Interest</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6.9. Restoration of Rights and Remedies</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6.10. Rights and Remedies Cumulative</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6.11. Delay or Omission Not Waiver</w:t>
            </w:r>
          </w:p>
        </w:tc>
        <w:tc>
          <w:tcPr>
            <w:tcW w:w="2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6.12. Control by Holders</w:t>
            </w:r>
          </w:p>
        </w:tc>
        <w:tc>
          <w:tcPr>
            <w:tcW w:w="2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6.13. Waiver of Past Defaults</w:t>
            </w:r>
          </w:p>
        </w:tc>
        <w:tc>
          <w:tcPr>
            <w:tcW w:w="2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Section 6.14. Undertaking for Costs</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8360" w:type="dxa"/>
            <w:vAlign w:val="bottom"/>
          </w:tcPr>
          <w:p>
            <w:pPr>
              <w:spacing w:after="0"/>
              <w:rPr>
                <w:sz w:val="20"/>
                <w:szCs w:val="20"/>
                <w:color w:val="auto"/>
              </w:rPr>
            </w:pPr>
            <w:r>
              <w:rPr>
                <w:rFonts w:ascii="Arial" w:cs="Arial" w:eastAsia="Arial" w:hAnsi="Arial"/>
                <w:sz w:val="18"/>
                <w:szCs w:val="18"/>
                <w:color w:val="auto"/>
              </w:rPr>
              <w:t>ARTICLE VII. TRUSTEE</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7.1. Duties of Trustee</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7.2. Rights of Trustee</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7.3. Individual Rights of Trustee</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7.4. Trustee’s Disclaimer</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7.5. Notice of Defaults</w:t>
            </w:r>
          </w:p>
        </w:tc>
        <w:tc>
          <w:tcPr>
            <w:tcW w:w="2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7.6. Reports by Trustee to Holders</w:t>
            </w:r>
          </w:p>
        </w:tc>
        <w:tc>
          <w:tcPr>
            <w:tcW w:w="2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7.7. Compensation and Indemnity</w:t>
            </w:r>
          </w:p>
        </w:tc>
        <w:tc>
          <w:tcPr>
            <w:tcW w:w="2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7.8. Replacement of Trustee</w:t>
            </w: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7.9. Successor Trustee by Merger, Etc.</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7.10. Eligibility; Disqualification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Section 7.11. Preferential Collection of Claims Against Company</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8360" w:type="dxa"/>
            <w:vAlign w:val="bottom"/>
          </w:tcPr>
          <w:p>
            <w:pPr>
              <w:spacing w:after="0"/>
              <w:rPr>
                <w:sz w:val="20"/>
                <w:szCs w:val="20"/>
                <w:color w:val="auto"/>
              </w:rPr>
            </w:pPr>
            <w:r>
              <w:rPr>
                <w:rFonts w:ascii="Arial" w:cs="Arial" w:eastAsia="Arial" w:hAnsi="Arial"/>
                <w:sz w:val="18"/>
                <w:szCs w:val="18"/>
                <w:color w:val="auto"/>
              </w:rPr>
              <w:t>ARTICLE VIII. SATISFACTION AND DISCHARGE; DEFEASANCE</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8.1. Satisfaction and Discharge of Indenture</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8.2. Application of Trust Funds; Indemnification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8.3. Legal Defeasance of Securities of any Series</w:t>
            </w:r>
          </w:p>
        </w:tc>
        <w:tc>
          <w:tcPr>
            <w:tcW w:w="2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8.4. Covenant Defeasance</w:t>
            </w:r>
          </w:p>
        </w:tc>
        <w:tc>
          <w:tcPr>
            <w:tcW w:w="2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8.5. Repayment to Company</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Section 8.6. Reinstatement</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8360" w:type="dxa"/>
            <w:vAlign w:val="bottom"/>
          </w:tcPr>
          <w:p>
            <w:pPr>
              <w:spacing w:after="0"/>
              <w:rPr>
                <w:sz w:val="20"/>
                <w:szCs w:val="20"/>
                <w:color w:val="auto"/>
              </w:rPr>
            </w:pPr>
            <w:r>
              <w:rPr>
                <w:rFonts w:ascii="Arial" w:cs="Arial" w:eastAsia="Arial" w:hAnsi="Arial"/>
                <w:sz w:val="18"/>
                <w:szCs w:val="18"/>
                <w:color w:val="auto"/>
              </w:rPr>
              <w:t>ARTICLE IX. AMENDMENTS AND WAIVERS</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9.1. Without Consent of Holders</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9.2. With Consent of Holders</w:t>
            </w:r>
          </w:p>
        </w:tc>
        <w:tc>
          <w:tcPr>
            <w:tcW w:w="2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9.3. Limitations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9.4. Compliance with Trust Indenture Act</w:t>
            </w:r>
          </w:p>
        </w:tc>
        <w:tc>
          <w:tcPr>
            <w:tcW w:w="2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9.5. Revocation and Effect of Consents</w:t>
            </w:r>
          </w:p>
        </w:tc>
        <w:tc>
          <w:tcPr>
            <w:tcW w:w="2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Section 9.6. Notation on or Exchange of Securities</w:t>
            </w:r>
          </w:p>
        </w:tc>
        <w:tc>
          <w:tcPr>
            <w:tcW w:w="2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Section 9.7. Trustee Protected</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ARTICLE X. MISCELLANEOUS</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10.1. Trust Indenture Act Controls</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10.2. Notices</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10.3. Communication by Holders with Other Holders</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10.4. Certificate and Opinion as to Conditions Precedent</w:t>
            </w:r>
          </w:p>
        </w:tc>
        <w:tc>
          <w:tcPr>
            <w:tcW w:w="2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10.5. Statements Required in Certificate or Opinion</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10.6. Rules by Trustee and Agents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10.7. Legal Holidays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10.8. No Recourse Against Others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10.9. Counterparts</w:t>
            </w:r>
          </w:p>
        </w:tc>
        <w:tc>
          <w:tcPr>
            <w:tcW w:w="2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10.10. Governing Law; Waiver of Jury Trial; Consent to Jurisdiction</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10.11. No Adverse Interpretation of Other Agreements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10.12. Successors</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10.13. Severability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10.14. Table of Contents, Headings, Etc.</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10.15. Securities in a Foreign Currency</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10.16. Judgment Currency</w:t>
            </w:r>
          </w:p>
        </w:tc>
        <w:tc>
          <w:tcPr>
            <w:tcW w:w="2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10.17. Force Majeure</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Section 10.18. U.S.A. Patriot Act</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8320" w:type="dxa"/>
            <w:vAlign w:val="bottom"/>
          </w:tcPr>
          <w:p>
            <w:pPr>
              <w:spacing w:after="0"/>
              <w:rPr>
                <w:sz w:val="20"/>
                <w:szCs w:val="20"/>
                <w:color w:val="auto"/>
              </w:rPr>
            </w:pPr>
            <w:r>
              <w:rPr>
                <w:rFonts w:ascii="Arial" w:cs="Arial" w:eastAsia="Arial" w:hAnsi="Arial"/>
                <w:sz w:val="18"/>
                <w:szCs w:val="18"/>
                <w:color w:val="auto"/>
              </w:rPr>
              <w:t>ARTICLE XI. SINKING FUNDS</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11.1. Applicability of Article</w:t>
            </w:r>
          </w:p>
        </w:tc>
        <w:tc>
          <w:tcPr>
            <w:tcW w:w="2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Section 11.2. Satisfaction of Sinking Fund Payments with Securities</w:t>
            </w:r>
          </w:p>
        </w:tc>
        <w:tc>
          <w:tcPr>
            <w:tcW w:w="2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Section 11.3. Redemption of Securities for Sinking Fund</w:t>
            </w:r>
          </w:p>
        </w:tc>
        <w:tc>
          <w:tcPr>
            <w:tcW w:w="26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48" w:name="page49"/>
    <w:bookmarkEnd w:id="48"/>
    <w:tbl>
      <w:tblPr>
        <w:tblLayout w:type="fixed"/>
        <w:tblInd w:w="10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8880" w:type="dxa"/>
            <w:vAlign w:val="bottom"/>
          </w:tcPr>
          <w:p>
            <w:pPr>
              <w:jc w:val="center"/>
              <w:ind w:right="1850"/>
              <w:spacing w:after="0"/>
              <w:rPr>
                <w:sz w:val="20"/>
                <w:szCs w:val="20"/>
                <w:color w:val="auto"/>
              </w:rPr>
            </w:pPr>
            <w:r>
              <w:rPr>
                <w:rFonts w:ascii="Arial" w:cs="Arial" w:eastAsia="Arial" w:hAnsi="Arial"/>
                <w:sz w:val="18"/>
                <w:szCs w:val="18"/>
                <w:color w:val="auto"/>
                <w:w w:val="94"/>
              </w:rPr>
              <w:t>SELECTA BIOSCIENCES, INC.</w:t>
            </w:r>
          </w:p>
        </w:tc>
      </w:tr>
      <w:tr>
        <w:trPr>
          <w:trHeight w:val="432"/>
        </w:trPr>
        <w:tc>
          <w:tcPr>
            <w:tcW w:w="1940" w:type="dxa"/>
            <w:vAlign w:val="bottom"/>
          </w:tcPr>
          <w:p>
            <w:pPr>
              <w:spacing w:after="0"/>
              <w:rPr>
                <w:sz w:val="24"/>
                <w:szCs w:val="24"/>
                <w:color w:val="auto"/>
              </w:rPr>
            </w:pPr>
          </w:p>
        </w:tc>
        <w:tc>
          <w:tcPr>
            <w:tcW w:w="8880" w:type="dxa"/>
            <w:vAlign w:val="bottom"/>
          </w:tcPr>
          <w:p>
            <w:pPr>
              <w:jc w:val="center"/>
              <w:ind w:right="1850"/>
              <w:spacing w:after="0"/>
              <w:rPr>
                <w:sz w:val="20"/>
                <w:szCs w:val="20"/>
                <w:color w:val="auto"/>
              </w:rPr>
            </w:pPr>
            <w:r>
              <w:rPr>
                <w:rFonts w:ascii="Arial" w:cs="Arial" w:eastAsia="Arial" w:hAnsi="Arial"/>
                <w:sz w:val="18"/>
                <w:szCs w:val="18"/>
                <w:color w:val="auto"/>
                <w:w w:val="91"/>
              </w:rPr>
              <w:t>Reconciliation and tie between Trust Indenture Act of 1939 and</w:t>
            </w:r>
          </w:p>
        </w:tc>
      </w:tr>
      <w:tr>
        <w:trPr>
          <w:trHeight w:val="432"/>
        </w:trPr>
        <w:tc>
          <w:tcPr>
            <w:tcW w:w="1940" w:type="dxa"/>
            <w:vAlign w:val="bottom"/>
          </w:tcPr>
          <w:p>
            <w:pPr>
              <w:spacing w:after="0"/>
              <w:rPr>
                <w:sz w:val="24"/>
                <w:szCs w:val="24"/>
                <w:color w:val="auto"/>
              </w:rPr>
            </w:pPr>
          </w:p>
        </w:tc>
        <w:tc>
          <w:tcPr>
            <w:tcW w:w="8880" w:type="dxa"/>
            <w:vAlign w:val="bottom"/>
          </w:tcPr>
          <w:p>
            <w:pPr>
              <w:jc w:val="center"/>
              <w:ind w:right="1850"/>
              <w:spacing w:after="0"/>
              <w:rPr>
                <w:sz w:val="20"/>
                <w:szCs w:val="20"/>
                <w:color w:val="auto"/>
              </w:rPr>
            </w:pPr>
            <w:r>
              <w:rPr>
                <w:rFonts w:ascii="Arial" w:cs="Arial" w:eastAsia="Arial" w:hAnsi="Arial"/>
                <w:sz w:val="18"/>
                <w:szCs w:val="18"/>
                <w:color w:val="auto"/>
                <w:w w:val="89"/>
              </w:rPr>
              <w:t>Indenture, dated as of ____________, 20__</w:t>
            </w:r>
          </w:p>
        </w:tc>
      </w:tr>
      <w:tr>
        <w:trPr>
          <w:trHeight w:val="445"/>
        </w:trPr>
        <w:tc>
          <w:tcPr>
            <w:tcW w:w="1940" w:type="dxa"/>
            <w:vAlign w:val="bottom"/>
          </w:tcPr>
          <w:p>
            <w:pPr>
              <w:jc w:val="right"/>
              <w:ind w:right="1070"/>
              <w:spacing w:after="0"/>
              <w:rPr>
                <w:sz w:val="20"/>
                <w:szCs w:val="20"/>
                <w:color w:val="auto"/>
              </w:rPr>
            </w:pPr>
            <w:r>
              <w:rPr>
                <w:rFonts w:ascii="Arial" w:cs="Arial" w:eastAsia="Arial" w:hAnsi="Arial"/>
                <w:sz w:val="18"/>
                <w:szCs w:val="18"/>
                <w:color w:val="auto"/>
                <w:w w:val="90"/>
              </w:rPr>
              <w:t>§310(a)(1)</w:t>
            </w:r>
          </w:p>
        </w:tc>
        <w:tc>
          <w:tcPr>
            <w:tcW w:w="8880" w:type="dxa"/>
            <w:vAlign w:val="bottom"/>
          </w:tcPr>
          <w:p>
            <w:pPr>
              <w:ind w:left="8080"/>
              <w:spacing w:after="0"/>
              <w:rPr>
                <w:sz w:val="20"/>
                <w:szCs w:val="20"/>
                <w:color w:val="auto"/>
              </w:rPr>
            </w:pPr>
            <w:r>
              <w:rPr>
                <w:rFonts w:ascii="Arial" w:cs="Arial" w:eastAsia="Arial" w:hAnsi="Arial"/>
                <w:sz w:val="18"/>
                <w:szCs w:val="18"/>
                <w:color w:val="auto"/>
              </w:rPr>
              <w:t>7.10</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(a)(2)</w:t>
            </w:r>
          </w:p>
        </w:tc>
        <w:tc>
          <w:tcPr>
            <w:tcW w:w="8880" w:type="dxa"/>
            <w:vAlign w:val="bottom"/>
          </w:tcPr>
          <w:p>
            <w:pPr>
              <w:ind w:left="8080"/>
              <w:spacing w:after="0"/>
              <w:rPr>
                <w:sz w:val="20"/>
                <w:szCs w:val="20"/>
                <w:color w:val="auto"/>
              </w:rPr>
            </w:pPr>
            <w:r>
              <w:rPr>
                <w:rFonts w:ascii="Arial" w:cs="Arial" w:eastAsia="Arial" w:hAnsi="Arial"/>
                <w:sz w:val="18"/>
                <w:szCs w:val="18"/>
                <w:color w:val="auto"/>
              </w:rPr>
              <w:t>7.10</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(a)(3)</w:t>
            </w:r>
          </w:p>
        </w:tc>
        <w:tc>
          <w:tcPr>
            <w:tcW w:w="8880" w:type="dxa"/>
            <w:vAlign w:val="bottom"/>
          </w:tcPr>
          <w:p>
            <w:pPr>
              <w:ind w:left="8080"/>
              <w:spacing w:after="0"/>
              <w:rPr>
                <w:sz w:val="20"/>
                <w:szCs w:val="20"/>
                <w:color w:val="auto"/>
              </w:rPr>
            </w:pPr>
            <w:r>
              <w:rPr>
                <w:rFonts w:ascii="Arial" w:cs="Arial" w:eastAsia="Arial" w:hAnsi="Arial"/>
                <w:sz w:val="18"/>
                <w:szCs w:val="18"/>
                <w:color w:val="auto"/>
              </w:rPr>
              <w:t>Not</w:t>
            </w:r>
          </w:p>
        </w:tc>
      </w:tr>
      <w:tr>
        <w:trPr>
          <w:trHeight w:val="216"/>
        </w:trPr>
        <w:tc>
          <w:tcPr>
            <w:tcW w:w="1940" w:type="dxa"/>
            <w:vAlign w:val="bottom"/>
          </w:tcPr>
          <w:p>
            <w:pPr>
              <w:spacing w:after="0"/>
              <w:rPr>
                <w:sz w:val="18"/>
                <w:szCs w:val="18"/>
                <w:color w:val="auto"/>
              </w:rPr>
            </w:pPr>
          </w:p>
        </w:tc>
        <w:tc>
          <w:tcPr>
            <w:tcW w:w="8880" w:type="dxa"/>
            <w:vAlign w:val="bottom"/>
          </w:tcPr>
          <w:p>
            <w:pPr>
              <w:ind w:left="8080"/>
              <w:spacing w:after="0"/>
              <w:rPr>
                <w:sz w:val="20"/>
                <w:szCs w:val="20"/>
                <w:color w:val="auto"/>
              </w:rPr>
            </w:pPr>
            <w:r>
              <w:rPr>
                <w:rFonts w:ascii="Arial" w:cs="Arial" w:eastAsia="Arial" w:hAnsi="Arial"/>
                <w:sz w:val="18"/>
                <w:szCs w:val="18"/>
                <w:color w:val="auto"/>
                <w:w w:val="93"/>
              </w:rPr>
              <w:t>Applicable</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(a)(4)</w:t>
            </w:r>
          </w:p>
        </w:tc>
        <w:tc>
          <w:tcPr>
            <w:tcW w:w="8880" w:type="dxa"/>
            <w:vAlign w:val="bottom"/>
          </w:tcPr>
          <w:p>
            <w:pPr>
              <w:ind w:left="8080"/>
              <w:spacing w:after="0"/>
              <w:rPr>
                <w:sz w:val="20"/>
                <w:szCs w:val="20"/>
                <w:color w:val="auto"/>
              </w:rPr>
            </w:pPr>
            <w:r>
              <w:rPr>
                <w:rFonts w:ascii="Arial" w:cs="Arial" w:eastAsia="Arial" w:hAnsi="Arial"/>
                <w:sz w:val="18"/>
                <w:szCs w:val="18"/>
                <w:color w:val="auto"/>
              </w:rPr>
              <w:t>Not</w:t>
            </w:r>
          </w:p>
        </w:tc>
      </w:tr>
      <w:tr>
        <w:trPr>
          <w:trHeight w:val="216"/>
        </w:trPr>
        <w:tc>
          <w:tcPr>
            <w:tcW w:w="1940" w:type="dxa"/>
            <w:vAlign w:val="bottom"/>
          </w:tcPr>
          <w:p>
            <w:pPr>
              <w:spacing w:after="0"/>
              <w:rPr>
                <w:sz w:val="18"/>
                <w:szCs w:val="18"/>
                <w:color w:val="auto"/>
              </w:rPr>
            </w:pPr>
          </w:p>
        </w:tc>
        <w:tc>
          <w:tcPr>
            <w:tcW w:w="8880" w:type="dxa"/>
            <w:vAlign w:val="bottom"/>
          </w:tcPr>
          <w:p>
            <w:pPr>
              <w:ind w:left="8080"/>
              <w:spacing w:after="0"/>
              <w:rPr>
                <w:sz w:val="20"/>
                <w:szCs w:val="20"/>
                <w:color w:val="auto"/>
              </w:rPr>
            </w:pPr>
            <w:r>
              <w:rPr>
                <w:rFonts w:ascii="Arial" w:cs="Arial" w:eastAsia="Arial" w:hAnsi="Arial"/>
                <w:sz w:val="18"/>
                <w:szCs w:val="18"/>
                <w:color w:val="auto"/>
                <w:w w:val="93"/>
              </w:rPr>
              <w:t>Applicable</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(a)(5)</w:t>
            </w:r>
          </w:p>
        </w:tc>
        <w:tc>
          <w:tcPr>
            <w:tcW w:w="8880" w:type="dxa"/>
            <w:vAlign w:val="bottom"/>
          </w:tcPr>
          <w:p>
            <w:pPr>
              <w:ind w:left="8080"/>
              <w:spacing w:after="0"/>
              <w:rPr>
                <w:sz w:val="20"/>
                <w:szCs w:val="20"/>
                <w:color w:val="auto"/>
              </w:rPr>
            </w:pPr>
            <w:r>
              <w:rPr>
                <w:rFonts w:ascii="Arial" w:cs="Arial" w:eastAsia="Arial" w:hAnsi="Arial"/>
                <w:sz w:val="18"/>
                <w:szCs w:val="18"/>
                <w:color w:val="auto"/>
              </w:rPr>
              <w:t>7.10</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(b)</w:t>
            </w:r>
          </w:p>
        </w:tc>
        <w:tc>
          <w:tcPr>
            <w:tcW w:w="8880" w:type="dxa"/>
            <w:vAlign w:val="bottom"/>
          </w:tcPr>
          <w:p>
            <w:pPr>
              <w:ind w:left="8080"/>
              <w:spacing w:after="0"/>
              <w:rPr>
                <w:sz w:val="20"/>
                <w:szCs w:val="20"/>
                <w:color w:val="auto"/>
              </w:rPr>
            </w:pPr>
            <w:r>
              <w:rPr>
                <w:rFonts w:ascii="Arial" w:cs="Arial" w:eastAsia="Arial" w:hAnsi="Arial"/>
                <w:sz w:val="18"/>
                <w:szCs w:val="18"/>
                <w:color w:val="auto"/>
              </w:rPr>
              <w:t>7.10</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§311(a)</w:t>
            </w:r>
          </w:p>
        </w:tc>
        <w:tc>
          <w:tcPr>
            <w:tcW w:w="8880" w:type="dxa"/>
            <w:vAlign w:val="bottom"/>
          </w:tcPr>
          <w:p>
            <w:pPr>
              <w:ind w:left="8080"/>
              <w:spacing w:after="0"/>
              <w:rPr>
                <w:sz w:val="20"/>
                <w:szCs w:val="20"/>
                <w:color w:val="auto"/>
              </w:rPr>
            </w:pPr>
            <w:r>
              <w:rPr>
                <w:rFonts w:ascii="Arial" w:cs="Arial" w:eastAsia="Arial" w:hAnsi="Arial"/>
                <w:sz w:val="18"/>
                <w:szCs w:val="18"/>
                <w:color w:val="auto"/>
              </w:rPr>
              <w:t>7.11</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(b)</w:t>
            </w:r>
          </w:p>
        </w:tc>
        <w:tc>
          <w:tcPr>
            <w:tcW w:w="8880" w:type="dxa"/>
            <w:vAlign w:val="bottom"/>
          </w:tcPr>
          <w:p>
            <w:pPr>
              <w:ind w:left="8080"/>
              <w:spacing w:after="0"/>
              <w:rPr>
                <w:sz w:val="20"/>
                <w:szCs w:val="20"/>
                <w:color w:val="auto"/>
              </w:rPr>
            </w:pPr>
            <w:r>
              <w:rPr>
                <w:rFonts w:ascii="Arial" w:cs="Arial" w:eastAsia="Arial" w:hAnsi="Arial"/>
                <w:sz w:val="18"/>
                <w:szCs w:val="18"/>
                <w:color w:val="auto"/>
              </w:rPr>
              <w:t>7.11</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(c)</w:t>
            </w:r>
          </w:p>
        </w:tc>
        <w:tc>
          <w:tcPr>
            <w:tcW w:w="8880" w:type="dxa"/>
            <w:vAlign w:val="bottom"/>
          </w:tcPr>
          <w:p>
            <w:pPr>
              <w:ind w:left="8080"/>
              <w:spacing w:after="0"/>
              <w:rPr>
                <w:sz w:val="20"/>
                <w:szCs w:val="20"/>
                <w:color w:val="auto"/>
              </w:rPr>
            </w:pPr>
            <w:r>
              <w:rPr>
                <w:rFonts w:ascii="Arial" w:cs="Arial" w:eastAsia="Arial" w:hAnsi="Arial"/>
                <w:sz w:val="18"/>
                <w:szCs w:val="18"/>
                <w:color w:val="auto"/>
              </w:rPr>
              <w:t>Not</w:t>
            </w:r>
          </w:p>
        </w:tc>
      </w:tr>
      <w:tr>
        <w:trPr>
          <w:trHeight w:val="216"/>
        </w:trPr>
        <w:tc>
          <w:tcPr>
            <w:tcW w:w="1940" w:type="dxa"/>
            <w:vAlign w:val="bottom"/>
          </w:tcPr>
          <w:p>
            <w:pPr>
              <w:spacing w:after="0"/>
              <w:rPr>
                <w:sz w:val="18"/>
                <w:szCs w:val="18"/>
                <w:color w:val="auto"/>
              </w:rPr>
            </w:pPr>
          </w:p>
        </w:tc>
        <w:tc>
          <w:tcPr>
            <w:tcW w:w="8880" w:type="dxa"/>
            <w:vAlign w:val="bottom"/>
          </w:tcPr>
          <w:p>
            <w:pPr>
              <w:ind w:left="8080"/>
              <w:spacing w:after="0"/>
              <w:rPr>
                <w:sz w:val="20"/>
                <w:szCs w:val="20"/>
                <w:color w:val="auto"/>
              </w:rPr>
            </w:pPr>
            <w:r>
              <w:rPr>
                <w:rFonts w:ascii="Arial" w:cs="Arial" w:eastAsia="Arial" w:hAnsi="Arial"/>
                <w:sz w:val="18"/>
                <w:szCs w:val="18"/>
                <w:color w:val="auto"/>
                <w:w w:val="93"/>
              </w:rPr>
              <w:t>Applicable</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§312(a)</w:t>
            </w:r>
          </w:p>
        </w:tc>
        <w:tc>
          <w:tcPr>
            <w:tcW w:w="8880" w:type="dxa"/>
            <w:vAlign w:val="bottom"/>
          </w:tcPr>
          <w:p>
            <w:pPr>
              <w:ind w:left="8080"/>
              <w:spacing w:after="0"/>
              <w:rPr>
                <w:sz w:val="20"/>
                <w:szCs w:val="20"/>
                <w:color w:val="auto"/>
              </w:rPr>
            </w:pPr>
            <w:r>
              <w:rPr>
                <w:rFonts w:ascii="Arial" w:cs="Arial" w:eastAsia="Arial" w:hAnsi="Arial"/>
                <w:sz w:val="18"/>
                <w:szCs w:val="18"/>
                <w:color w:val="auto"/>
              </w:rPr>
              <w:t>2.6</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(b)</w:t>
            </w:r>
          </w:p>
        </w:tc>
        <w:tc>
          <w:tcPr>
            <w:tcW w:w="8880" w:type="dxa"/>
            <w:vAlign w:val="bottom"/>
          </w:tcPr>
          <w:p>
            <w:pPr>
              <w:ind w:left="8080"/>
              <w:spacing w:after="0"/>
              <w:rPr>
                <w:sz w:val="20"/>
                <w:szCs w:val="20"/>
                <w:color w:val="auto"/>
              </w:rPr>
            </w:pPr>
            <w:r>
              <w:rPr>
                <w:rFonts w:ascii="Arial" w:cs="Arial" w:eastAsia="Arial" w:hAnsi="Arial"/>
                <w:sz w:val="18"/>
                <w:szCs w:val="18"/>
                <w:color w:val="auto"/>
              </w:rPr>
              <w:t>10.3</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(c)</w:t>
            </w:r>
          </w:p>
        </w:tc>
        <w:tc>
          <w:tcPr>
            <w:tcW w:w="8880" w:type="dxa"/>
            <w:vAlign w:val="bottom"/>
          </w:tcPr>
          <w:p>
            <w:pPr>
              <w:ind w:left="8080"/>
              <w:spacing w:after="0"/>
              <w:rPr>
                <w:sz w:val="20"/>
                <w:szCs w:val="20"/>
                <w:color w:val="auto"/>
              </w:rPr>
            </w:pPr>
            <w:r>
              <w:rPr>
                <w:rFonts w:ascii="Arial" w:cs="Arial" w:eastAsia="Arial" w:hAnsi="Arial"/>
                <w:sz w:val="18"/>
                <w:szCs w:val="18"/>
                <w:color w:val="auto"/>
              </w:rPr>
              <w:t>10.3</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§313(a)</w:t>
            </w:r>
          </w:p>
        </w:tc>
        <w:tc>
          <w:tcPr>
            <w:tcW w:w="8880" w:type="dxa"/>
            <w:vAlign w:val="bottom"/>
          </w:tcPr>
          <w:p>
            <w:pPr>
              <w:ind w:left="8080"/>
              <w:spacing w:after="0"/>
              <w:rPr>
                <w:sz w:val="20"/>
                <w:szCs w:val="20"/>
                <w:color w:val="auto"/>
              </w:rPr>
            </w:pPr>
            <w:r>
              <w:rPr>
                <w:rFonts w:ascii="Arial" w:cs="Arial" w:eastAsia="Arial" w:hAnsi="Arial"/>
                <w:sz w:val="18"/>
                <w:szCs w:val="18"/>
                <w:color w:val="auto"/>
              </w:rPr>
              <w:t>7.6</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(b)(1)</w:t>
            </w:r>
          </w:p>
        </w:tc>
        <w:tc>
          <w:tcPr>
            <w:tcW w:w="8880" w:type="dxa"/>
            <w:vAlign w:val="bottom"/>
          </w:tcPr>
          <w:p>
            <w:pPr>
              <w:ind w:left="8080"/>
              <w:spacing w:after="0"/>
              <w:rPr>
                <w:sz w:val="20"/>
                <w:szCs w:val="20"/>
                <w:color w:val="auto"/>
              </w:rPr>
            </w:pPr>
            <w:r>
              <w:rPr>
                <w:rFonts w:ascii="Arial" w:cs="Arial" w:eastAsia="Arial" w:hAnsi="Arial"/>
                <w:sz w:val="18"/>
                <w:szCs w:val="18"/>
                <w:color w:val="auto"/>
              </w:rPr>
              <w:t>7.6</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(b)(2)</w:t>
            </w:r>
          </w:p>
        </w:tc>
        <w:tc>
          <w:tcPr>
            <w:tcW w:w="8880" w:type="dxa"/>
            <w:vAlign w:val="bottom"/>
          </w:tcPr>
          <w:p>
            <w:pPr>
              <w:ind w:left="8080"/>
              <w:spacing w:after="0"/>
              <w:rPr>
                <w:sz w:val="20"/>
                <w:szCs w:val="20"/>
                <w:color w:val="auto"/>
              </w:rPr>
            </w:pPr>
            <w:r>
              <w:rPr>
                <w:rFonts w:ascii="Arial" w:cs="Arial" w:eastAsia="Arial" w:hAnsi="Arial"/>
                <w:sz w:val="18"/>
                <w:szCs w:val="18"/>
                <w:color w:val="auto"/>
              </w:rPr>
              <w:t>7.6</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(c)(1)</w:t>
            </w:r>
          </w:p>
        </w:tc>
        <w:tc>
          <w:tcPr>
            <w:tcW w:w="8880" w:type="dxa"/>
            <w:vAlign w:val="bottom"/>
          </w:tcPr>
          <w:p>
            <w:pPr>
              <w:ind w:left="8080"/>
              <w:spacing w:after="0"/>
              <w:rPr>
                <w:sz w:val="20"/>
                <w:szCs w:val="20"/>
                <w:color w:val="auto"/>
              </w:rPr>
            </w:pPr>
            <w:r>
              <w:rPr>
                <w:rFonts w:ascii="Arial" w:cs="Arial" w:eastAsia="Arial" w:hAnsi="Arial"/>
                <w:sz w:val="18"/>
                <w:szCs w:val="18"/>
                <w:color w:val="auto"/>
              </w:rPr>
              <w:t>7.6</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(d)</w:t>
            </w:r>
          </w:p>
        </w:tc>
        <w:tc>
          <w:tcPr>
            <w:tcW w:w="8880" w:type="dxa"/>
            <w:vAlign w:val="bottom"/>
          </w:tcPr>
          <w:p>
            <w:pPr>
              <w:ind w:left="8080"/>
              <w:spacing w:after="0"/>
              <w:rPr>
                <w:sz w:val="20"/>
                <w:szCs w:val="20"/>
                <w:color w:val="auto"/>
              </w:rPr>
            </w:pPr>
            <w:r>
              <w:rPr>
                <w:rFonts w:ascii="Arial" w:cs="Arial" w:eastAsia="Arial" w:hAnsi="Arial"/>
                <w:sz w:val="18"/>
                <w:szCs w:val="18"/>
                <w:color w:val="auto"/>
              </w:rPr>
              <w:t>7.6</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§314(a)</w:t>
            </w:r>
          </w:p>
        </w:tc>
        <w:tc>
          <w:tcPr>
            <w:tcW w:w="8880" w:type="dxa"/>
            <w:vAlign w:val="bottom"/>
          </w:tcPr>
          <w:p>
            <w:pPr>
              <w:ind w:left="8080"/>
              <w:spacing w:after="0"/>
              <w:rPr>
                <w:sz w:val="20"/>
                <w:szCs w:val="20"/>
                <w:color w:val="auto"/>
              </w:rPr>
            </w:pPr>
            <w:r>
              <w:rPr>
                <w:rFonts w:ascii="Arial" w:cs="Arial" w:eastAsia="Arial" w:hAnsi="Arial"/>
                <w:sz w:val="18"/>
                <w:szCs w:val="18"/>
                <w:color w:val="auto"/>
              </w:rPr>
              <w:t>4.2, 10.5</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(b)</w:t>
            </w:r>
          </w:p>
        </w:tc>
        <w:tc>
          <w:tcPr>
            <w:tcW w:w="8880" w:type="dxa"/>
            <w:vAlign w:val="bottom"/>
          </w:tcPr>
          <w:p>
            <w:pPr>
              <w:ind w:left="8080"/>
              <w:spacing w:after="0"/>
              <w:rPr>
                <w:sz w:val="20"/>
                <w:szCs w:val="20"/>
                <w:color w:val="auto"/>
              </w:rPr>
            </w:pPr>
            <w:r>
              <w:rPr>
                <w:rFonts w:ascii="Arial" w:cs="Arial" w:eastAsia="Arial" w:hAnsi="Arial"/>
                <w:sz w:val="18"/>
                <w:szCs w:val="18"/>
                <w:color w:val="auto"/>
              </w:rPr>
              <w:t>Not</w:t>
            </w:r>
          </w:p>
        </w:tc>
      </w:tr>
      <w:tr>
        <w:trPr>
          <w:trHeight w:val="216"/>
        </w:trPr>
        <w:tc>
          <w:tcPr>
            <w:tcW w:w="1940" w:type="dxa"/>
            <w:vAlign w:val="bottom"/>
          </w:tcPr>
          <w:p>
            <w:pPr>
              <w:spacing w:after="0"/>
              <w:rPr>
                <w:sz w:val="18"/>
                <w:szCs w:val="18"/>
                <w:color w:val="auto"/>
              </w:rPr>
            </w:pPr>
          </w:p>
        </w:tc>
        <w:tc>
          <w:tcPr>
            <w:tcW w:w="8880" w:type="dxa"/>
            <w:vAlign w:val="bottom"/>
          </w:tcPr>
          <w:p>
            <w:pPr>
              <w:ind w:left="8080"/>
              <w:spacing w:after="0"/>
              <w:rPr>
                <w:sz w:val="20"/>
                <w:szCs w:val="20"/>
                <w:color w:val="auto"/>
              </w:rPr>
            </w:pPr>
            <w:r>
              <w:rPr>
                <w:rFonts w:ascii="Arial" w:cs="Arial" w:eastAsia="Arial" w:hAnsi="Arial"/>
                <w:sz w:val="18"/>
                <w:szCs w:val="18"/>
                <w:color w:val="auto"/>
                <w:w w:val="93"/>
              </w:rPr>
              <w:t>Applicable</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(c)(1)</w:t>
            </w:r>
          </w:p>
        </w:tc>
        <w:tc>
          <w:tcPr>
            <w:tcW w:w="8880" w:type="dxa"/>
            <w:vAlign w:val="bottom"/>
          </w:tcPr>
          <w:p>
            <w:pPr>
              <w:ind w:left="8080"/>
              <w:spacing w:after="0"/>
              <w:rPr>
                <w:sz w:val="20"/>
                <w:szCs w:val="20"/>
                <w:color w:val="auto"/>
              </w:rPr>
            </w:pPr>
            <w:r>
              <w:rPr>
                <w:rFonts w:ascii="Arial" w:cs="Arial" w:eastAsia="Arial" w:hAnsi="Arial"/>
                <w:sz w:val="18"/>
                <w:szCs w:val="18"/>
                <w:color w:val="auto"/>
              </w:rPr>
              <w:t>10.4</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(c)(2)</w:t>
            </w:r>
          </w:p>
        </w:tc>
        <w:tc>
          <w:tcPr>
            <w:tcW w:w="8880" w:type="dxa"/>
            <w:vAlign w:val="bottom"/>
          </w:tcPr>
          <w:p>
            <w:pPr>
              <w:ind w:left="8080"/>
              <w:spacing w:after="0"/>
              <w:rPr>
                <w:sz w:val="20"/>
                <w:szCs w:val="20"/>
                <w:color w:val="auto"/>
              </w:rPr>
            </w:pPr>
            <w:r>
              <w:rPr>
                <w:rFonts w:ascii="Arial" w:cs="Arial" w:eastAsia="Arial" w:hAnsi="Arial"/>
                <w:sz w:val="18"/>
                <w:szCs w:val="18"/>
                <w:color w:val="auto"/>
              </w:rPr>
              <w:t>10.4</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(c)(3)</w:t>
            </w:r>
          </w:p>
        </w:tc>
        <w:tc>
          <w:tcPr>
            <w:tcW w:w="8880" w:type="dxa"/>
            <w:vAlign w:val="bottom"/>
          </w:tcPr>
          <w:p>
            <w:pPr>
              <w:ind w:left="8080"/>
              <w:spacing w:after="0"/>
              <w:rPr>
                <w:sz w:val="20"/>
                <w:szCs w:val="20"/>
                <w:color w:val="auto"/>
              </w:rPr>
            </w:pPr>
            <w:r>
              <w:rPr>
                <w:rFonts w:ascii="Arial" w:cs="Arial" w:eastAsia="Arial" w:hAnsi="Arial"/>
                <w:sz w:val="18"/>
                <w:szCs w:val="18"/>
                <w:color w:val="auto"/>
              </w:rPr>
              <w:t>Not</w:t>
            </w:r>
          </w:p>
        </w:tc>
      </w:tr>
      <w:tr>
        <w:trPr>
          <w:trHeight w:val="216"/>
        </w:trPr>
        <w:tc>
          <w:tcPr>
            <w:tcW w:w="1940" w:type="dxa"/>
            <w:vAlign w:val="bottom"/>
          </w:tcPr>
          <w:p>
            <w:pPr>
              <w:spacing w:after="0"/>
              <w:rPr>
                <w:sz w:val="18"/>
                <w:szCs w:val="18"/>
                <w:color w:val="auto"/>
              </w:rPr>
            </w:pPr>
          </w:p>
        </w:tc>
        <w:tc>
          <w:tcPr>
            <w:tcW w:w="8880" w:type="dxa"/>
            <w:vAlign w:val="bottom"/>
          </w:tcPr>
          <w:p>
            <w:pPr>
              <w:ind w:left="8080"/>
              <w:spacing w:after="0"/>
              <w:rPr>
                <w:sz w:val="20"/>
                <w:szCs w:val="20"/>
                <w:color w:val="auto"/>
              </w:rPr>
            </w:pPr>
            <w:r>
              <w:rPr>
                <w:rFonts w:ascii="Arial" w:cs="Arial" w:eastAsia="Arial" w:hAnsi="Arial"/>
                <w:sz w:val="18"/>
                <w:szCs w:val="18"/>
                <w:color w:val="auto"/>
                <w:w w:val="93"/>
              </w:rPr>
              <w:t>Applicable</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(d)</w:t>
            </w:r>
          </w:p>
        </w:tc>
        <w:tc>
          <w:tcPr>
            <w:tcW w:w="8880" w:type="dxa"/>
            <w:vAlign w:val="bottom"/>
          </w:tcPr>
          <w:p>
            <w:pPr>
              <w:ind w:left="8080"/>
              <w:spacing w:after="0"/>
              <w:rPr>
                <w:sz w:val="20"/>
                <w:szCs w:val="20"/>
                <w:color w:val="auto"/>
              </w:rPr>
            </w:pPr>
            <w:r>
              <w:rPr>
                <w:rFonts w:ascii="Arial" w:cs="Arial" w:eastAsia="Arial" w:hAnsi="Arial"/>
                <w:sz w:val="18"/>
                <w:szCs w:val="18"/>
                <w:color w:val="auto"/>
              </w:rPr>
              <w:t>Not</w:t>
            </w:r>
          </w:p>
        </w:tc>
      </w:tr>
      <w:tr>
        <w:trPr>
          <w:trHeight w:val="216"/>
        </w:trPr>
        <w:tc>
          <w:tcPr>
            <w:tcW w:w="1940" w:type="dxa"/>
            <w:vAlign w:val="bottom"/>
          </w:tcPr>
          <w:p>
            <w:pPr>
              <w:spacing w:after="0"/>
              <w:rPr>
                <w:sz w:val="18"/>
                <w:szCs w:val="18"/>
                <w:color w:val="auto"/>
              </w:rPr>
            </w:pPr>
          </w:p>
        </w:tc>
        <w:tc>
          <w:tcPr>
            <w:tcW w:w="8880" w:type="dxa"/>
            <w:vAlign w:val="bottom"/>
          </w:tcPr>
          <w:p>
            <w:pPr>
              <w:ind w:left="8080"/>
              <w:spacing w:after="0"/>
              <w:rPr>
                <w:sz w:val="20"/>
                <w:szCs w:val="20"/>
                <w:color w:val="auto"/>
              </w:rPr>
            </w:pPr>
            <w:r>
              <w:rPr>
                <w:rFonts w:ascii="Arial" w:cs="Arial" w:eastAsia="Arial" w:hAnsi="Arial"/>
                <w:sz w:val="18"/>
                <w:szCs w:val="18"/>
                <w:color w:val="auto"/>
                <w:w w:val="93"/>
              </w:rPr>
              <w:t>Applicable</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(e)</w:t>
            </w:r>
          </w:p>
        </w:tc>
        <w:tc>
          <w:tcPr>
            <w:tcW w:w="8880" w:type="dxa"/>
            <w:vAlign w:val="bottom"/>
          </w:tcPr>
          <w:p>
            <w:pPr>
              <w:ind w:left="8080"/>
              <w:spacing w:after="0"/>
              <w:rPr>
                <w:sz w:val="20"/>
                <w:szCs w:val="20"/>
                <w:color w:val="auto"/>
              </w:rPr>
            </w:pPr>
            <w:r>
              <w:rPr>
                <w:rFonts w:ascii="Arial" w:cs="Arial" w:eastAsia="Arial" w:hAnsi="Arial"/>
                <w:sz w:val="18"/>
                <w:szCs w:val="18"/>
                <w:color w:val="auto"/>
              </w:rPr>
              <w:t>10.5</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(f)</w:t>
            </w:r>
          </w:p>
        </w:tc>
        <w:tc>
          <w:tcPr>
            <w:tcW w:w="8880" w:type="dxa"/>
            <w:vAlign w:val="bottom"/>
          </w:tcPr>
          <w:p>
            <w:pPr>
              <w:ind w:left="8080"/>
              <w:spacing w:after="0"/>
              <w:rPr>
                <w:sz w:val="20"/>
                <w:szCs w:val="20"/>
                <w:color w:val="auto"/>
              </w:rPr>
            </w:pPr>
            <w:r>
              <w:rPr>
                <w:rFonts w:ascii="Arial" w:cs="Arial" w:eastAsia="Arial" w:hAnsi="Arial"/>
                <w:sz w:val="18"/>
                <w:szCs w:val="18"/>
                <w:color w:val="auto"/>
              </w:rPr>
              <w:t>Not</w:t>
            </w:r>
          </w:p>
        </w:tc>
      </w:tr>
      <w:tr>
        <w:trPr>
          <w:trHeight w:val="216"/>
        </w:trPr>
        <w:tc>
          <w:tcPr>
            <w:tcW w:w="1940" w:type="dxa"/>
            <w:vAlign w:val="bottom"/>
          </w:tcPr>
          <w:p>
            <w:pPr>
              <w:spacing w:after="0"/>
              <w:rPr>
                <w:sz w:val="18"/>
                <w:szCs w:val="18"/>
                <w:color w:val="auto"/>
              </w:rPr>
            </w:pPr>
          </w:p>
        </w:tc>
        <w:tc>
          <w:tcPr>
            <w:tcW w:w="8880" w:type="dxa"/>
            <w:vAlign w:val="bottom"/>
          </w:tcPr>
          <w:p>
            <w:pPr>
              <w:ind w:left="8080"/>
              <w:spacing w:after="0"/>
              <w:rPr>
                <w:sz w:val="20"/>
                <w:szCs w:val="20"/>
                <w:color w:val="auto"/>
              </w:rPr>
            </w:pPr>
            <w:r>
              <w:rPr>
                <w:rFonts w:ascii="Arial" w:cs="Arial" w:eastAsia="Arial" w:hAnsi="Arial"/>
                <w:sz w:val="18"/>
                <w:szCs w:val="18"/>
                <w:color w:val="auto"/>
                <w:w w:val="93"/>
              </w:rPr>
              <w:t>Applicable</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§315(a)</w:t>
            </w:r>
          </w:p>
        </w:tc>
        <w:tc>
          <w:tcPr>
            <w:tcW w:w="8880" w:type="dxa"/>
            <w:vAlign w:val="bottom"/>
          </w:tcPr>
          <w:p>
            <w:pPr>
              <w:ind w:left="8080"/>
              <w:spacing w:after="0"/>
              <w:rPr>
                <w:sz w:val="20"/>
                <w:szCs w:val="20"/>
                <w:color w:val="auto"/>
              </w:rPr>
            </w:pPr>
            <w:r>
              <w:rPr>
                <w:rFonts w:ascii="Arial" w:cs="Arial" w:eastAsia="Arial" w:hAnsi="Arial"/>
                <w:sz w:val="18"/>
                <w:szCs w:val="18"/>
                <w:color w:val="auto"/>
              </w:rPr>
              <w:t>7.1</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(b)</w:t>
            </w:r>
          </w:p>
        </w:tc>
        <w:tc>
          <w:tcPr>
            <w:tcW w:w="8880" w:type="dxa"/>
            <w:vAlign w:val="bottom"/>
          </w:tcPr>
          <w:p>
            <w:pPr>
              <w:ind w:left="8080"/>
              <w:spacing w:after="0"/>
              <w:rPr>
                <w:sz w:val="20"/>
                <w:szCs w:val="20"/>
                <w:color w:val="auto"/>
              </w:rPr>
            </w:pPr>
            <w:r>
              <w:rPr>
                <w:rFonts w:ascii="Arial" w:cs="Arial" w:eastAsia="Arial" w:hAnsi="Arial"/>
                <w:sz w:val="18"/>
                <w:szCs w:val="18"/>
                <w:color w:val="auto"/>
              </w:rPr>
              <w:t>7.5</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(c)</w:t>
            </w:r>
          </w:p>
        </w:tc>
        <w:tc>
          <w:tcPr>
            <w:tcW w:w="8880" w:type="dxa"/>
            <w:vAlign w:val="bottom"/>
          </w:tcPr>
          <w:p>
            <w:pPr>
              <w:ind w:left="8080"/>
              <w:spacing w:after="0"/>
              <w:rPr>
                <w:sz w:val="20"/>
                <w:szCs w:val="20"/>
                <w:color w:val="auto"/>
              </w:rPr>
            </w:pPr>
            <w:r>
              <w:rPr>
                <w:rFonts w:ascii="Arial" w:cs="Arial" w:eastAsia="Arial" w:hAnsi="Arial"/>
                <w:sz w:val="18"/>
                <w:szCs w:val="18"/>
                <w:color w:val="auto"/>
              </w:rPr>
              <w:t>7.1</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(d)</w:t>
            </w:r>
          </w:p>
        </w:tc>
        <w:tc>
          <w:tcPr>
            <w:tcW w:w="8880" w:type="dxa"/>
            <w:vAlign w:val="bottom"/>
          </w:tcPr>
          <w:p>
            <w:pPr>
              <w:ind w:left="8080"/>
              <w:spacing w:after="0"/>
              <w:rPr>
                <w:sz w:val="20"/>
                <w:szCs w:val="20"/>
                <w:color w:val="auto"/>
              </w:rPr>
            </w:pPr>
            <w:r>
              <w:rPr>
                <w:rFonts w:ascii="Arial" w:cs="Arial" w:eastAsia="Arial" w:hAnsi="Arial"/>
                <w:sz w:val="18"/>
                <w:szCs w:val="18"/>
                <w:color w:val="auto"/>
              </w:rPr>
              <w:t>7.1</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(e)</w:t>
            </w:r>
          </w:p>
        </w:tc>
        <w:tc>
          <w:tcPr>
            <w:tcW w:w="8880" w:type="dxa"/>
            <w:vAlign w:val="bottom"/>
          </w:tcPr>
          <w:p>
            <w:pPr>
              <w:ind w:left="8080"/>
              <w:spacing w:after="0"/>
              <w:rPr>
                <w:sz w:val="20"/>
                <w:szCs w:val="20"/>
                <w:color w:val="auto"/>
              </w:rPr>
            </w:pPr>
            <w:r>
              <w:rPr>
                <w:rFonts w:ascii="Arial" w:cs="Arial" w:eastAsia="Arial" w:hAnsi="Arial"/>
                <w:sz w:val="18"/>
                <w:szCs w:val="18"/>
                <w:color w:val="auto"/>
              </w:rPr>
              <w:t>6.14</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§316(a)</w:t>
            </w:r>
          </w:p>
        </w:tc>
        <w:tc>
          <w:tcPr>
            <w:tcW w:w="8880" w:type="dxa"/>
            <w:vAlign w:val="bottom"/>
          </w:tcPr>
          <w:p>
            <w:pPr>
              <w:ind w:left="8080"/>
              <w:spacing w:after="0"/>
              <w:rPr>
                <w:sz w:val="20"/>
                <w:szCs w:val="20"/>
                <w:color w:val="auto"/>
              </w:rPr>
            </w:pPr>
            <w:r>
              <w:rPr>
                <w:rFonts w:ascii="Arial" w:cs="Arial" w:eastAsia="Arial" w:hAnsi="Arial"/>
                <w:sz w:val="18"/>
                <w:szCs w:val="18"/>
                <w:color w:val="auto"/>
              </w:rPr>
              <w:t>2.10</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(a)(1)(A)</w:t>
            </w:r>
          </w:p>
        </w:tc>
        <w:tc>
          <w:tcPr>
            <w:tcW w:w="8880" w:type="dxa"/>
            <w:vAlign w:val="bottom"/>
          </w:tcPr>
          <w:p>
            <w:pPr>
              <w:ind w:left="8080"/>
              <w:spacing w:after="0"/>
              <w:rPr>
                <w:sz w:val="20"/>
                <w:szCs w:val="20"/>
                <w:color w:val="auto"/>
              </w:rPr>
            </w:pPr>
            <w:r>
              <w:rPr>
                <w:rFonts w:ascii="Arial" w:cs="Arial" w:eastAsia="Arial" w:hAnsi="Arial"/>
                <w:sz w:val="18"/>
                <w:szCs w:val="18"/>
                <w:color w:val="auto"/>
              </w:rPr>
              <w:t>6.12</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(a)(1)(B)</w:t>
            </w:r>
          </w:p>
        </w:tc>
        <w:tc>
          <w:tcPr>
            <w:tcW w:w="8880" w:type="dxa"/>
            <w:vAlign w:val="bottom"/>
          </w:tcPr>
          <w:p>
            <w:pPr>
              <w:ind w:left="8080"/>
              <w:spacing w:after="0"/>
              <w:rPr>
                <w:sz w:val="20"/>
                <w:szCs w:val="20"/>
                <w:color w:val="auto"/>
              </w:rPr>
            </w:pPr>
            <w:r>
              <w:rPr>
                <w:rFonts w:ascii="Arial" w:cs="Arial" w:eastAsia="Arial" w:hAnsi="Arial"/>
                <w:sz w:val="18"/>
                <w:szCs w:val="18"/>
                <w:color w:val="auto"/>
              </w:rPr>
              <w:t>6.13</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(b)</w:t>
            </w:r>
          </w:p>
        </w:tc>
        <w:tc>
          <w:tcPr>
            <w:tcW w:w="8880" w:type="dxa"/>
            <w:vAlign w:val="bottom"/>
          </w:tcPr>
          <w:p>
            <w:pPr>
              <w:ind w:left="8080"/>
              <w:spacing w:after="0"/>
              <w:rPr>
                <w:sz w:val="20"/>
                <w:szCs w:val="20"/>
                <w:color w:val="auto"/>
              </w:rPr>
            </w:pPr>
            <w:r>
              <w:rPr>
                <w:rFonts w:ascii="Arial" w:cs="Arial" w:eastAsia="Arial" w:hAnsi="Arial"/>
                <w:sz w:val="18"/>
                <w:szCs w:val="18"/>
                <w:color w:val="auto"/>
              </w:rPr>
              <w:t>6.8</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w w:val="90"/>
              </w:rPr>
              <w:t>§317(a)(1)</w:t>
            </w:r>
          </w:p>
        </w:tc>
        <w:tc>
          <w:tcPr>
            <w:tcW w:w="8880" w:type="dxa"/>
            <w:vAlign w:val="bottom"/>
          </w:tcPr>
          <w:p>
            <w:pPr>
              <w:ind w:left="8080"/>
              <w:spacing w:after="0"/>
              <w:rPr>
                <w:sz w:val="20"/>
                <w:szCs w:val="20"/>
                <w:color w:val="auto"/>
              </w:rPr>
            </w:pPr>
            <w:r>
              <w:rPr>
                <w:rFonts w:ascii="Arial" w:cs="Arial" w:eastAsia="Arial" w:hAnsi="Arial"/>
                <w:sz w:val="18"/>
                <w:szCs w:val="18"/>
                <w:color w:val="auto"/>
              </w:rPr>
              <w:t>6.3</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(a)(2)</w:t>
            </w:r>
          </w:p>
        </w:tc>
        <w:tc>
          <w:tcPr>
            <w:tcW w:w="8880" w:type="dxa"/>
            <w:vAlign w:val="bottom"/>
          </w:tcPr>
          <w:p>
            <w:pPr>
              <w:ind w:left="8080"/>
              <w:spacing w:after="0"/>
              <w:rPr>
                <w:sz w:val="20"/>
                <w:szCs w:val="20"/>
                <w:color w:val="auto"/>
              </w:rPr>
            </w:pPr>
            <w:r>
              <w:rPr>
                <w:rFonts w:ascii="Arial" w:cs="Arial" w:eastAsia="Arial" w:hAnsi="Arial"/>
                <w:sz w:val="18"/>
                <w:szCs w:val="18"/>
                <w:color w:val="auto"/>
              </w:rPr>
              <w:t>6.4</w:t>
            </w:r>
          </w:p>
        </w:tc>
      </w:tr>
      <w:tr>
        <w:trPr>
          <w:trHeight w:val="216"/>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(b)</w:t>
            </w:r>
          </w:p>
        </w:tc>
        <w:tc>
          <w:tcPr>
            <w:tcW w:w="8880" w:type="dxa"/>
            <w:vAlign w:val="bottom"/>
          </w:tcPr>
          <w:p>
            <w:pPr>
              <w:ind w:left="8080"/>
              <w:spacing w:after="0"/>
              <w:rPr>
                <w:sz w:val="20"/>
                <w:szCs w:val="20"/>
                <w:color w:val="auto"/>
              </w:rPr>
            </w:pPr>
            <w:r>
              <w:rPr>
                <w:rFonts w:ascii="Arial" w:cs="Arial" w:eastAsia="Arial" w:hAnsi="Arial"/>
                <w:sz w:val="18"/>
                <w:szCs w:val="18"/>
                <w:color w:val="auto"/>
              </w:rPr>
              <w:t>2.5</w:t>
            </w:r>
          </w:p>
        </w:tc>
      </w:tr>
      <w:tr>
        <w:trPr>
          <w:trHeight w:val="230"/>
        </w:trPr>
        <w:tc>
          <w:tcPr>
            <w:tcW w:w="1940" w:type="dxa"/>
            <w:vAlign w:val="bottom"/>
          </w:tcPr>
          <w:p>
            <w:pPr>
              <w:jc w:val="right"/>
              <w:ind w:right="1070"/>
              <w:spacing w:after="0"/>
              <w:rPr>
                <w:sz w:val="20"/>
                <w:szCs w:val="20"/>
                <w:color w:val="auto"/>
              </w:rPr>
            </w:pPr>
            <w:r>
              <w:rPr>
                <w:rFonts w:ascii="Arial" w:cs="Arial" w:eastAsia="Arial" w:hAnsi="Arial"/>
                <w:sz w:val="18"/>
                <w:szCs w:val="18"/>
                <w:color w:val="auto"/>
              </w:rPr>
              <w:t>§318(a)</w:t>
            </w:r>
          </w:p>
        </w:tc>
        <w:tc>
          <w:tcPr>
            <w:tcW w:w="8880" w:type="dxa"/>
            <w:vAlign w:val="bottom"/>
          </w:tcPr>
          <w:p>
            <w:pPr>
              <w:ind w:left="808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20"/>
          </w:cols>
          <w:pgMar w:left="440" w:top="274" w:right="539" w:bottom="1440" w:gutter="0" w:footer="0" w:header="0"/>
        </w:sectPr>
      </w:pPr>
    </w:p>
    <w:bookmarkStart w:id="49" w:name="page50"/>
    <w:bookmarkEnd w:id="49"/>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__________, 20__ between Selecta Biosciences, Inc., a company incorporated under the laws of Delaware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and [______]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Stock</w:t>
      </w:r>
      <w:r>
        <w:rPr>
          <w:rFonts w:ascii="Arial" w:cs="Arial" w:eastAsia="Arial" w:hAnsi="Arial"/>
          <w:sz w:val="16"/>
          <w:szCs w:val="16"/>
          <w:color w:val="auto"/>
        </w:rPr>
        <w:t>” means any and all shares, interests, participations, rights or other equivalents (however designated) of corporate stock.</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pacing w:after="0" w:line="225"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related to this Indenture shall be principally administered.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ectPr>
          <w:pgSz w:w="11900" w:h="16838" w:orient="portrait"/>
          <w:cols w:equalWidth="0" w:num="1">
            <w:col w:w="11000"/>
          </w:cols>
          <w:pgMar w:left="440" w:top="274" w:right="459" w:bottom="1440" w:gutter="0" w:footer="0" w:header="0"/>
        </w:sectPr>
      </w:pPr>
    </w:p>
    <w:bookmarkStart w:id="50" w:name="page51"/>
    <w:bookmarkEnd w:id="50"/>
    <w:p>
      <w:pPr>
        <w:ind w:right="2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Currency</w:t>
      </w:r>
      <w:r>
        <w:rPr>
          <w:rFonts w:ascii="Arial" w:cs="Arial" w:eastAsia="Arial" w:hAnsi="Arial"/>
          <w:sz w:val="17"/>
          <w:szCs w:val="17"/>
          <w:color w:val="auto"/>
        </w:rPr>
        <w:t>” means any currency or currency unit issued by a government other than the government of The United States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211" w:lineRule="exact"/>
        <w:rPr>
          <w:sz w:val="20"/>
          <w:szCs w:val="20"/>
          <w:color w:val="auto"/>
        </w:rPr>
      </w:pPr>
    </w:p>
    <w:p>
      <w:pPr>
        <w:ind w:right="2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Government Obligations</w:t>
      </w:r>
      <w:r>
        <w:rPr>
          <w:rFonts w:ascii="Arial" w:cs="Arial" w:eastAsia="Arial" w:hAnsi="Arial"/>
          <w:sz w:val="17"/>
          <w:szCs w:val="17"/>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6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w:t>
      </w:r>
      <w:r>
        <w:rPr>
          <w:rFonts w:ascii="Arial" w:cs="Arial" w:eastAsia="Arial" w:hAnsi="Arial"/>
          <w:sz w:val="16"/>
          <w:szCs w:val="16"/>
          <w:color w:val="auto"/>
        </w:rPr>
        <w:t>” with respect to any Discount Security which by its terms bears interest only after Maturity, means interest payable after Maturity.</w:t>
      </w:r>
    </w:p>
    <w:p>
      <w:pPr>
        <w:spacing w:after="0" w:line="18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1" w:name="page52"/>
    <w:bookmarkEnd w:id="51"/>
    <w:p>
      <w:pPr>
        <w:ind w:right="18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Maturity</w:t>
      </w:r>
      <w:r>
        <w:rPr>
          <w:rFonts w:ascii="Arial" w:cs="Arial" w:eastAsia="Arial" w:hAnsi="Arial"/>
          <w:sz w:val="17"/>
          <w:szCs w:val="17"/>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46"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the Security.</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52" w:name="page53"/>
    <w:bookmarkEnd w:id="52"/>
    <w:p>
      <w:pPr>
        <w:ind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80" w:type="dxa"/>
            <w:vAlign w:val="bottom"/>
            <w:gridSpan w:val="3"/>
          </w:tcPr>
          <w:p>
            <w:pPr>
              <w:jc w:val="center"/>
              <w:ind w:left="3192"/>
              <w:spacing w:after="0"/>
              <w:rPr>
                <w:sz w:val="20"/>
                <w:szCs w:val="20"/>
                <w:color w:val="auto"/>
              </w:rPr>
            </w:pPr>
            <w:r>
              <w:rPr>
                <w:rFonts w:ascii="Arial" w:cs="Arial" w:eastAsia="Arial" w:hAnsi="Arial"/>
                <w:sz w:val="14"/>
                <w:szCs w:val="14"/>
                <w:color w:val="auto"/>
              </w:rPr>
              <w:t>DEFINED IN</w:t>
            </w:r>
          </w:p>
        </w:tc>
        <w:tc>
          <w:tcPr>
            <w:tcW w:w="0" w:type="dxa"/>
            <w:vAlign w:val="bottom"/>
          </w:tcPr>
          <w:p>
            <w:pPr>
              <w:spacing w:after="0"/>
              <w:rPr>
                <w:sz w:val="1"/>
                <w:szCs w:val="1"/>
                <w:color w:val="auto"/>
              </w:rPr>
            </w:pPr>
          </w:p>
        </w:tc>
      </w:tr>
      <w:tr>
        <w:trPr>
          <w:trHeight w:val="167"/>
        </w:trPr>
        <w:tc>
          <w:tcPr>
            <w:tcW w:w="420" w:type="dxa"/>
            <w:vAlign w:val="bottom"/>
          </w:tcPr>
          <w:p>
            <w:pPr>
              <w:spacing w:after="0"/>
              <w:rPr>
                <w:sz w:val="20"/>
                <w:szCs w:val="20"/>
                <w:color w:val="auto"/>
              </w:rPr>
            </w:pPr>
            <w:r>
              <w:rPr>
                <w:rFonts w:ascii="Arial" w:cs="Arial" w:eastAsia="Arial" w:hAnsi="Arial"/>
                <w:sz w:val="14"/>
                <w:szCs w:val="14"/>
                <w:color w:val="auto"/>
              </w:rPr>
              <w:t>TERM</w:t>
            </w:r>
          </w:p>
        </w:tc>
        <w:tc>
          <w:tcPr>
            <w:tcW w:w="5420" w:type="dxa"/>
            <w:vAlign w:val="bottom"/>
          </w:tcPr>
          <w:p>
            <w:pPr>
              <w:spacing w:after="0"/>
              <w:rPr>
                <w:sz w:val="14"/>
                <w:szCs w:val="14"/>
                <w:color w:val="auto"/>
              </w:rPr>
            </w:pPr>
          </w:p>
        </w:tc>
        <w:tc>
          <w:tcPr>
            <w:tcW w:w="4080" w:type="dxa"/>
            <w:vAlign w:val="bottom"/>
            <w:gridSpan w:val="3"/>
          </w:tcPr>
          <w:p>
            <w:pPr>
              <w:jc w:val="center"/>
              <w:ind w:left="3172"/>
              <w:spacing w:after="0"/>
              <w:rPr>
                <w:sz w:val="20"/>
                <w:szCs w:val="20"/>
                <w:color w:val="auto"/>
              </w:rPr>
            </w:pPr>
            <w:r>
              <w:rPr>
                <w:rFonts w:ascii="Arial" w:cs="Arial" w:eastAsia="Arial" w:hAnsi="Arial"/>
                <w:sz w:val="14"/>
                <w:szCs w:val="14"/>
                <w:color w:val="auto"/>
                <w:w w:val="99"/>
              </w:rPr>
              <w:t>SECTION</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3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40" w:type="dxa"/>
            <w:vAlign w:val="bottom"/>
            <w:gridSpan w:val="2"/>
          </w:tcPr>
          <w:p>
            <w:pPr>
              <w:spacing w:after="0" w:line="195" w:lineRule="exact"/>
              <w:rPr>
                <w:sz w:val="20"/>
                <w:szCs w:val="20"/>
                <w:color w:val="auto"/>
              </w:rPr>
            </w:pPr>
            <w:r>
              <w:rPr>
                <w:rFonts w:ascii="Arial" w:cs="Arial" w:eastAsia="Arial" w:hAnsi="Arial"/>
                <w:sz w:val="18"/>
                <w:szCs w:val="18"/>
                <w:color w:val="auto"/>
              </w:rPr>
              <w:t>“Bankruptcy Law”</w:t>
            </w:r>
          </w:p>
        </w:tc>
        <w:tc>
          <w:tcPr>
            <w:tcW w:w="3380" w:type="dxa"/>
            <w:vAlign w:val="bottom"/>
            <w:vMerge w:val="continue"/>
          </w:tcPr>
          <w:p>
            <w:pPr>
              <w:spacing w:after="0"/>
              <w:rPr>
                <w:sz w:val="16"/>
                <w:szCs w:val="16"/>
                <w:color w:val="auto"/>
              </w:rPr>
            </w:pP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87"/>
              </w:rPr>
              <w:t>6.1</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“Custodian”</w:t>
            </w:r>
          </w:p>
        </w:tc>
        <w:tc>
          <w:tcPr>
            <w:tcW w:w="3980" w:type="dxa"/>
            <w:vAlign w:val="bottom"/>
            <w:gridSpan w:val="2"/>
          </w:tcPr>
          <w:p>
            <w:pPr>
              <w:jc w:val="center"/>
              <w:ind w:left="3272"/>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3980" w:type="dxa"/>
            <w:vAlign w:val="bottom"/>
            <w:gridSpan w:val="2"/>
          </w:tcPr>
          <w:p>
            <w:pPr>
              <w:jc w:val="center"/>
              <w:ind w:left="3272"/>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“Judgment Currency”</w:t>
            </w:r>
          </w:p>
        </w:tc>
        <w:tc>
          <w:tcPr>
            <w:tcW w:w="3980" w:type="dxa"/>
            <w:vAlign w:val="bottom"/>
            <w:gridSpan w:val="2"/>
          </w:tcPr>
          <w:p>
            <w:pPr>
              <w:jc w:val="center"/>
              <w:ind w:left="3292"/>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“Legal Holiday”</w:t>
            </w:r>
          </w:p>
        </w:tc>
        <w:tc>
          <w:tcPr>
            <w:tcW w:w="3980" w:type="dxa"/>
            <w:vAlign w:val="bottom"/>
            <w:gridSpan w:val="2"/>
          </w:tcPr>
          <w:p>
            <w:pPr>
              <w:jc w:val="center"/>
              <w:ind w:left="3292"/>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“mandatory sinking fund payment”</w:t>
            </w:r>
          </w:p>
        </w:tc>
        <w:tc>
          <w:tcPr>
            <w:tcW w:w="3980" w:type="dxa"/>
            <w:vAlign w:val="bottom"/>
            <w:gridSpan w:val="2"/>
          </w:tcPr>
          <w:p>
            <w:pPr>
              <w:jc w:val="center"/>
              <w:ind w:left="3272"/>
              <w:spacing w:after="0"/>
              <w:rPr>
                <w:sz w:val="20"/>
                <w:szCs w:val="20"/>
                <w:color w:val="auto"/>
              </w:rPr>
            </w:pPr>
            <w:r>
              <w:rPr>
                <w:rFonts w:ascii="Arial" w:cs="Arial" w:eastAsia="Arial" w:hAnsi="Arial"/>
                <w:sz w:val="18"/>
                <w:szCs w:val="18"/>
                <w:color w:val="auto"/>
                <w:w w:val="85"/>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“New York Banking Day”</w:t>
            </w:r>
          </w:p>
        </w:tc>
        <w:tc>
          <w:tcPr>
            <w:tcW w:w="3980" w:type="dxa"/>
            <w:vAlign w:val="bottom"/>
            <w:gridSpan w:val="2"/>
          </w:tcPr>
          <w:p>
            <w:pPr>
              <w:jc w:val="center"/>
              <w:ind w:left="3292"/>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“Notice Agent”</w:t>
            </w:r>
          </w:p>
        </w:tc>
        <w:tc>
          <w:tcPr>
            <w:tcW w:w="3980" w:type="dxa"/>
            <w:vAlign w:val="bottom"/>
            <w:gridSpan w:val="2"/>
          </w:tcPr>
          <w:p>
            <w:pPr>
              <w:jc w:val="center"/>
              <w:ind w:left="3272"/>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“optional sinking fund payment”</w:t>
            </w:r>
          </w:p>
        </w:tc>
        <w:tc>
          <w:tcPr>
            <w:tcW w:w="3980" w:type="dxa"/>
            <w:vAlign w:val="bottom"/>
            <w:gridSpan w:val="2"/>
          </w:tcPr>
          <w:p>
            <w:pPr>
              <w:jc w:val="center"/>
              <w:ind w:left="3272"/>
              <w:spacing w:after="0"/>
              <w:rPr>
                <w:sz w:val="20"/>
                <w:szCs w:val="20"/>
                <w:color w:val="auto"/>
              </w:rPr>
            </w:pPr>
            <w:r>
              <w:rPr>
                <w:rFonts w:ascii="Arial" w:cs="Arial" w:eastAsia="Arial" w:hAnsi="Arial"/>
                <w:sz w:val="18"/>
                <w:szCs w:val="18"/>
                <w:color w:val="auto"/>
                <w:w w:val="85"/>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3980" w:type="dxa"/>
            <w:vAlign w:val="bottom"/>
            <w:gridSpan w:val="2"/>
          </w:tcPr>
          <w:p>
            <w:pPr>
              <w:jc w:val="center"/>
              <w:ind w:left="3272"/>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3980" w:type="dxa"/>
            <w:vAlign w:val="bottom"/>
            <w:gridSpan w:val="2"/>
          </w:tcPr>
          <w:p>
            <w:pPr>
              <w:jc w:val="center"/>
              <w:ind w:left="3272"/>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“Required Currency”</w:t>
            </w:r>
          </w:p>
        </w:tc>
        <w:tc>
          <w:tcPr>
            <w:tcW w:w="3980" w:type="dxa"/>
            <w:vAlign w:val="bottom"/>
            <w:gridSpan w:val="2"/>
          </w:tcPr>
          <w:p>
            <w:pPr>
              <w:jc w:val="center"/>
              <w:ind w:left="3292"/>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“Specified Courts”</w:t>
            </w:r>
          </w:p>
        </w:tc>
        <w:tc>
          <w:tcPr>
            <w:tcW w:w="3980" w:type="dxa"/>
            <w:vAlign w:val="bottom"/>
            <w:gridSpan w:val="2"/>
          </w:tcPr>
          <w:p>
            <w:pPr>
              <w:jc w:val="center"/>
              <w:ind w:left="3292"/>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“successor person”</w:t>
            </w:r>
          </w:p>
        </w:tc>
        <w:tc>
          <w:tcPr>
            <w:tcW w:w="3980" w:type="dxa"/>
            <w:vAlign w:val="bottom"/>
            <w:gridSpan w:val="2"/>
          </w:tcPr>
          <w:p>
            <w:pPr>
              <w:jc w:val="center"/>
              <w:ind w:left="3272"/>
              <w:spacing w:after="0"/>
              <w:rPr>
                <w:sz w:val="20"/>
                <w:szCs w:val="20"/>
                <w:color w:val="auto"/>
              </w:rPr>
            </w:pPr>
            <w:r>
              <w:rPr>
                <w:rFonts w:ascii="Arial" w:cs="Arial" w:eastAsia="Arial" w:hAnsi="Arial"/>
                <w:sz w:val="18"/>
                <w:szCs w:val="18"/>
                <w:color w:val="auto"/>
                <w:w w:val="87"/>
              </w:rPr>
              <w:t>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53" w:name="page54"/>
    <w:bookmarkEnd w:id="5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00" w:hanging="241"/>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59"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4" w:name="page55"/>
    <w:bookmarkEnd w:id="54"/>
    <w:p>
      <w:pPr>
        <w:ind w:right="7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2.2.1. the title (which shall distinguish the Securities of that particular Series from the Securities of any other Series) and ranking (including the terms of any subordination provisions) of the Series;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2.2.2. the price or prices (expressed as a percentage of the principal amount thereof) at which the Securities of the Series will be issued;</w:t>
      </w:r>
    </w:p>
    <w:p>
      <w:pPr>
        <w:spacing w:after="0" w:line="248"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2.2.4. the date or dates on which the principal of the Securities of the Series is payable;</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2.2.10. if other than denominations of $1,000 and any integral multiple thereof, the denominations in which the Securities of the Series shall be issuable;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5" w:name="page56"/>
    <w:bookmarkEnd w:id="5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2.2.11. the forms of the Securities of the Series and whether the Securities will be issuable as Global Securities;</w:t>
      </w:r>
    </w:p>
    <w:p>
      <w:pPr>
        <w:spacing w:after="0" w:line="225" w:lineRule="exact"/>
        <w:rPr>
          <w:sz w:val="20"/>
          <w:szCs w:val="20"/>
          <w:color w:val="auto"/>
        </w:rPr>
      </w:pPr>
    </w:p>
    <w:p>
      <w:pPr>
        <w:jc w:val="both"/>
        <w:ind w:right="200" w:firstLine="991"/>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46"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2.2.17. the provisions, if any, relating to any security provided for the Securities of the Series;</w:t>
      </w:r>
    </w:p>
    <w:p>
      <w:pPr>
        <w:spacing w:after="0" w:line="225"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2.2.19. any addition to, deletion of or change in the covenants set forth in Articles IV or V which applies to Securities of the Series;</w:t>
      </w:r>
    </w:p>
    <w:p>
      <w:pPr>
        <w:spacing w:after="0" w:line="23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56" w:name="page57"/>
    <w:bookmarkEnd w:id="56"/>
    <w:p>
      <w:pPr>
        <w:ind w:right="3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 Officer shall sign the Securities for the Company by manual or facsimile signature.</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4"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relying on: (a) the Board Resolution, supplemental indenture hereto or Officer’s Certificate establishing the form of the Securities of that Series 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within that Series and the terms of the Securities of that Series or of Securities within that Series, (b) an Officer’s Certificate complying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10.4, and (c) an Opinion of Counsel complying with Section 10.4.</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57" w:name="page58"/>
    <w:bookmarkEnd w:id="57"/>
    <w:p>
      <w:pPr>
        <w:ind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88"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where Securities of such Series may be surrendered for registration of transfer 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where notices and demands to or upon the Company in respect of the Securities of such Series and this Indenture may be delivered (“</w:t>
      </w:r>
      <w:r>
        <w:rPr>
          <w:rFonts w:ascii="Arial" w:cs="Arial" w:eastAsia="Arial" w:hAnsi="Arial"/>
          <w:sz w:val="16"/>
          <w:szCs w:val="16"/>
          <w:i w:val="1"/>
          <w:iCs w:val="1"/>
          <w:color w:val="auto"/>
        </w:rPr>
        <w:t>Notice Agent</w:t>
      </w:r>
      <w:r>
        <w:rPr>
          <w:rFonts w:ascii="Arial" w:cs="Arial" w:eastAsia="Arial" w:hAnsi="Arial"/>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68"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serve as Registrar or Paying Agent.</w:t>
      </w:r>
    </w:p>
    <w:p>
      <w:pPr>
        <w:spacing w:after="0" w:line="195"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58" w:name="page59"/>
    <w:bookmarkEnd w:id="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Arial" w:cs="Arial" w:eastAsia="Arial" w:hAnsi="Arial"/>
          <w:sz w:val="18"/>
          <w:szCs w:val="18"/>
          <w:u w:val="single" w:color="auto"/>
          <w:color w:val="auto"/>
        </w:rPr>
        <w:t>Securityholder Lists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991"/>
        <w:spacing w:after="0" w:line="301"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59" w:name="page60"/>
    <w:bookmarkEnd w:id="59"/>
    <w:p>
      <w:pPr>
        <w:ind w:right="5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Security does not cease to be outstanding because the Company or an Affiliate of the Company holds the Security (but see Section 2.10 below).</w:t>
      </w:r>
    </w:p>
    <w:p>
      <w:pPr>
        <w:spacing w:after="0" w:line="23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60" w:name="page61"/>
    <w:bookmarkEnd w:id="6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301"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61" w:name="page62"/>
    <w:bookmarkEnd w:id="6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4" w:lineRule="exact"/>
        <w:rPr>
          <w:sz w:val="20"/>
          <w:szCs w:val="20"/>
          <w:color w:val="auto"/>
        </w:rPr>
      </w:pPr>
    </w:p>
    <w:p>
      <w:pPr>
        <w:ind w:right="100" w:firstLine="991"/>
        <w:spacing w:after="0" w:line="290"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6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Legends</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9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In addition, so long as the Depository Trust Company (“DTC”) is the Depositary, each Global Note registered in the name of DTC or its nominee shall bear a legend in substantially the following form:</w:t>
      </w:r>
    </w:p>
    <w:p>
      <w:pPr>
        <w:spacing w:after="0" w:line="170" w:lineRule="exact"/>
        <w:rPr>
          <w:sz w:val="20"/>
          <w:szCs w:val="20"/>
          <w:color w:val="auto"/>
        </w:rPr>
      </w:pPr>
    </w:p>
    <w:p>
      <w:pPr>
        <w:ind w:right="340" w:firstLine="991"/>
        <w:spacing w:after="0" w:line="254" w:lineRule="auto"/>
        <w:rPr>
          <w:sz w:val="20"/>
          <w:szCs w:val="20"/>
          <w:color w:val="auto"/>
        </w:rPr>
      </w:pPr>
      <w:r>
        <w:rPr>
          <w:rFonts w:ascii="Arial" w:cs="Arial" w:eastAsia="Arial" w:hAnsi="Arial"/>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62" w:name="page63"/>
    <w:bookmarkEnd w:id="62"/>
    <w:p>
      <w:pPr>
        <w:ind w:right="10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6"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63" w:name="page64"/>
    <w:bookmarkEnd w:id="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117" w:lineRule="exact"/>
        <w:rPr>
          <w:sz w:val="20"/>
          <w:szCs w:val="20"/>
          <w:color w:val="auto"/>
        </w:rPr>
      </w:pPr>
    </w:p>
    <w:p>
      <w:pPr>
        <w:ind w:left="1100" w:hanging="24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jc w:val="both"/>
        <w:ind w:left="440" w:right="360" w:firstLine="419"/>
        <w:spacing w:after="0" w:line="286" w:lineRule="auto"/>
        <w:tabs>
          <w:tab w:leader="none" w:pos="1118"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57" w:lineRule="exact"/>
        <w:rPr>
          <w:rFonts w:ascii="Arial" w:cs="Arial" w:eastAsia="Arial" w:hAnsi="Arial"/>
          <w:sz w:val="17"/>
          <w:szCs w:val="17"/>
          <w:color w:val="auto"/>
        </w:rPr>
      </w:pPr>
    </w:p>
    <w:p>
      <w:pPr>
        <w:ind w:left="1100" w:hanging="241"/>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64" w:name="page65"/>
    <w:bookmarkEnd w:id="64"/>
    <w:p>
      <w:pPr>
        <w:ind w:left="440" w:right="440" w:firstLine="419"/>
        <w:spacing w:after="0" w:line="277" w:lineRule="auto"/>
        <w:tabs>
          <w:tab w:leader="none" w:pos="1088"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interest on Securities of the Series called for redemption ceases to accrue on and after the redemption date unless the Company defaults in the deposit of the redemption price;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8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and Interest</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79"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 </w:t>
      </w:r>
      <w:r>
        <w:rPr>
          <w:rFonts w:ascii="Arial" w:cs="Arial" w:eastAsia="Arial" w:hAnsi="Arial"/>
          <w:sz w:val="18"/>
          <w:szCs w:val="18"/>
          <w:u w:val="single" w:color="auto"/>
          <w:color w:val="auto"/>
        </w:rPr>
        <w:t>SEC Reports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76"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66" w:name="page67"/>
    <w:bookmarkEnd w:id="66"/>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When Company May Merge, Etc</w:t>
      </w:r>
      <w:r>
        <w:rPr>
          <w:rFonts w:ascii="Arial" w:cs="Arial" w:eastAsia="Arial" w:hAnsi="Arial"/>
          <w:sz w:val="18"/>
          <w:szCs w:val="18"/>
          <w:color w:val="auto"/>
        </w:rPr>
        <w:t>.</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62" w:lineRule="exact"/>
        <w:rPr>
          <w:sz w:val="20"/>
          <w:szCs w:val="20"/>
          <w:color w:val="auto"/>
        </w:rPr>
      </w:pPr>
    </w:p>
    <w:p>
      <w:pPr>
        <w:ind w:left="440" w:right="260" w:firstLine="419"/>
        <w:spacing w:after="0" w:line="263" w:lineRule="auto"/>
        <w:tabs>
          <w:tab w:leader="none" w:pos="11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46"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40" w:top="274" w:right="559" w:bottom="1440" w:gutter="0" w:footer="0" w:header="0"/>
        </w:sectPr>
      </w:pPr>
    </w:p>
    <w:bookmarkStart w:id="67" w:name="page68"/>
    <w:bookmarkEnd w:id="67"/>
    <w:p>
      <w:pPr>
        <w:jc w:val="both"/>
        <w:ind w:right="100" w:firstLine="419"/>
        <w:spacing w:after="0" w:line="259" w:lineRule="auto"/>
        <w:tabs>
          <w:tab w:leader="none" w:pos="668"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such period); or</w:t>
      </w:r>
    </w:p>
    <w:p>
      <w:pPr>
        <w:spacing w:after="0" w:line="2" w:lineRule="exact"/>
        <w:rPr>
          <w:rFonts w:ascii="Arial" w:cs="Arial" w:eastAsia="Arial" w:hAnsi="Arial"/>
          <w:sz w:val="18"/>
          <w:szCs w:val="18"/>
          <w:color w:val="auto"/>
        </w:rPr>
      </w:pPr>
    </w:p>
    <w:p>
      <w:pPr>
        <w:ind w:left="680" w:hanging="26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101" w:lineRule="exact"/>
        <w:rPr>
          <w:rFonts w:ascii="Arial" w:cs="Arial" w:eastAsia="Arial" w:hAnsi="Arial"/>
          <w:sz w:val="18"/>
          <w:szCs w:val="18"/>
          <w:color w:val="auto"/>
        </w:rPr>
      </w:pPr>
    </w:p>
    <w:p>
      <w:pPr>
        <w:ind w:firstLine="419"/>
        <w:spacing w:after="0" w:line="255" w:lineRule="auto"/>
        <w:tabs>
          <w:tab w:leader="none" w:pos="6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84" w:lineRule="exact"/>
        <w:rPr>
          <w:rFonts w:ascii="Arial" w:cs="Arial" w:eastAsia="Arial" w:hAnsi="Arial"/>
          <w:sz w:val="18"/>
          <w:szCs w:val="18"/>
          <w:color w:val="auto"/>
        </w:rPr>
      </w:pPr>
    </w:p>
    <w:p>
      <w:pPr>
        <w:ind w:left="680" w:hanging="26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160" w:hanging="212"/>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220" w:hanging="272"/>
        <w:spacing w:after="0"/>
        <w:tabs>
          <w:tab w:leader="none" w:pos="12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260" w:hanging="312"/>
        <w:spacing w:after="0"/>
        <w:tabs>
          <w:tab w:leader="none" w:pos="1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260" w:hanging="312"/>
        <w:spacing w:after="0"/>
        <w:tabs>
          <w:tab w:leader="none" w:pos="1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117" w:lineRule="exact"/>
        <w:rPr>
          <w:rFonts w:ascii="Arial" w:cs="Arial" w:eastAsia="Arial" w:hAnsi="Arial"/>
          <w:sz w:val="18"/>
          <w:szCs w:val="18"/>
          <w:color w:val="auto"/>
        </w:rPr>
      </w:pPr>
    </w:p>
    <w:p>
      <w:pPr>
        <w:ind w:left="660" w:hanging="241"/>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160" w:hanging="212"/>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17" w:lineRule="exact"/>
        <w:rPr>
          <w:rFonts w:ascii="Arial" w:cs="Arial" w:eastAsia="Arial" w:hAnsi="Arial"/>
          <w:sz w:val="18"/>
          <w:szCs w:val="18"/>
          <w:color w:val="auto"/>
        </w:rPr>
      </w:pPr>
    </w:p>
    <w:p>
      <w:pPr>
        <w:ind w:left="1220" w:hanging="272"/>
        <w:spacing w:after="0"/>
        <w:tabs>
          <w:tab w:leader="none" w:pos="12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260" w:hanging="312"/>
        <w:spacing w:after="0"/>
        <w:tabs>
          <w:tab w:leader="none" w:pos="1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117" w:lineRule="exact"/>
        <w:rPr>
          <w:sz w:val="20"/>
          <w:szCs w:val="20"/>
          <w:color w:val="auto"/>
        </w:rPr>
      </w:pPr>
    </w:p>
    <w:p>
      <w:pPr>
        <w:ind w:right="180" w:firstLine="419"/>
        <w:spacing w:after="0" w:line="277"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60"/>
          </w:cols>
          <w:pgMar w:left="880" w:top="274" w:right="559" w:bottom="1440" w:gutter="0" w:footer="0" w:header="0"/>
        </w:sectPr>
      </w:pPr>
    </w:p>
    <w:bookmarkStart w:id="68" w:name="page69"/>
    <w:bookmarkEnd w:id="68"/>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90" w:lineRule="auto"/>
        <w:rPr>
          <w:sz w:val="20"/>
          <w:szCs w:val="20"/>
          <w:color w:val="auto"/>
        </w:rPr>
      </w:pPr>
      <w:r>
        <w:rPr>
          <w:rFonts w:ascii="Arial" w:cs="Arial" w:eastAsia="Arial" w:hAnsi="Arial"/>
          <w:sz w:val="16"/>
          <w:szCs w:val="16"/>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become and be immediately due and payable without any declaration or other act on the part of the Trustee or any Holder.</w:t>
      </w:r>
    </w:p>
    <w:p>
      <w:pPr>
        <w:spacing w:after="0" w:line="165"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40" w:right="140" w:firstLine="419"/>
        <w:spacing w:after="0" w:line="277" w:lineRule="auto"/>
        <w:tabs>
          <w:tab w:leader="none" w:pos="11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40" w:top="274" w:right="519" w:bottom="1440" w:gutter="0" w:footer="0" w:header="0"/>
        </w:sectPr>
      </w:pPr>
    </w:p>
    <w:bookmarkStart w:id="69" w:name="page70"/>
    <w:bookmarkEnd w:id="69"/>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default is made in the deposit of any sinking fund payment, if any, when and as due by the terms of a Security,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then, </w:t>
      </w:r>
      <w:r>
        <w:rPr>
          <w:rFonts w:ascii="Arial" w:cs="Arial" w:eastAsia="Arial" w:hAnsi="Arial"/>
          <w:sz w:val="18"/>
          <w:szCs w:val="18"/>
          <w:color w:val="auto"/>
        </w:rPr>
        <w:t>the Company will, upon demand of the Trustee, pay to it, for the benefit of the Holders of such Securities, the whole amount then due and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8" w:lineRule="exact"/>
        <w:rPr>
          <w:sz w:val="20"/>
          <w:szCs w:val="20"/>
          <w:color w:val="auto"/>
        </w:rPr>
      </w:pPr>
    </w:p>
    <w:p>
      <w:pPr>
        <w:ind w:left="440" w:right="100" w:firstLine="419"/>
        <w:spacing w:after="0" w:line="259" w:lineRule="auto"/>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70" w:name="page71"/>
    <w:bookmarkEnd w:id="70"/>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7"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100" w:hanging="241"/>
        <w:spacing w:after="0"/>
        <w:tabs>
          <w:tab w:leader="none" w:pos="11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Series;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71" w:name="page72"/>
    <w:bookmarkEnd w:id="71"/>
    <w:p>
      <w:pPr>
        <w:ind w:left="440" w:right="220" w:firstLine="419"/>
        <w:spacing w:after="0" w:line="277" w:lineRule="auto"/>
        <w:tabs>
          <w:tab w:leader="none" w:pos="1118"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1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40" w:lineRule="exact"/>
        <w:rPr>
          <w:rFonts w:ascii="Arial" w:cs="Arial" w:eastAsia="Arial" w:hAnsi="Arial"/>
          <w:sz w:val="16"/>
          <w:szCs w:val="16"/>
          <w:color w:val="auto"/>
        </w:rPr>
      </w:pPr>
    </w:p>
    <w:p>
      <w:pPr>
        <w:ind w:left="440" w:right="100" w:firstLine="419"/>
        <w:spacing w:after="0" w:line="277" w:lineRule="auto"/>
        <w:tabs>
          <w:tab w:leader="none" w:pos="11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6" w:lineRule="exact"/>
        <w:rPr>
          <w:sz w:val="20"/>
          <w:szCs w:val="20"/>
          <w:color w:val="auto"/>
        </w:rPr>
      </w:pPr>
    </w:p>
    <w:p>
      <w:pPr>
        <w:ind w:left="1100" w:hanging="241"/>
        <w:spacing w:after="0"/>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117" w:lineRule="exact"/>
        <w:rPr>
          <w:rFonts w:ascii="Arial" w:cs="Arial" w:eastAsia="Arial" w:hAnsi="Arial"/>
          <w:sz w:val="18"/>
          <w:szCs w:val="18"/>
          <w:color w:val="auto"/>
        </w:rPr>
      </w:pPr>
    </w:p>
    <w:p>
      <w:pPr>
        <w:ind w:left="440" w:firstLine="419"/>
        <w:spacing w:after="0" w:line="342" w:lineRule="auto"/>
        <w:tabs>
          <w:tab w:leader="none" w:pos="1108"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5" w:lineRule="exact"/>
        <w:rPr>
          <w:rFonts w:ascii="Arial" w:cs="Arial" w:eastAsia="Arial" w:hAnsi="Arial"/>
          <w:sz w:val="16"/>
          <w:szCs w:val="16"/>
          <w:color w:val="auto"/>
        </w:rPr>
      </w:pPr>
    </w:p>
    <w:p>
      <w:pPr>
        <w:ind w:left="440" w:right="40" w:firstLine="419"/>
        <w:spacing w:after="0" w:line="277" w:lineRule="auto"/>
        <w:tabs>
          <w:tab w:leader="none" w:pos="11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73" w:name="page74"/>
    <w:bookmarkEnd w:id="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left="440" w:right="160" w:firstLine="419"/>
        <w:spacing w:after="0" w:line="263" w:lineRule="auto"/>
        <w:tabs>
          <w:tab w:leader="none" w:pos="11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117" w:lineRule="exact"/>
        <w:rPr>
          <w:rFonts w:ascii="Arial" w:cs="Arial" w:eastAsia="Arial" w:hAnsi="Arial"/>
          <w:sz w:val="18"/>
          <w:szCs w:val="18"/>
          <w:color w:val="auto"/>
        </w:rPr>
      </w:pPr>
    </w:p>
    <w:p>
      <w:pPr>
        <w:ind w:left="980" w:right="200" w:firstLine="408"/>
        <w:spacing w:after="0" w:line="275" w:lineRule="auto"/>
        <w:tabs>
          <w:tab w:leader="none" w:pos="1646"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7"/>
          <w:szCs w:val="17"/>
          <w:u w:val="single" w:color="auto"/>
          <w:color w:val="auto"/>
        </w:rPr>
        <w:t>however</w:t>
      </w:r>
      <w:r>
        <w:rPr>
          <w:rFonts w:ascii="Arial" w:cs="Arial" w:eastAsia="Arial" w:hAnsi="Arial"/>
          <w:sz w:val="17"/>
          <w:szCs w:val="17"/>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68" w:lineRule="exact"/>
        <w:rPr>
          <w:rFonts w:ascii="Arial" w:cs="Arial" w:eastAsia="Arial" w:hAnsi="Arial"/>
          <w:sz w:val="17"/>
          <w:szCs w:val="17"/>
          <w:color w:val="auto"/>
        </w:rPr>
      </w:pPr>
    </w:p>
    <w:p>
      <w:pPr>
        <w:ind w:left="440" w:right="40" w:firstLine="419"/>
        <w:spacing w:after="0" w:line="277" w:lineRule="auto"/>
        <w:tabs>
          <w:tab w:leader="none" w:pos="11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74" w:name="page75"/>
    <w:bookmarkEnd w:id="74"/>
    <w:p>
      <w:pPr>
        <w:ind w:left="540" w:right="120" w:firstLine="408"/>
        <w:spacing w:after="0" w:line="277" w:lineRule="auto"/>
        <w:tabs>
          <w:tab w:leader="none" w:pos="1206"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liable for any error of judgment made in good faith by a Responsible Officer, unless it is proved that the Trustee was negligent in ascertaining the pertinent facts.</w:t>
      </w:r>
    </w:p>
    <w:p>
      <w:pPr>
        <w:spacing w:after="0" w:line="62" w:lineRule="exact"/>
        <w:rPr>
          <w:rFonts w:ascii="Arial" w:cs="Arial" w:eastAsia="Arial" w:hAnsi="Arial"/>
          <w:sz w:val="18"/>
          <w:szCs w:val="18"/>
          <w:color w:val="auto"/>
        </w:rPr>
      </w:pPr>
    </w:p>
    <w:p>
      <w:pPr>
        <w:ind w:left="540" w:right="60" w:firstLine="408"/>
        <w:spacing w:after="0" w:line="286" w:lineRule="auto"/>
        <w:tabs>
          <w:tab w:leader="none" w:pos="1256"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Section 6.12.</w:t>
      </w:r>
    </w:p>
    <w:p>
      <w:pPr>
        <w:spacing w:after="0" w:line="102" w:lineRule="exact"/>
        <w:rPr>
          <w:rFonts w:ascii="Arial" w:cs="Arial" w:eastAsia="Arial" w:hAnsi="Arial"/>
          <w:sz w:val="16"/>
          <w:szCs w:val="16"/>
          <w:color w:val="auto"/>
        </w:rPr>
      </w:pPr>
    </w:p>
    <w:p>
      <w:pPr>
        <w:ind w:left="680" w:hanging="26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117" w:lineRule="exact"/>
        <w:rPr>
          <w:rFonts w:ascii="Arial" w:cs="Arial" w:eastAsia="Arial" w:hAnsi="Arial"/>
          <w:sz w:val="18"/>
          <w:szCs w:val="18"/>
          <w:color w:val="auto"/>
        </w:rPr>
      </w:pPr>
    </w:p>
    <w:p>
      <w:pPr>
        <w:ind w:firstLine="419"/>
        <w:spacing w:after="0" w:line="277" w:lineRule="auto"/>
        <w:tabs>
          <w:tab w:leader="none" w:pos="6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62" w:lineRule="exact"/>
        <w:rPr>
          <w:rFonts w:ascii="Arial" w:cs="Arial" w:eastAsia="Arial" w:hAnsi="Arial"/>
          <w:sz w:val="18"/>
          <w:szCs w:val="18"/>
          <w:color w:val="auto"/>
        </w:rPr>
      </w:pPr>
    </w:p>
    <w:p>
      <w:pPr>
        <w:ind w:right="340" w:firstLine="419"/>
        <w:spacing w:after="0" w:line="277"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62" w:lineRule="exact"/>
        <w:rPr>
          <w:rFonts w:ascii="Arial" w:cs="Arial" w:eastAsia="Arial" w:hAnsi="Arial"/>
          <w:sz w:val="18"/>
          <w:szCs w:val="18"/>
          <w:color w:val="auto"/>
        </w:rPr>
      </w:pPr>
    </w:p>
    <w:p>
      <w:pPr>
        <w:ind w:right="80" w:firstLine="419"/>
        <w:spacing w:after="0" w:line="263" w:lineRule="auto"/>
        <w:tabs>
          <w:tab w:leader="none" w:pos="6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75" w:lineRule="exact"/>
        <w:rPr>
          <w:rFonts w:ascii="Arial" w:cs="Arial" w:eastAsia="Arial" w:hAnsi="Arial"/>
          <w:sz w:val="18"/>
          <w:szCs w:val="18"/>
          <w:color w:val="auto"/>
        </w:rPr>
      </w:pPr>
    </w:p>
    <w:p>
      <w:pPr>
        <w:ind w:right="560" w:firstLine="419"/>
        <w:spacing w:after="0" w:line="277" w:lineRule="auto"/>
        <w:tabs>
          <w:tab w:leader="none" w:pos="6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right="140" w:firstLine="419"/>
        <w:spacing w:after="0" w:line="263" w:lineRule="auto"/>
        <w:tabs>
          <w:tab w:leader="none" w:pos="6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75" w:lineRule="exact"/>
        <w:rPr>
          <w:rFonts w:ascii="Arial" w:cs="Arial" w:eastAsia="Arial" w:hAnsi="Arial"/>
          <w:sz w:val="18"/>
          <w:szCs w:val="18"/>
          <w:color w:val="auto"/>
        </w:rPr>
      </w:pPr>
    </w:p>
    <w:p>
      <w:pPr>
        <w:ind w:right="400" w:firstLine="419"/>
        <w:spacing w:after="0" w:line="342" w:lineRule="auto"/>
        <w:tabs>
          <w:tab w:leader="none" w:pos="678" w:val="left"/>
        </w:tabs>
        <w:numPr>
          <w:ilvl w:val="0"/>
          <w:numId w:val="56"/>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5" w:lineRule="exact"/>
        <w:rPr>
          <w:rFonts w:ascii="Arial" w:cs="Arial" w:eastAsia="Arial" w:hAnsi="Arial"/>
          <w:sz w:val="16"/>
          <w:szCs w:val="16"/>
          <w:color w:val="auto"/>
        </w:rPr>
      </w:pPr>
    </w:p>
    <w:p>
      <w:pPr>
        <w:ind w:right="140" w:firstLine="419"/>
        <w:spacing w:after="0" w:line="342" w:lineRule="auto"/>
        <w:tabs>
          <w:tab w:leader="none" w:pos="66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80"/>
          </w:cols>
          <w:pgMar w:left="880" w:top="274" w:right="439" w:bottom="1440" w:gutter="0" w:footer="0" w:header="0"/>
        </w:sectPr>
      </w:pPr>
    </w:p>
    <w:bookmarkStart w:id="75" w:name="page76"/>
    <w:bookmarkEnd w:id="75"/>
    <w:p>
      <w:pPr>
        <w:ind w:left="440" w:right="120" w:firstLine="419"/>
        <w:spacing w:after="0" w:line="277" w:lineRule="auto"/>
        <w:tabs>
          <w:tab w:leader="none" w:pos="1118"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1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75" w:lineRule="exact"/>
        <w:rPr>
          <w:rFonts w:ascii="Arial" w:cs="Arial" w:eastAsia="Arial" w:hAnsi="Arial"/>
          <w:sz w:val="18"/>
          <w:szCs w:val="18"/>
          <w:color w:val="auto"/>
        </w:rPr>
      </w:pPr>
    </w:p>
    <w:p>
      <w:pPr>
        <w:ind w:left="440" w:firstLine="419"/>
        <w:spacing w:after="0" w:line="263" w:lineRule="auto"/>
        <w:tabs>
          <w:tab w:leader="none" w:pos="10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75" w:lineRule="exact"/>
        <w:rPr>
          <w:rFonts w:ascii="Arial" w:cs="Arial" w:eastAsia="Arial" w:hAnsi="Arial"/>
          <w:sz w:val="18"/>
          <w:szCs w:val="18"/>
          <w:color w:val="auto"/>
        </w:rPr>
      </w:pPr>
    </w:p>
    <w:p>
      <w:pPr>
        <w:ind w:left="440" w:right="440" w:firstLine="419"/>
        <w:spacing w:after="0" w:line="311" w:lineRule="auto"/>
        <w:tabs>
          <w:tab w:leader="none" w:pos="111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40" w:lineRule="exact"/>
        <w:rPr>
          <w:rFonts w:ascii="Arial" w:cs="Arial" w:eastAsia="Arial" w:hAnsi="Arial"/>
          <w:sz w:val="16"/>
          <w:szCs w:val="16"/>
          <w:color w:val="auto"/>
        </w:rPr>
      </w:pPr>
    </w:p>
    <w:p>
      <w:pPr>
        <w:ind w:left="440" w:right="40" w:firstLine="419"/>
        <w:spacing w:after="0" w:line="286" w:lineRule="auto"/>
        <w:tabs>
          <w:tab w:leader="none" w:pos="111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57" w:lineRule="exact"/>
        <w:rPr>
          <w:rFonts w:ascii="Arial" w:cs="Arial" w:eastAsia="Arial" w:hAnsi="Arial"/>
          <w:sz w:val="17"/>
          <w:szCs w:val="17"/>
          <w:color w:val="auto"/>
        </w:rPr>
      </w:pPr>
    </w:p>
    <w:p>
      <w:pPr>
        <w:ind w:left="440" w:right="60" w:firstLine="419"/>
        <w:spacing w:after="0" w:line="308" w:lineRule="auto"/>
        <w:tabs>
          <w:tab w:leader="none" w:pos="1078"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38" w:lineRule="exact"/>
        <w:rPr>
          <w:rFonts w:ascii="Arial" w:cs="Arial" w:eastAsia="Arial" w:hAnsi="Arial"/>
          <w:sz w:val="17"/>
          <w:szCs w:val="17"/>
          <w:color w:val="auto"/>
        </w:rPr>
      </w:pPr>
    </w:p>
    <w:p>
      <w:pPr>
        <w:ind w:left="1080" w:hanging="221"/>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 so.</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76" w:name="page77"/>
    <w:bookmarkEnd w:id="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Within 60 days after each [ ] commencing [ ], [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84"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7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70" w:lineRule="exact"/>
        <w:rPr>
          <w:sz w:val="20"/>
          <w:szCs w:val="20"/>
          <w:color w:val="auto"/>
        </w:rPr>
      </w:pPr>
    </w:p>
    <w:p>
      <w:pPr>
        <w:ind w:right="480" w:firstLine="991"/>
        <w:spacing w:after="0" w:line="342" w:lineRule="auto"/>
        <w:rPr>
          <w:sz w:val="20"/>
          <w:szCs w:val="20"/>
          <w:color w:val="auto"/>
        </w:rPr>
      </w:pPr>
      <w:r>
        <w:rPr>
          <w:rFonts w:ascii="Arial" w:cs="Arial" w:eastAsia="Arial" w:hAnsi="Arial"/>
          <w:sz w:val="16"/>
          <w:szCs w:val="16"/>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2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77" w:name="page78"/>
    <w:bookmarkEnd w:id="7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Section shall survive the termination of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41" w:lineRule="exact"/>
        <w:rPr>
          <w:sz w:val="20"/>
          <w:szCs w:val="20"/>
          <w:color w:val="auto"/>
        </w:rPr>
      </w:pPr>
    </w:p>
    <w:p>
      <w:pPr>
        <w:ind w:left="1100" w:hanging="241"/>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00" w:hanging="241"/>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240" w:firstLine="991"/>
        <w:spacing w:after="0" w:line="286" w:lineRule="auto"/>
        <w:rPr>
          <w:sz w:val="20"/>
          <w:szCs w:val="20"/>
          <w:color w:val="auto"/>
        </w:rPr>
      </w:pPr>
      <w:r>
        <w:rPr>
          <w:rFonts w:ascii="Arial" w:cs="Arial" w:eastAsia="Arial" w:hAnsi="Arial"/>
          <w:sz w:val="17"/>
          <w:szCs w:val="17"/>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6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78" w:name="page79"/>
    <w:bookmarkEnd w:id="7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225" w:lineRule="exact"/>
        <w:rPr>
          <w:sz w:val="20"/>
          <w:szCs w:val="20"/>
          <w:color w:val="auto"/>
        </w:rPr>
      </w:pPr>
    </w:p>
    <w:p>
      <w:pPr>
        <w:ind w:right="440" w:firstLine="991"/>
        <w:spacing w:after="0" w:line="308" w:lineRule="auto"/>
        <w:rPr>
          <w:sz w:val="20"/>
          <w:szCs w:val="20"/>
          <w:color w:val="auto"/>
        </w:rPr>
      </w:pPr>
      <w:r>
        <w:rPr>
          <w:rFonts w:ascii="Arial" w:cs="Arial" w:eastAsia="Arial" w:hAnsi="Arial"/>
          <w:sz w:val="17"/>
          <w:szCs w:val="17"/>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SATISFACTION AND DISCHARGE; DEFEASANCE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76" w:lineRule="exact"/>
        <w:rPr>
          <w:sz w:val="20"/>
          <w:szCs w:val="20"/>
          <w:color w:val="auto"/>
        </w:rPr>
      </w:pPr>
    </w:p>
    <w:p>
      <w:pPr>
        <w:ind w:left="1100" w:hanging="241"/>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right="60" w:firstLine="408"/>
        <w:spacing w:after="0" w:line="277" w:lineRule="auto"/>
        <w:tabs>
          <w:tab w:leader="none" w:pos="1596"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420" w:right="140" w:firstLine="391"/>
        <w:spacing w:after="0" w:line="308" w:lineRule="auto"/>
        <w:tabs>
          <w:tab w:leader="none" w:pos="2058" w:val="left"/>
        </w:tabs>
        <w:numPr>
          <w:ilvl w:val="2"/>
          <w:numId w:val="59"/>
        </w:numPr>
        <w:rPr>
          <w:rFonts w:ascii="Arial" w:cs="Arial" w:eastAsia="Arial" w:hAnsi="Arial"/>
          <w:sz w:val="17"/>
          <w:szCs w:val="17"/>
          <w:color w:val="auto"/>
        </w:rPr>
      </w:pPr>
      <w:r>
        <w:rPr>
          <w:rFonts w:ascii="Arial" w:cs="Arial" w:eastAsia="Arial" w:hAnsi="Arial"/>
          <w:sz w:val="17"/>
          <w:szCs w:val="17"/>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38" w:lineRule="exact"/>
        <w:rPr>
          <w:rFonts w:ascii="Arial" w:cs="Arial" w:eastAsia="Arial" w:hAnsi="Arial"/>
          <w:sz w:val="17"/>
          <w:szCs w:val="17"/>
          <w:color w:val="auto"/>
        </w:rPr>
      </w:pPr>
    </w:p>
    <w:p>
      <w:pPr>
        <w:ind w:left="2060" w:hanging="249"/>
        <w:spacing w:after="0"/>
        <w:tabs>
          <w:tab w:leader="none" w:pos="20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440" w:top="274" w:right="519" w:bottom="1440" w:gutter="0" w:footer="0" w:header="0"/>
        </w:sectPr>
      </w:pPr>
    </w:p>
    <w:bookmarkStart w:id="79" w:name="page80"/>
    <w:bookmarkEnd w:id="79"/>
    <w:p>
      <w:pPr>
        <w:ind w:left="1120" w:hanging="261"/>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paid or caused to be paid all other sums payable hereunder by the Company; and</w:t>
      </w:r>
    </w:p>
    <w:p>
      <w:pPr>
        <w:spacing w:after="0" w:line="117" w:lineRule="exact"/>
        <w:rPr>
          <w:rFonts w:ascii="Arial" w:cs="Arial" w:eastAsia="Arial" w:hAnsi="Arial"/>
          <w:sz w:val="18"/>
          <w:szCs w:val="18"/>
          <w:color w:val="auto"/>
        </w:rPr>
      </w:pPr>
    </w:p>
    <w:p>
      <w:pPr>
        <w:ind w:left="440" w:right="460" w:firstLine="419"/>
        <w:spacing w:after="0" w:line="308" w:lineRule="auto"/>
        <w:tabs>
          <w:tab w:leader="none" w:pos="110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46"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Funds; Indemnification</w:t>
      </w:r>
      <w:r>
        <w:rPr>
          <w:rFonts w:ascii="Arial" w:cs="Arial" w:eastAsia="Arial" w:hAnsi="Arial"/>
          <w:sz w:val="18"/>
          <w:szCs w:val="18"/>
          <w:color w:val="auto"/>
        </w:rPr>
        <w:t>.</w:t>
      </w:r>
    </w:p>
    <w:p>
      <w:pPr>
        <w:spacing w:after="0" w:line="117" w:lineRule="exact"/>
        <w:rPr>
          <w:sz w:val="20"/>
          <w:szCs w:val="20"/>
          <w:color w:val="auto"/>
        </w:rPr>
      </w:pPr>
    </w:p>
    <w:p>
      <w:pPr>
        <w:ind w:left="440" w:right="40" w:firstLine="419"/>
        <w:spacing w:after="0" w:line="254" w:lineRule="auto"/>
        <w:tabs>
          <w:tab w:leader="none" w:pos="11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86"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75" w:lineRule="exact"/>
        <w:rPr>
          <w:rFonts w:ascii="Arial" w:cs="Arial" w:eastAsia="Arial" w:hAnsi="Arial"/>
          <w:sz w:val="18"/>
          <w:szCs w:val="18"/>
          <w:color w:val="auto"/>
        </w:rPr>
      </w:pPr>
    </w:p>
    <w:p>
      <w:pPr>
        <w:ind w:left="440" w:right="40" w:firstLine="419"/>
        <w:spacing w:after="0" w:line="273" w:lineRule="auto"/>
        <w:tabs>
          <w:tab w:leader="none" w:pos="110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Legal Defeasance of Securities of any Series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80" w:lineRule="exact"/>
        <w:rPr>
          <w:sz w:val="20"/>
          <w:szCs w:val="20"/>
          <w:color w:val="auto"/>
        </w:rPr>
      </w:pPr>
    </w:p>
    <w:p>
      <w:pPr>
        <w:ind w:left="440" w:right="60" w:firstLine="419"/>
        <w:spacing w:after="0" w:line="301" w:lineRule="auto"/>
        <w:tabs>
          <w:tab w:leader="none" w:pos="110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49" w:lineRule="exact"/>
        <w:rPr>
          <w:rFonts w:ascii="Arial" w:cs="Arial" w:eastAsia="Arial" w:hAnsi="Arial"/>
          <w:sz w:val="16"/>
          <w:szCs w:val="16"/>
          <w:color w:val="auto"/>
        </w:rPr>
      </w:pPr>
    </w:p>
    <w:p>
      <w:pPr>
        <w:ind w:left="1120" w:hanging="261"/>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of Sections 2.4, 2.5, 2.7, 2.8, 7.7, 8.2, 8.3, 8.5 and 8.6;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80" w:name="page81"/>
    <w:bookmarkEnd w:id="80"/>
    <w:p>
      <w:pPr>
        <w:ind w:left="440" w:right="40" w:firstLine="419"/>
        <w:spacing w:after="0" w:line="289" w:lineRule="auto"/>
        <w:tabs>
          <w:tab w:leader="none" w:pos="1118"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58" w:lineRule="exact"/>
        <w:rPr>
          <w:rFonts w:ascii="Arial" w:cs="Arial" w:eastAsia="Arial" w:hAnsi="Arial"/>
          <w:sz w:val="16"/>
          <w:szCs w:val="16"/>
          <w:color w:val="auto"/>
        </w:rPr>
      </w:pPr>
    </w:p>
    <w:p>
      <w:pPr>
        <w:ind w:left="440" w:right="140" w:firstLine="419"/>
        <w:spacing w:after="0" w:line="277" w:lineRule="auto"/>
        <w:tabs>
          <w:tab w:leader="none" w:pos="11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0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62" w:lineRule="exact"/>
        <w:rPr>
          <w:rFonts w:ascii="Arial" w:cs="Arial" w:eastAsia="Arial" w:hAnsi="Arial"/>
          <w:sz w:val="18"/>
          <w:szCs w:val="18"/>
          <w:color w:val="auto"/>
        </w:rPr>
      </w:pPr>
    </w:p>
    <w:p>
      <w:pPr>
        <w:ind w:left="440" w:firstLine="419"/>
        <w:spacing w:after="0" w:line="273" w:lineRule="auto"/>
        <w:tabs>
          <w:tab w:leader="none" w:pos="111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69"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0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70" w:lineRule="exact"/>
        <w:rPr>
          <w:sz w:val="20"/>
          <w:szCs w:val="20"/>
          <w:color w:val="auto"/>
        </w:rPr>
      </w:pPr>
    </w:p>
    <w:p>
      <w:pPr>
        <w:ind w:left="440" w:right="20" w:firstLine="419"/>
        <w:spacing w:after="0" w:line="269" w:lineRule="auto"/>
        <w:tabs>
          <w:tab w:leader="none" w:pos="1108" w:val="left"/>
        </w:tabs>
        <w:numPr>
          <w:ilvl w:val="0"/>
          <w:numId w:val="64"/>
        </w:numPr>
        <w:rPr>
          <w:rFonts w:ascii="Arial" w:cs="Arial" w:eastAsia="Arial" w:hAnsi="Arial"/>
          <w:sz w:val="17"/>
          <w:szCs w:val="17"/>
          <w:color w:val="auto"/>
        </w:rPr>
      </w:pPr>
      <w:r>
        <w:rPr>
          <w:rFonts w:ascii="Arial" w:cs="Arial" w:eastAsia="Arial" w:hAnsi="Arial"/>
          <w:sz w:val="17"/>
          <w:szCs w:val="17"/>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81" w:name="page82"/>
    <w:bookmarkEnd w:id="81"/>
    <w:p>
      <w:pPr>
        <w:ind w:left="440" w:right="40" w:firstLine="419"/>
        <w:spacing w:after="0" w:line="277" w:lineRule="auto"/>
        <w:tabs>
          <w:tab w:leader="none" w:pos="1118"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102" w:lineRule="exact"/>
        <w:rPr>
          <w:rFonts w:ascii="Arial" w:cs="Arial" w:eastAsia="Arial" w:hAnsi="Arial"/>
          <w:sz w:val="16"/>
          <w:szCs w:val="16"/>
          <w:color w:val="auto"/>
        </w:rPr>
      </w:pPr>
    </w:p>
    <w:p>
      <w:pPr>
        <w:ind w:left="440" w:right="60" w:firstLine="419"/>
        <w:spacing w:after="0" w:line="259" w:lineRule="auto"/>
        <w:tabs>
          <w:tab w:leader="none" w:pos="11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78" w:lineRule="exact"/>
        <w:rPr>
          <w:rFonts w:ascii="Arial" w:cs="Arial" w:eastAsia="Arial" w:hAnsi="Arial"/>
          <w:sz w:val="18"/>
          <w:szCs w:val="18"/>
          <w:color w:val="auto"/>
        </w:rPr>
      </w:pPr>
    </w:p>
    <w:p>
      <w:pPr>
        <w:ind w:left="440" w:right="300" w:firstLine="419"/>
        <w:spacing w:after="0" w:line="277" w:lineRule="auto"/>
        <w:tabs>
          <w:tab w:leader="none" w:pos="11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440" w:right="320" w:firstLine="419"/>
        <w:spacing w:after="0" w:line="308" w:lineRule="auto"/>
        <w:tabs>
          <w:tab w:leader="none" w:pos="108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225" w:lineRule="exact"/>
        <w:rPr>
          <w:sz w:val="20"/>
          <w:szCs w:val="20"/>
          <w:color w:val="auto"/>
        </w:rPr>
      </w:pPr>
    </w:p>
    <w:p>
      <w:pPr>
        <w:jc w:val="both"/>
        <w:ind w:right="100" w:firstLine="991"/>
        <w:spacing w:after="0" w:line="286" w:lineRule="auto"/>
        <w:rPr>
          <w:sz w:val="20"/>
          <w:szCs w:val="20"/>
          <w:color w:val="auto"/>
        </w:rPr>
      </w:pPr>
      <w:r>
        <w:rPr>
          <w:rFonts w:ascii="Arial" w:cs="Arial" w:eastAsia="Arial" w:hAnsi="Arial"/>
          <w:sz w:val="17"/>
          <w:szCs w:val="17"/>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and the Trustee may amend or supplement this Indenture or the Securities of one or more Series without the consent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103" w:lineRule="exact"/>
        <w:rPr>
          <w:sz w:val="20"/>
          <w:szCs w:val="20"/>
          <w:color w:val="auto"/>
        </w:rPr>
      </w:pPr>
    </w:p>
    <w:p>
      <w:pPr>
        <w:ind w:left="1100" w:hanging="241"/>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5420" w:right="3200" w:hanging="4561"/>
        <w:spacing w:after="0" w:line="449" w:lineRule="auto"/>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 33</w:t>
      </w:r>
    </w:p>
    <w:p>
      <w:pPr>
        <w:sectPr>
          <w:pgSz w:w="11900" w:h="16838" w:orient="portrait"/>
          <w:cols w:equalWidth="0" w:num="1">
            <w:col w:w="10900"/>
          </w:cols>
          <w:pgMar w:left="440" w:top="274" w:right="559" w:bottom="1440" w:gutter="0" w:footer="0" w:header="0"/>
        </w:sectPr>
      </w:pPr>
    </w:p>
    <w:bookmarkStart w:id="82" w:name="page83"/>
    <w:bookmarkEnd w:id="82"/>
    <w:p>
      <w:pPr>
        <w:ind w:left="1100" w:hanging="241"/>
        <w:spacing w:after="0"/>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surrender any of the Company’s rights or powers under this Indenture;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 Indenture;</w:t>
      </w:r>
    </w:p>
    <w:p>
      <w:pPr>
        <w:spacing w:after="0" w:line="140" w:lineRule="exact"/>
        <w:rPr>
          <w:rFonts w:ascii="Arial" w:cs="Arial" w:eastAsia="Arial" w:hAnsi="Arial"/>
          <w:sz w:val="16"/>
          <w:szCs w:val="16"/>
          <w:color w:val="auto"/>
        </w:rPr>
      </w:pPr>
    </w:p>
    <w:p>
      <w:pPr>
        <w:ind w:left="440" w:right="40" w:firstLine="419"/>
        <w:spacing w:after="0" w:line="263" w:lineRule="auto"/>
        <w:tabs>
          <w:tab w:leader="none" w:pos="10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66"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117" w:lineRule="exact"/>
        <w:rPr>
          <w:sz w:val="20"/>
          <w:szCs w:val="20"/>
          <w:color w:val="auto"/>
        </w:rPr>
      </w:pPr>
    </w:p>
    <w:p>
      <w:pPr>
        <w:ind w:left="1100" w:hanging="241"/>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117"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117" w:lineRule="exact"/>
        <w:rPr>
          <w:rFonts w:ascii="Arial" w:cs="Arial" w:eastAsia="Arial" w:hAnsi="Arial"/>
          <w:sz w:val="18"/>
          <w:szCs w:val="18"/>
          <w:color w:val="auto"/>
        </w:rPr>
      </w:pPr>
    </w:p>
    <w:p>
      <w:pPr>
        <w:ind w:left="440" w:right="260" w:firstLine="419"/>
        <w:spacing w:after="0" w:line="263" w:lineRule="auto"/>
        <w:tabs>
          <w:tab w:leader="none" w:pos="11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83" w:name="page84"/>
    <w:bookmarkEnd w:id="83"/>
    <w:p>
      <w:pPr>
        <w:ind w:left="1080" w:hanging="221"/>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the principal of or interest, if any, on any Security payable in any currency other than that stated in the Security;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8"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President and 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200 Clarendon Street, 27th Floor</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Peter N. Handrinos, Esq. and Wesley C. Holmes, Esq.</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[_____]</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[____]</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[____]</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[_____]</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[____]</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[____]</w:t>
      </w:r>
    </w:p>
    <w:p>
      <w:pPr>
        <w:spacing w:after="0" w:line="211" w:lineRule="exact"/>
        <w:rPr>
          <w:sz w:val="20"/>
          <w:szCs w:val="20"/>
          <w:color w:val="auto"/>
        </w:rPr>
      </w:pPr>
    </w:p>
    <w:p>
      <w:pPr>
        <w:ind w:right="1100" w:firstLine="991"/>
        <w:spacing w:after="0" w:line="277" w:lineRule="auto"/>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 communications.</w:t>
      </w:r>
    </w:p>
    <w:p>
      <w:pPr>
        <w:spacing w:after="0" w:line="170" w:lineRule="exact"/>
        <w:rPr>
          <w:sz w:val="20"/>
          <w:szCs w:val="20"/>
          <w:color w:val="auto"/>
        </w:rPr>
      </w:pPr>
    </w:p>
    <w:p>
      <w:pPr>
        <w:ind w:right="60" w:firstLine="991"/>
        <w:spacing w:after="0" w:line="286" w:lineRule="auto"/>
        <w:rPr>
          <w:sz w:val="20"/>
          <w:szCs w:val="20"/>
          <w:color w:val="auto"/>
        </w:rPr>
      </w:pPr>
      <w:r>
        <w:rPr>
          <w:rFonts w:ascii="Arial" w:cs="Arial" w:eastAsia="Arial" w:hAnsi="Arial"/>
          <w:sz w:val="17"/>
          <w:szCs w:val="17"/>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6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Company sends a notice or communication to Securityholders, it shall send a copy to the Trustee and each Agent at the same time.</w:t>
      </w:r>
    </w:p>
    <w:p>
      <w:pPr>
        <w:spacing w:after="0" w:line="248"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225"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03" w:lineRule="exact"/>
        <w:rPr>
          <w:sz w:val="20"/>
          <w:szCs w:val="20"/>
          <w:color w:val="auto"/>
        </w:rPr>
      </w:pPr>
    </w:p>
    <w:p>
      <w:pPr>
        <w:ind w:left="440" w:firstLine="419"/>
        <w:spacing w:after="0" w:line="277" w:lineRule="auto"/>
        <w:tabs>
          <w:tab w:leader="none" w:pos="11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86" w:name="page87"/>
    <w:bookmarkEnd w:id="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62" w:lineRule="exact"/>
        <w:rPr>
          <w:sz w:val="20"/>
          <w:szCs w:val="20"/>
          <w:color w:val="auto"/>
        </w:rPr>
      </w:pPr>
    </w:p>
    <w:p>
      <w:pPr>
        <w:ind w:left="1100" w:hanging="241"/>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80" w:firstLine="419"/>
        <w:spacing w:after="0" w:line="277" w:lineRule="auto"/>
        <w:tabs>
          <w:tab w:leader="none" w:pos="11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225"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ind w:right="380" w:firstLine="991"/>
        <w:spacing w:after="0" w:line="308" w:lineRule="auto"/>
        <w:rPr>
          <w:sz w:val="20"/>
          <w:szCs w:val="20"/>
          <w:color w:val="auto"/>
        </w:rPr>
      </w:pPr>
      <w:r>
        <w:rPr>
          <w:rFonts w:ascii="Arial" w:cs="Arial" w:eastAsia="Arial" w:hAnsi="Arial"/>
          <w:sz w:val="17"/>
          <w:szCs w:val="17"/>
          <w:color w:val="auto"/>
        </w:rPr>
        <w:t>A “</w:t>
      </w:r>
      <w:r>
        <w:rPr>
          <w:rFonts w:ascii="Arial" w:cs="Arial" w:eastAsia="Arial" w:hAnsi="Arial"/>
          <w:sz w:val="17"/>
          <w:szCs w:val="17"/>
          <w:i w:val="1"/>
          <w:iCs w:val="1"/>
          <w:color w:val="auto"/>
        </w:rPr>
        <w:t>Legal Holiday</w:t>
      </w:r>
      <w:r>
        <w:rPr>
          <w:rFonts w:ascii="Arial" w:cs="Arial" w:eastAsia="Arial" w:hAnsi="Arial"/>
          <w:sz w:val="17"/>
          <w:szCs w:val="17"/>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Governing Law; Waiver of Jury Trial; Consent to Jurisdiction</w:t>
      </w:r>
      <w:r>
        <w:rPr>
          <w:rFonts w:ascii="Arial" w:cs="Arial" w:eastAsia="Arial" w:hAnsi="Arial"/>
          <w:sz w:val="18"/>
          <w:szCs w:val="18"/>
          <w:color w:val="auto"/>
        </w:rPr>
        <w:t>.</w:t>
      </w:r>
    </w:p>
    <w:p>
      <w:pPr>
        <w:spacing w:after="0" w:line="221"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THE INDENTURE OR THE SECURITIES, SHALL BE GOVERNED BY THE LAWS OF THE STATE OF NEW YORK.</w:t>
      </w:r>
    </w:p>
    <w:p>
      <w:pPr>
        <w:spacing w:after="0" w:line="162"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This Indenture may not be used to interpret another indenture, loan or debt agreement of the Company or a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88" w:name="page89"/>
    <w:bookmarkEnd w:id="8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10.14.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w:t>
      </w:r>
    </w:p>
    <w:p>
      <w:pPr>
        <w:spacing w:after="0" w:line="225" w:lineRule="exact"/>
        <w:rPr>
          <w:sz w:val="20"/>
          <w:szCs w:val="20"/>
          <w:color w:val="auto"/>
        </w:rPr>
      </w:pPr>
    </w:p>
    <w:p>
      <w:pPr>
        <w:ind w:right="540" w:firstLine="991"/>
        <w:spacing w:after="0" w:line="34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Securities in a Foreign Currency</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79"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68" w:lineRule="auto"/>
        <w:rPr>
          <w:sz w:val="20"/>
          <w:szCs w:val="20"/>
          <w:color w:val="auto"/>
        </w:rPr>
      </w:pPr>
      <w:r>
        <w:rPr>
          <w:rFonts w:ascii="Arial" w:cs="Arial" w:eastAsia="Arial" w:hAnsi="Arial"/>
          <w:sz w:val="17"/>
          <w:szCs w:val="17"/>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7"/>
          <w:szCs w:val="17"/>
          <w:i w:val="1"/>
          <w:iCs w:val="1"/>
          <w:color w:val="auto"/>
        </w:rPr>
        <w:t>Required Currency</w:t>
      </w:r>
      <w:r>
        <w:rPr>
          <w:rFonts w:ascii="Arial" w:cs="Arial" w:eastAsia="Arial" w:hAnsi="Arial"/>
          <w:sz w:val="17"/>
          <w:szCs w:val="17"/>
          <w:color w:val="auto"/>
        </w:rPr>
        <w:t>”) into a currency in which a judgment will be rendered (the “</w:t>
      </w:r>
      <w:r>
        <w:rPr>
          <w:rFonts w:ascii="Arial" w:cs="Arial" w:eastAsia="Arial" w:hAnsi="Arial"/>
          <w:sz w:val="17"/>
          <w:szCs w:val="17"/>
          <w:i w:val="1"/>
          <w:iCs w:val="1"/>
          <w:color w:val="auto"/>
        </w:rPr>
        <w:t>Judgment Currency</w:t>
      </w:r>
      <w:r>
        <w:rPr>
          <w:rFonts w:ascii="Arial" w:cs="Arial" w:eastAsia="Arial" w:hAnsi="Arial"/>
          <w:sz w:val="17"/>
          <w:szCs w:val="17"/>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7"/>
          <w:szCs w:val="17"/>
          <w:i w:val="1"/>
          <w:iCs w:val="1"/>
          <w:color w:val="auto"/>
        </w:rPr>
        <w:t>New York Banking Day</w:t>
      </w:r>
      <w:r>
        <w:rPr>
          <w:rFonts w:ascii="Arial" w:cs="Arial" w:eastAsia="Arial" w:hAnsi="Arial"/>
          <w:sz w:val="17"/>
          <w:szCs w:val="17"/>
          <w:color w:val="auto"/>
        </w:rPr>
        <w:t>” means any day except a Saturday, Sunday or a legal holiday in The City of New York on which banking institutions are authorized or required by law, regulation or executive order to close.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89" w:name="page90"/>
    <w:bookmarkEnd w:id="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10.17.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SINKING FUNDS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84"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w:t>
      </w:r>
      <w:r>
        <w:rPr>
          <w:rFonts w:ascii="Arial" w:cs="Arial" w:eastAsia="Arial" w:hAnsi="Arial"/>
          <w:sz w:val="18"/>
          <w:szCs w:val="18"/>
          <w:color w:val="auto"/>
        </w:rPr>
        <w:t xml:space="preserve"> </w:t>
      </w:r>
      <w:r>
        <w:rPr>
          <w:rFonts w:ascii="Arial" w:cs="Arial" w:eastAsia="Arial" w:hAnsi="Arial"/>
          <w:sz w:val="18"/>
          <w:szCs w:val="18"/>
          <w:i w:val="1"/>
          <w:iCs w:val="1"/>
          <w:color w:val="auto"/>
        </w:rPr>
        <w:t>sinking fund payment</w:t>
      </w:r>
      <w:r>
        <w:rPr>
          <w:rFonts w:ascii="Arial" w:cs="Arial" w:eastAsia="Arial" w:hAnsi="Arial"/>
          <w:sz w:val="18"/>
          <w:szCs w:val="18"/>
          <w:color w:val="auto"/>
        </w:rPr>
        <w:t>.” If provided for by the terms of Securities of any Series, the cash amount of any sinking fund payment may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as provided in Section 11.2. Each sinking fund payment shall be applied to the redemption of Securities of any Series as provided for by the terms of the Securities of such Series.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4" w:right="49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91" w:name="page92"/>
    <w:bookmarkEnd w:id="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[_____], as Trustee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w:t>
      </w:r>
    </w:p>
    <w:p>
      <w:pPr>
        <w:sectPr>
          <w:pgSz w:w="11900" w:h="16838" w:orient="portrait"/>
          <w:cols w:equalWidth="0" w:num="1">
            <w:col w:w="9680"/>
          </w:cols>
          <w:pgMar w:left="1420" w:top="274" w:right="7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657475" cy="7029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2657475" cy="702945"/>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171450</wp:posOffset>
            </wp:positionV>
            <wp:extent cx="1294130" cy="677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12941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 02472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acted as counsel to Selecta Biosciences,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in connection with the registration by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of the offer and sale by the Company from time to time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$200,000,000 in aggregate amount of: (i) shares of the Company’s common stock, par value $0.0001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 (ii)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preferred stock, $0.0001 par value per share, to be issued in one or more series (the “</w:t>
      </w:r>
      <w:r>
        <w:rPr>
          <w:rFonts w:ascii="Arial" w:cs="Arial" w:eastAsia="Arial" w:hAnsi="Arial"/>
          <w:sz w:val="17"/>
          <w:szCs w:val="17"/>
          <w:i w:val="1"/>
          <w:iCs w:val="1"/>
          <w:color w:val="auto"/>
        </w:rPr>
        <w:t>Preferred Stock</w:t>
      </w:r>
      <w:r>
        <w:rPr>
          <w:rFonts w:ascii="Arial" w:cs="Arial" w:eastAsia="Arial" w:hAnsi="Arial"/>
          <w:sz w:val="17"/>
          <w:szCs w:val="17"/>
          <w:color w:val="auto"/>
        </w:rPr>
        <w:t>”); (iii) one or more series of debt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of the Company (the “</w:t>
      </w:r>
      <w:r>
        <w:rPr>
          <w:rFonts w:ascii="Arial" w:cs="Arial" w:eastAsia="Arial" w:hAnsi="Arial"/>
          <w:sz w:val="16"/>
          <w:szCs w:val="16"/>
          <w:i w:val="1"/>
          <w:iCs w:val="1"/>
          <w:color w:val="auto"/>
        </w:rPr>
        <w:t>Debt Securities</w:t>
      </w:r>
      <w:r>
        <w:rPr>
          <w:rFonts w:ascii="Arial" w:cs="Arial" w:eastAsia="Arial" w:hAnsi="Arial"/>
          <w:sz w:val="16"/>
          <w:szCs w:val="16"/>
          <w:color w:val="auto"/>
        </w:rPr>
        <w:t>”), the terms of which will be determined by the board of directors of the Company prior to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thereof; (iv) warrants to purchase Common Stock, Preferred Stock or Debt Securities (the “</w:t>
      </w:r>
      <w:r>
        <w:rPr>
          <w:rFonts w:ascii="Arial" w:cs="Arial" w:eastAsia="Arial" w:hAnsi="Arial"/>
          <w:sz w:val="17"/>
          <w:szCs w:val="17"/>
          <w:i w:val="1"/>
          <w:iCs w:val="1"/>
          <w:color w:val="auto"/>
        </w:rPr>
        <w:t>Warrants</w:t>
      </w:r>
      <w:r>
        <w:rPr>
          <w:rFonts w:ascii="Arial" w:cs="Arial" w:eastAsia="Arial" w:hAnsi="Arial"/>
          <w:sz w:val="17"/>
          <w:szCs w:val="17"/>
          <w:color w:val="auto"/>
        </w:rPr>
        <w:t>”); and (v) stock units, consisting of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combination of Common Stock, Preferred Stock, Debt Securities or Warrants, securing the holder’s obligation to purchase the securities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stock unit agreement (the “</w:t>
      </w:r>
      <w:r>
        <w:rPr>
          <w:rFonts w:ascii="Arial" w:cs="Arial" w:eastAsia="Arial" w:hAnsi="Arial"/>
          <w:sz w:val="16"/>
          <w:szCs w:val="16"/>
          <w:i w:val="1"/>
          <w:iCs w:val="1"/>
          <w:color w:val="auto"/>
        </w:rPr>
        <w:t>Units</w:t>
      </w:r>
      <w:r>
        <w:rPr>
          <w:rFonts w:ascii="Arial" w:cs="Arial" w:eastAsia="Arial" w:hAnsi="Arial"/>
          <w:sz w:val="16"/>
          <w:szCs w:val="16"/>
          <w:color w:val="auto"/>
        </w:rPr>
        <w:t>” and, collectively with the Common Stock, Preferred Stock, Debt Securities and Warrants, the “</w:t>
      </w:r>
      <w:r>
        <w:rPr>
          <w:rFonts w:ascii="Arial" w:cs="Arial" w:eastAsia="Arial" w:hAnsi="Arial"/>
          <w:sz w:val="16"/>
          <w:szCs w:val="16"/>
          <w:i w:val="1"/>
          <w:iCs w:val="1"/>
          <w:color w:val="auto"/>
        </w:rPr>
        <w:t>Covered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w:t>
      </w:r>
      <w:r>
        <w:rPr>
          <w:rFonts w:ascii="Arial" w:cs="Arial" w:eastAsia="Arial" w:hAnsi="Arial"/>
          <w:sz w:val="17"/>
          <w:szCs w:val="17"/>
          <w:color w:val="auto"/>
        </w:rPr>
        <w:t>”), pursuant to the Company’s registration statement on Form S-3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filed with the Securities and Exchange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the date hereof.</w:t>
      </w:r>
    </w:p>
    <w:p>
      <w:pPr>
        <w:spacing w:after="0" w:line="211" w:lineRule="exact"/>
        <w:rPr>
          <w:sz w:val="20"/>
          <w:szCs w:val="20"/>
          <w:color w:val="auto"/>
        </w:rPr>
      </w:pPr>
    </w:p>
    <w:p>
      <w:pPr>
        <w:jc w:val="both"/>
        <w:ind w:right="580" w:firstLine="440"/>
        <w:spacing w:after="0" w:line="263" w:lineRule="auto"/>
        <w:rPr>
          <w:sz w:val="20"/>
          <w:szCs w:val="20"/>
          <w:color w:val="auto"/>
        </w:rPr>
      </w:pPr>
      <w:r>
        <w:rPr>
          <w:rFonts w:ascii="Arial" w:cs="Arial" w:eastAsia="Arial" w:hAnsi="Arial"/>
          <w:sz w:val="18"/>
          <w:szCs w:val="18"/>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Company and other sources believed by us to be responsible.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assumed that, at the time of the issuance, sale and delivery of each issue of Covered Securities:</w:t>
      </w:r>
    </w:p>
    <w:p>
      <w:pPr>
        <w:spacing w:after="0" w:line="131" w:lineRule="exact"/>
        <w:rPr>
          <w:sz w:val="20"/>
          <w:szCs w:val="20"/>
          <w:color w:val="auto"/>
        </w:rPr>
      </w:pPr>
    </w:p>
    <w:p>
      <w:pPr>
        <w:ind w:left="1420" w:right="120" w:hanging="439"/>
        <w:spacing w:after="0" w:line="296" w:lineRule="auto"/>
        <w:tabs>
          <w:tab w:leader="none" w:pos="1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any indenture, indenture supplement, warrant agreement, subscription rights agreement or subscription rights certificate, and unit agreement (collectively, the “</w:t>
      </w:r>
      <w:r>
        <w:rPr>
          <w:rFonts w:ascii="Arial" w:cs="Arial" w:eastAsia="Arial" w:hAnsi="Arial"/>
          <w:sz w:val="16"/>
          <w:szCs w:val="16"/>
          <w:i w:val="1"/>
          <w:iCs w:val="1"/>
          <w:color w:val="auto"/>
        </w:rPr>
        <w:t>Documents</w:t>
      </w:r>
      <w:r>
        <w:rPr>
          <w:rFonts w:ascii="Arial" w:cs="Arial" w:eastAsia="Arial" w:hAnsi="Arial"/>
          <w:sz w:val="16"/>
          <w:szCs w:val="16"/>
          <w:color w:val="auto"/>
        </w:rPr>
        <w:t>”), as applicable, and all actions necessary for the issuance of the applicable Covered Securities, and the form and terms thereof, will comply with all requirements and restrictions, if any, applicable to the Company, whether imposed by any agreement or instrument to which the Company is a party or by which it is bound or any court or other governmental or regulatory body having jurisdiction over the Company;</w:t>
      </w:r>
    </w:p>
    <w:p>
      <w:pPr>
        <w:sectPr>
          <w:pgSz w:w="11900" w:h="16838" w:orient="portrait"/>
          <w:cols w:equalWidth="0" w:num="1">
            <w:col w:w="11020"/>
          </w:cols>
          <w:pgMar w:left="440" w:top="121" w:right="4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19810" cy="1974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019810" cy="197485"/>
                    </a:xfrm>
                    <a:prstGeom prst="rect">
                      <a:avLst/>
                    </a:prstGeom>
                    <a:noFill/>
                  </pic:spPr>
                </pic:pic>
              </a:graphicData>
            </a:graphic>
          </wp:anchor>
        </w:drawing>
        <w:t> Selecta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October 25,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Page 2</w:t>
      </w:r>
    </w:p>
    <w:p>
      <w:pPr>
        <w:spacing w:after="0" w:line="143" w:lineRule="exact"/>
        <w:rPr>
          <w:sz w:val="20"/>
          <w:szCs w:val="20"/>
          <w:color w:val="auto"/>
        </w:rPr>
      </w:pPr>
    </w:p>
    <w:p>
      <w:pPr>
        <w:ind w:left="1420" w:right="100" w:hanging="439"/>
        <w:spacing w:after="0" w:line="263"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will have duly authorized, executed and delivered any such Document and will have duly authorized the issuance of any such Covered Security, and none of such authorizations will have been modified or rescinded, and there will not have occurred any change in law affecting the validity, legally binding character or enforceability thereof;</w:t>
      </w:r>
    </w:p>
    <w:p>
      <w:pPr>
        <w:spacing w:after="0" w:line="89" w:lineRule="exact"/>
        <w:rPr>
          <w:rFonts w:ascii="Arial" w:cs="Arial" w:eastAsia="Arial" w:hAnsi="Arial"/>
          <w:sz w:val="18"/>
          <w:szCs w:val="18"/>
          <w:color w:val="auto"/>
        </w:rPr>
      </w:pPr>
    </w:p>
    <w:p>
      <w:pPr>
        <w:ind w:left="1420" w:right="40" w:hanging="439"/>
        <w:spacing w:after="0" w:line="286" w:lineRule="auto"/>
        <w:tabs>
          <w:tab w:leader="none" w:pos="1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prospectus included in the Registration Statement will describe the Covered Securities offered thereby or an appropriate prospectus supplement will have been prepared, delivered and filed with the Commission in compliance with the Securities Act and the applicable rules and regulations thereunder and will describe the Covered Securities offered thereby; and</w:t>
      </w:r>
    </w:p>
    <w:p>
      <w:pPr>
        <w:spacing w:after="0" w:line="70" w:lineRule="exact"/>
        <w:rPr>
          <w:rFonts w:ascii="Arial" w:cs="Arial" w:eastAsia="Arial" w:hAnsi="Arial"/>
          <w:sz w:val="17"/>
          <w:szCs w:val="17"/>
          <w:color w:val="auto"/>
        </w:rPr>
      </w:pPr>
    </w:p>
    <w:p>
      <w:pPr>
        <w:ind w:left="1420" w:right="120" w:hanging="439"/>
        <w:spacing w:after="0" w:line="263"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indenture in the form of Exhibit 4.2 to the Registration Statement and any necessary indenture supplements will have been duly executed and delivered on behalf of the Company and a trustee qualified to act under applicable law and such indenture will have been qualified under the Trust Indenture Act of 1939, as amended.</w:t>
      </w:r>
    </w:p>
    <w:p>
      <w:pPr>
        <w:spacing w:after="0" w:line="76" w:lineRule="exact"/>
        <w:rPr>
          <w:sz w:val="20"/>
          <w:szCs w:val="20"/>
          <w:color w:val="auto"/>
        </w:rPr>
      </w:pPr>
    </w:p>
    <w:p>
      <w:pPr>
        <w:ind w:left="440"/>
        <w:spacing w:after="0" w:line="270" w:lineRule="auto"/>
        <w:rPr>
          <w:sz w:val="20"/>
          <w:szCs w:val="20"/>
          <w:color w:val="auto"/>
        </w:rPr>
      </w:pPr>
      <w:r>
        <w:rPr>
          <w:rFonts w:ascii="Arial" w:cs="Arial" w:eastAsia="Arial" w:hAnsi="Arial"/>
          <w:sz w:val="17"/>
          <w:szCs w:val="17"/>
          <w:color w:val="auto"/>
        </w:rPr>
        <w:t>We have also assumed that the Covered Securities will be offered and sold in compliance with applicable federal and state securities laws and in the manner stated in the Registration Statement and the appropriate prospectus supplement. We have assumed further that the Documents will be governed by and construed in accordance with the laws of the State of New York. We have further assumed that, at the time of the issuance, sale and delivery of any shares of Common Stock or Preferred Stock, or of any other Covered Securities which are exercisable or exchangeable for, or convertible into, Common Stock or Preferred Stock, the Company has a sufficient number of authorized but unissued shares of Common Stock or Preferred Stock, as the case may be, under its certificate of incorporation. With respect to any Document executed or to be executed by any party other than the Company, we have assumed that such party has, or will have, duly authorized, executed and delivered the Documents to which it is a party and that each such Document is, or will be, the valid and binding obligation of such party, enforceable against it in accordance with its terms.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qualifications set forth herein, we are of the opinion that, when, as and if:</w:t>
      </w:r>
    </w:p>
    <w:p>
      <w:pPr>
        <w:sectPr>
          <w:pgSz w:w="11900" w:h="16838" w:orient="portrait"/>
          <w:cols w:equalWidth="0" w:num="1">
            <w:col w:w="10940"/>
          </w:cols>
          <w:pgMar w:left="440" w:top="584" w:right="51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19810" cy="1974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019810" cy="197485"/>
                    </a:xfrm>
                    <a:prstGeom prst="rect">
                      <a:avLst/>
                    </a:prstGeom>
                    <a:noFill/>
                  </pic:spPr>
                </pic:pic>
              </a:graphicData>
            </a:graphic>
          </wp:anchor>
        </w:drawing>
        <w:t> Selecta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October 25,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Page 3</w:t>
      </w:r>
    </w:p>
    <w:p>
      <w:pPr>
        <w:spacing w:after="0" w:line="143" w:lineRule="exact"/>
        <w:rPr>
          <w:sz w:val="20"/>
          <w:szCs w:val="20"/>
          <w:color w:val="auto"/>
        </w:rPr>
      </w:pPr>
    </w:p>
    <w:p>
      <w:pPr>
        <w:ind w:left="440" w:right="80" w:firstLine="419"/>
        <w:spacing w:after="0" w:line="286" w:lineRule="auto"/>
        <w:tabs>
          <w:tab w:leader="none" w:pos="1043" w:val="left"/>
        </w:tabs>
        <w:numPr>
          <w:ilvl w:val="1"/>
          <w:numId w:val="74"/>
        </w:numPr>
        <w:rPr>
          <w:rFonts w:ascii="Arial" w:cs="Arial" w:eastAsia="Arial" w:hAnsi="Arial"/>
          <w:sz w:val="16"/>
          <w:szCs w:val="16"/>
          <w:color w:val="auto"/>
        </w:rPr>
      </w:pPr>
      <w:r>
        <w:rPr>
          <w:rFonts w:ascii="Arial" w:cs="Arial" w:eastAsia="Arial" w:hAnsi="Arial"/>
          <w:sz w:val="16"/>
          <w:szCs w:val="16"/>
          <w:color w:val="auto"/>
        </w:rPr>
        <w:t>With respect to shares of Common Stock: (i) the Registration Statement and any required post-effective amendments thereto have all become effective under the Securities Act and all prospectus supplements required by applicable law have been delivered and filed as required by such laws; (ii) all necessary corporate action has been taken by the Company to authorize and approve for issuance any shares of Common Stock and to fix or otherwise determine the consideration to be received for the shares of Common Stock, and the terms of the offer and sale thereof;</w:t>
      </w:r>
    </w:p>
    <w:p>
      <w:pPr>
        <w:spacing w:after="0" w:line="1" w:lineRule="exact"/>
        <w:rPr>
          <w:rFonts w:ascii="Arial" w:cs="Arial" w:eastAsia="Arial" w:hAnsi="Arial"/>
          <w:sz w:val="16"/>
          <w:szCs w:val="16"/>
          <w:color w:val="auto"/>
        </w:rPr>
      </w:pPr>
    </w:p>
    <w:p>
      <w:pPr>
        <w:ind w:left="440" w:right="160" w:hanging="4"/>
        <w:spacing w:after="0" w:line="271" w:lineRule="auto"/>
        <w:tabs>
          <w:tab w:leader="none" w:pos="7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legally required consents, approvals, authorizations and other orders of the Commission and any other regulatory authorities have been obtained; and (iv) the shares of Common Stock have been duly issued and delivered against payment of the consideration therefor in accordance with such corporate action and applicable law as contemplated by the Registration Statement and the prospectus supplement and any pricing supplement setting forth the terms of the Common Stock and the plan of distribution, then, upon the happening of such events, the shares of Common Stock will be validly issued, fully paid and non-assessable.</w:t>
      </w:r>
    </w:p>
    <w:p>
      <w:pPr>
        <w:spacing w:after="0" w:line="70" w:lineRule="exact"/>
        <w:rPr>
          <w:rFonts w:ascii="Arial" w:cs="Arial" w:eastAsia="Arial" w:hAnsi="Arial"/>
          <w:sz w:val="17"/>
          <w:szCs w:val="17"/>
          <w:color w:val="auto"/>
        </w:rPr>
      </w:pPr>
    </w:p>
    <w:p>
      <w:pPr>
        <w:ind w:left="440" w:firstLine="419"/>
        <w:spacing w:after="0" w:line="284" w:lineRule="auto"/>
        <w:tabs>
          <w:tab w:leader="none" w:pos="1043" w:val="left"/>
        </w:tabs>
        <w:numPr>
          <w:ilvl w:val="1"/>
          <w:numId w:val="75"/>
        </w:numPr>
        <w:rPr>
          <w:rFonts w:ascii="Arial" w:cs="Arial" w:eastAsia="Arial" w:hAnsi="Arial"/>
          <w:sz w:val="16"/>
          <w:szCs w:val="16"/>
          <w:color w:val="auto"/>
        </w:rPr>
      </w:pPr>
      <w:r>
        <w:rPr>
          <w:rFonts w:ascii="Arial" w:cs="Arial" w:eastAsia="Arial" w:hAnsi="Arial"/>
          <w:sz w:val="16"/>
          <w:szCs w:val="16"/>
          <w:color w:val="auto"/>
        </w:rPr>
        <w:t>With respect to shares of any series of Preferred Stock: (i) the Registration Statement and any required post-effective amendments thereto have all become effective under the Securities Act and all prospectus supplements required by applicable law have been delivered and filed as required by such laws; (ii) all necessary corporate action has been taken by the Company to establish the rights, preferences and privileges of, and limitations on, such series of Preferred Stock and to authorize and approve the issuance and sale of the shares of Preferred Stock of such series and fix or otherwise determine the consideration to be received for the shares of Preferred Stock, and the terms of the offer and sale thereof; (iii) any legally required consents, approvals, authorizations and other orders of the Commission and any other regulatory authorities have been obtained;</w:t>
      </w:r>
    </w:p>
    <w:p>
      <w:pPr>
        <w:spacing w:after="0" w:line="4" w:lineRule="exact"/>
        <w:rPr>
          <w:rFonts w:ascii="Arial" w:cs="Arial" w:eastAsia="Arial" w:hAnsi="Arial"/>
          <w:sz w:val="16"/>
          <w:szCs w:val="16"/>
          <w:color w:val="auto"/>
        </w:rPr>
      </w:pPr>
    </w:p>
    <w:p>
      <w:pPr>
        <w:ind w:left="440" w:right="60" w:hanging="4"/>
        <w:spacing w:after="0" w:line="271" w:lineRule="auto"/>
        <w:tabs>
          <w:tab w:leader="none" w:pos="745"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appropriate certificate of designations with respect to such series of Preferred Stock has been duly filed in accordance with applicable law; and (v) the shares of Preferred Stock have been duly issued and delivered against payment of the consideration therefor in accordance with such corporate action and applicable law and as contemplated in the Registration Statement and the prospectus supplement and any pricing supplement setting forth the terms of the Preferred Stock and the plan of distribution, then, upon the happening of such events, the shares of such series of Preferred Stock will be validly issued, fully paid and non-assessable.</w:t>
      </w:r>
    </w:p>
    <w:p>
      <w:pPr>
        <w:spacing w:after="0" w:line="70" w:lineRule="exact"/>
        <w:rPr>
          <w:rFonts w:ascii="Arial" w:cs="Arial" w:eastAsia="Arial" w:hAnsi="Arial"/>
          <w:sz w:val="17"/>
          <w:szCs w:val="17"/>
          <w:color w:val="auto"/>
        </w:rPr>
      </w:pPr>
    </w:p>
    <w:p>
      <w:pPr>
        <w:ind w:left="440" w:right="80" w:firstLine="419"/>
        <w:spacing w:after="0" w:line="255" w:lineRule="auto"/>
        <w:tabs>
          <w:tab w:leader="none" w:pos="1043" w:val="left"/>
        </w:tabs>
        <w:numPr>
          <w:ilvl w:val="1"/>
          <w:numId w:val="76"/>
        </w:numPr>
        <w:rPr>
          <w:rFonts w:ascii="Arial" w:cs="Arial" w:eastAsia="Arial" w:hAnsi="Arial"/>
          <w:sz w:val="18"/>
          <w:szCs w:val="18"/>
          <w:color w:val="auto"/>
        </w:rPr>
      </w:pPr>
      <w:r>
        <w:rPr>
          <w:rFonts w:ascii="Arial" w:cs="Arial" w:eastAsia="Arial" w:hAnsi="Arial"/>
          <w:sz w:val="18"/>
          <w:szCs w:val="18"/>
          <w:color w:val="auto"/>
        </w:rPr>
        <w:t>With respect to the Debt Securities: (i) the Registration Statement and any required post-effective amendments thereto have all become effective under the Securities Act and all prospectus supplements required by applicable law have been delivered and filed as required by such laws; (ii) an indenture in the form of Exhibit 4.2 to the Registration Statement and any necessary indenture supplements have been duly executed and delivered on behalf of the Company and a trustee qualified to act under applicable law and such indenture has been duly qualified under the Trust Indenture Act of 1939, as amended; (iii) all necessary corporate action has been taken by the Company to authorize, execute and deliver the indenture and any necessary indenture supplement</w:t>
      </w:r>
    </w:p>
    <w:p>
      <w:pPr>
        <w:sectPr>
          <w:pgSz w:w="11900" w:h="16838" w:orient="portrait"/>
          <w:cols w:equalWidth="0" w:num="1">
            <w:col w:w="11000"/>
          </w:cols>
          <w:pgMar w:left="440" w:top="584"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19810" cy="1974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019810" cy="197485"/>
                    </a:xfrm>
                    <a:prstGeom prst="rect">
                      <a:avLst/>
                    </a:prstGeom>
                    <a:noFill/>
                  </pic:spPr>
                </pic:pic>
              </a:graphicData>
            </a:graphic>
          </wp:anchor>
        </w:drawing>
        <w:t> Selecta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October 25,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Page 4</w:t>
      </w:r>
    </w:p>
    <w:p>
      <w:pPr>
        <w:spacing w:after="0" w:line="143" w:lineRule="exact"/>
        <w:rPr>
          <w:sz w:val="20"/>
          <w:szCs w:val="20"/>
          <w:color w:val="auto"/>
        </w:rPr>
      </w:pPr>
    </w:p>
    <w:p>
      <w:pPr>
        <w:ind w:left="440" w:right="40"/>
        <w:spacing w:after="0" w:line="289" w:lineRule="auto"/>
        <w:rPr>
          <w:sz w:val="20"/>
          <w:szCs w:val="20"/>
          <w:color w:val="auto"/>
        </w:rPr>
      </w:pPr>
      <w:r>
        <w:rPr>
          <w:rFonts w:ascii="Arial" w:cs="Arial" w:eastAsia="Arial" w:hAnsi="Arial"/>
          <w:sz w:val="16"/>
          <w:szCs w:val="16"/>
          <w:color w:val="auto"/>
        </w:rPr>
        <w:t>and to authorize the form, terms, execution and delivery of the Debt Securities; (iv) any legally required consents, approvals, authorizations and other orders of the Commission and any other regulatory authorities have been obtained; and (v) such Debt Securities have been duly executed by the Company and authenticated by the trustee in accordance with the applicable indenture, or any applicable indenture supplement, and have been duly issued and delivered against payment therefor in accordance with such corporate action and applicable law and as contemplated in the Registration Statement and the prospectus supplement setting forth the terms of the Debt Securities and the plan of distribution, then, upon the happening of such events, such Debt Securities (including any Debt Securities to be issued by the Company upon the conversion or exercise of other Covered Securities issued by the Company pursuant to the Registration Statement) will constitute the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spacing w:after="0" w:line="58" w:lineRule="exact"/>
        <w:rPr>
          <w:sz w:val="20"/>
          <w:szCs w:val="20"/>
          <w:color w:val="auto"/>
        </w:rPr>
      </w:pPr>
    </w:p>
    <w:p>
      <w:pPr>
        <w:ind w:left="440" w:firstLine="419"/>
        <w:spacing w:after="0" w:line="268" w:lineRule="auto"/>
        <w:tabs>
          <w:tab w:leader="none" w:pos="1043" w:val="left"/>
        </w:tabs>
        <w:numPr>
          <w:ilvl w:val="0"/>
          <w:numId w:val="77"/>
        </w:numPr>
        <w:rPr>
          <w:rFonts w:ascii="Arial" w:cs="Arial" w:eastAsia="Arial" w:hAnsi="Arial"/>
          <w:sz w:val="17"/>
          <w:szCs w:val="17"/>
          <w:color w:val="auto"/>
        </w:rPr>
      </w:pPr>
      <w:r>
        <w:rPr>
          <w:rFonts w:ascii="Arial" w:cs="Arial" w:eastAsia="Arial" w:hAnsi="Arial"/>
          <w:sz w:val="17"/>
          <w:szCs w:val="17"/>
          <w:color w:val="auto"/>
        </w:rPr>
        <w:t>With respect to the Warrants: (i) the Registration Statement and any required post-effective amendments thereto all have become effective under the Securities Act and all prospectus supplements required by applicable law have been delivered and filed as required by such laws; (ii) all necessary corporate action has been taken by the Company to authorize, execute and deliver a warrant agreement and to authorize the form, terms, execution and delivery of any Warrants and to fix or otherwise determine the consideration to be received for the Warrants and the terms of the offer and sale thereof; (iii) any legally required consents, approvals, authorizations and other orders of the Commission and any other regulatory authorities have been obtained; (iv) any shares of Common Stock or Preferred Stock or any Debt Securities purchasable upon exercise of such Warrants, as applicable, have been duly and validly authorized and, with respect to shares of Common Stock or Preferred Stock, reserved for issuance and sale; and (v) the warrant agreement with respect to the Warrants has been duly authorized, executed and delivered by the Company and the warrant agent, and the Warrants have been duly executed and delivered by the Company against payment therefor in accordance with any applicable warrant agreement, and in accordance with such corporate action and applicable law and as contemplated in the Registration Statement and the prospectus supplement setting forth the terms of the Warrants and the plan of distribution, then, upon the happening of such events, the Warrants will constitute the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sectPr>
          <w:pgSz w:w="11900" w:h="16838" w:orient="portrait"/>
          <w:cols w:equalWidth="0" w:num="1">
            <w:col w:w="10980"/>
          </w:cols>
          <w:pgMar w:left="440" w:top="584" w:right="479" w:bottom="1440" w:gutter="0" w:footer="0" w:header="0"/>
        </w:sectPr>
      </w:pPr>
    </w:p>
    <w:bookmarkStart w:id="96" w:name="page97"/>
    <w:bookmarkEnd w:id="9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19810" cy="197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019810" cy="197485"/>
                    </a:xfrm>
                    <a:prstGeom prst="rect">
                      <a:avLst/>
                    </a:prstGeom>
                    <a:noFill/>
                  </pic:spPr>
                </pic:pic>
              </a:graphicData>
            </a:graphic>
          </wp:anchor>
        </w:drawing>
        <w:t> Selecta Biosciences,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October 25,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Page 5</w:t>
      </w:r>
    </w:p>
    <w:p>
      <w:pPr>
        <w:spacing w:after="0" w:line="143" w:lineRule="exact"/>
        <w:rPr>
          <w:sz w:val="20"/>
          <w:szCs w:val="20"/>
          <w:color w:val="auto"/>
        </w:rPr>
      </w:pPr>
    </w:p>
    <w:p>
      <w:pPr>
        <w:ind w:left="444" w:right="60" w:firstLine="419"/>
        <w:spacing w:after="0" w:line="284" w:lineRule="auto"/>
        <w:tabs>
          <w:tab w:leader="none" w:pos="1047" w:val="left"/>
        </w:tabs>
        <w:numPr>
          <w:ilvl w:val="1"/>
          <w:numId w:val="78"/>
        </w:numPr>
        <w:rPr>
          <w:rFonts w:ascii="Arial" w:cs="Arial" w:eastAsia="Arial" w:hAnsi="Arial"/>
          <w:sz w:val="16"/>
          <w:szCs w:val="16"/>
          <w:color w:val="auto"/>
        </w:rPr>
      </w:pPr>
      <w:r>
        <w:rPr>
          <w:rFonts w:ascii="Arial" w:cs="Arial" w:eastAsia="Arial" w:hAnsi="Arial"/>
          <w:sz w:val="16"/>
          <w:szCs w:val="16"/>
          <w:color w:val="auto"/>
        </w:rPr>
        <w:t>With respect to the Units: (i) the Registration Statement and any required post-effective amendments thereto all have become effective under the Securities Act and all prospectus supplements required by applicable law have been delivered and filed as required by such laws; (ii) all necessary corporate action has been taken by the Company to authorize, execute and deliver a unit agreement and to authorize the form, terms, execution and delivery of the Units and to fix or otherwise determine the consideration to be received for the Units and the terms of the offer and sale thereof; (iii) any legally required consents, approvals, authorizations and other orders of the Commission and any other regulatory authorities have been obtained; (iv) any shares of Common Stock or Preferred Stock or any Debt Securities or other securities to be issued pursuant to such Units have been duly and validly authorized and, with respect to shares of Common Stock or Preferred Stock, reserved for issuance and sale; and</w:t>
      </w:r>
    </w:p>
    <w:p>
      <w:pPr>
        <w:spacing w:after="0" w:line="2" w:lineRule="exact"/>
        <w:rPr>
          <w:rFonts w:ascii="Arial" w:cs="Arial" w:eastAsia="Arial" w:hAnsi="Arial"/>
          <w:sz w:val="16"/>
          <w:szCs w:val="16"/>
          <w:color w:val="auto"/>
        </w:rPr>
      </w:pPr>
    </w:p>
    <w:p>
      <w:pPr>
        <w:ind w:left="444" w:right="320" w:hanging="4"/>
        <w:spacing w:after="0" w:line="252" w:lineRule="auto"/>
        <w:tabs>
          <w:tab w:leader="none" w:pos="69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necessary unit agreement has been duly authorized, executed and delivered by the Company and any other party thereto, and the Units have been duly executed and delivered by the Company against payment therefor in accordance with any applicable unit agreement, and in accordance with such corporate action and applicable law and as contemplated in the Registration Statement and the prospectus supplement setting forth the terms of the Units and the plan of distribution, then, upon the happening of such events, the Units will constitute the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spacing w:after="0" w:line="192"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Our opinions above are qualified to the extent that the enforcement of any Covered Securities denominated in a currency other than United States dollars may be limited by requirements that a claim (or a foreign currency judgment in respect of such claim) be converted into United States dollars at a rate of exchange prevailing on a date determined pursuant to applicable law.</w:t>
      </w:r>
    </w:p>
    <w:p>
      <w:pPr>
        <w:spacing w:after="0" w:line="184"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We express no opinion as to: (i) waivers of defenses, subrogation and related rights, rights to trial by jury, rights to object to venue, or other rights or benefits bestowed by operation of law; (ii) releases or waivers of unmatured claims or rights; (iii) indemnification, contribution, exculpation, or arbitration provisions, or provisions for the non-survival of representations, to the extent they purport to indemnify any party against, or release or limit any party’s liability for, its own breach or failure to comply with statutory obligations, or to the extent such provisions are contrary to public policy;</w:t>
      </w:r>
    </w:p>
    <w:p>
      <w:pPr>
        <w:spacing w:after="0" w:line="1" w:lineRule="exact"/>
        <w:rPr>
          <w:sz w:val="20"/>
          <w:szCs w:val="20"/>
          <w:color w:val="auto"/>
        </w:rPr>
      </w:pPr>
    </w:p>
    <w:p>
      <w:pPr>
        <w:ind w:left="4" w:right="480" w:hanging="4"/>
        <w:spacing w:after="0" w:line="260" w:lineRule="auto"/>
        <w:tabs>
          <w:tab w:leader="none" w:pos="3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provisions for liquidated damages and penalties, penalty interest and interest on interest; or (v) provisions making notices effective even if not actually received.</w:t>
      </w:r>
    </w:p>
    <w:p>
      <w:pPr>
        <w:spacing w:after="0" w:line="18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We are members of the bar of the State of New York. We do not express any opinion herein on any laws other than the laws of the State of New York and the Delaware General Corporation Law.</w:t>
      </w:r>
    </w:p>
    <w:p>
      <w:pPr>
        <w:spacing w:after="0" w:line="170"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We also hereby consent to the reference to our firm under the heading “Legal Matters” in the prospectus relating to the offer and sale of the Covered Securities constituting part of the Registration Statement. In giving such consent, we do not thereby admit that we are in the category of persons whose consent is required under Section 7 of the Securities Act.</w:t>
      </w:r>
    </w:p>
    <w:p>
      <w:pPr>
        <w:spacing w:after="0" w:line="21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Covington &amp; Burling LLP</w:t>
      </w:r>
    </w:p>
    <w:p>
      <w:pPr>
        <w:sectPr>
          <w:pgSz w:w="11900" w:h="16838" w:orient="portrait"/>
          <w:cols w:equalWidth="0" w:num="1">
            <w:col w:w="11004"/>
          </w:cols>
          <w:pgMar w:left="436" w:top="584" w:right="4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and related Prospectus of Selecta Biosciences, Inc. for the registration of up to $200,000,000 of its common stock, preferred stock, debt securities, warrants, and units, and to the incorporation by reference therein of our report dated March 2, 2023, with respect to the consolidated financial statements of Selecta Biosciences, Inc. included in its Annual Report (Form 10-K) for the year ended December 31, 2022, filed with the Securities and Exchange Commission.</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25, 2023</w:t>
      </w:r>
    </w:p>
    <w:p>
      <w:pPr>
        <w:sectPr>
          <w:pgSz w:w="11900" w:h="16838" w:orient="portrait"/>
          <w:cols w:equalWidth="0" w:num="1">
            <w:col w:w="11020"/>
          </w:cols>
          <w:pgMar w:left="440" w:top="121" w:right="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S-3</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74" w:type="dxa"/>
        <w:tblCellMar>
          <w:top w:w="0" w:type="dxa"/>
          <w:left w:w="0" w:type="dxa"/>
          <w:bottom w:w="0" w:type="dxa"/>
          <w:right w:w="0" w:type="dxa"/>
        </w:tblCellMar>
      </w:tblPr>
      <w:tr>
        <w:trPr>
          <w:trHeight w:val="148"/>
        </w:trPr>
        <w:tc>
          <w:tcPr>
            <w:tcW w:w="1940" w:type="dxa"/>
            <w:vAlign w:val="bottom"/>
            <w:tcBorders>
              <w:top w:val="single" w:sz="8" w:color="auto"/>
              <w:left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ind w:left="101"/>
              <w:spacing w:after="0" w:line="148" w:lineRule="exact"/>
              <w:rPr>
                <w:sz w:val="20"/>
                <w:szCs w:val="20"/>
                <w:color w:val="auto"/>
              </w:rPr>
            </w:pPr>
            <w:r>
              <w:rPr>
                <w:rFonts w:ascii="Arial" w:cs="Arial" w:eastAsia="Arial" w:hAnsi="Arial"/>
                <w:sz w:val="13"/>
                <w:szCs w:val="13"/>
                <w:color w:val="auto"/>
                <w:w w:val="86"/>
              </w:rPr>
              <w:t>Proposed</w:t>
            </w:r>
          </w:p>
        </w:tc>
        <w:tc>
          <w:tcPr>
            <w:tcW w:w="1240" w:type="dxa"/>
            <w:vAlign w:val="bottom"/>
            <w:tcBorders>
              <w:top w:val="single" w:sz="8" w:color="auto"/>
              <w:right w:val="single" w:sz="8" w:color="auto"/>
            </w:tcBorders>
            <w:vMerge w:val="restart"/>
          </w:tcPr>
          <w:p>
            <w:pPr>
              <w:jc w:val="center"/>
              <w:ind w:left="118"/>
              <w:spacing w:after="0"/>
              <w:rPr>
                <w:sz w:val="20"/>
                <w:szCs w:val="20"/>
                <w:color w:val="auto"/>
              </w:rPr>
            </w:pPr>
            <w:r>
              <w:rPr>
                <w:rFonts w:ascii="Arial" w:cs="Arial" w:eastAsia="Arial" w:hAnsi="Arial"/>
                <w:sz w:val="13"/>
                <w:szCs w:val="13"/>
                <w:color w:val="auto"/>
                <w:w w:val="92"/>
              </w:rPr>
              <w:t>Maximum</w:t>
            </w:r>
          </w:p>
        </w:tc>
        <w:tc>
          <w:tcPr>
            <w:tcW w:w="112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4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center"/>
              <w:ind w:left="101"/>
              <w:spacing w:after="0" w:line="123" w:lineRule="exact"/>
              <w:rPr>
                <w:sz w:val="20"/>
                <w:szCs w:val="20"/>
                <w:color w:val="auto"/>
              </w:rPr>
            </w:pPr>
            <w:r>
              <w:rPr>
                <w:rFonts w:ascii="Arial" w:cs="Arial" w:eastAsia="Arial" w:hAnsi="Arial"/>
                <w:sz w:val="13"/>
                <w:szCs w:val="13"/>
                <w:color w:val="auto"/>
                <w:w w:val="92"/>
              </w:rPr>
              <w:t>Maximum</w:t>
            </w:r>
          </w:p>
        </w:tc>
        <w:tc>
          <w:tcPr>
            <w:tcW w:w="124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jc w:val="center"/>
              <w:ind w:left="95"/>
              <w:spacing w:after="0" w:line="135" w:lineRule="exact"/>
              <w:rPr>
                <w:sz w:val="20"/>
                <w:szCs w:val="20"/>
                <w:color w:val="auto"/>
              </w:rPr>
            </w:pPr>
            <w:r>
              <w:rPr>
                <w:rFonts w:ascii="Arial" w:cs="Arial" w:eastAsia="Arial" w:hAnsi="Arial"/>
                <w:sz w:val="13"/>
                <w:szCs w:val="13"/>
                <w:color w:val="auto"/>
                <w:w w:val="89"/>
              </w:rPr>
              <w:t>Security</w:t>
            </w:r>
          </w:p>
        </w:tc>
        <w:tc>
          <w:tcPr>
            <w:tcW w:w="200" w:type="dxa"/>
            <w:vAlign w:val="bottom"/>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2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ind w:left="101"/>
              <w:spacing w:after="0" w:line="135" w:lineRule="exact"/>
              <w:rPr>
                <w:sz w:val="20"/>
                <w:szCs w:val="20"/>
                <w:color w:val="auto"/>
              </w:rPr>
            </w:pPr>
            <w:r>
              <w:rPr>
                <w:rFonts w:ascii="Arial" w:cs="Arial" w:eastAsia="Arial" w:hAnsi="Arial"/>
                <w:sz w:val="13"/>
                <w:szCs w:val="13"/>
                <w:color w:val="auto"/>
                <w:w w:val="95"/>
              </w:rPr>
              <w:t>Offering</w:t>
            </w:r>
          </w:p>
        </w:tc>
        <w:tc>
          <w:tcPr>
            <w:tcW w:w="1240" w:type="dxa"/>
            <w:vAlign w:val="bottom"/>
            <w:tcBorders>
              <w:right w:val="single" w:sz="8" w:color="auto"/>
            </w:tcBorders>
          </w:tcPr>
          <w:p>
            <w:pPr>
              <w:jc w:val="center"/>
              <w:ind w:left="118"/>
              <w:spacing w:after="0" w:line="135" w:lineRule="exact"/>
              <w:rPr>
                <w:sz w:val="20"/>
                <w:szCs w:val="20"/>
                <w:color w:val="auto"/>
              </w:rPr>
            </w:pPr>
            <w:r>
              <w:rPr>
                <w:rFonts w:ascii="Arial" w:cs="Arial" w:eastAsia="Arial" w:hAnsi="Arial"/>
                <w:sz w:val="13"/>
                <w:szCs w:val="13"/>
                <w:color w:val="auto"/>
                <w:w w:val="86"/>
              </w:rPr>
              <w:t>Aggregate</w:t>
            </w:r>
          </w:p>
        </w:tc>
        <w:tc>
          <w:tcPr>
            <w:tcW w:w="11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ind w:left="96"/>
              <w:spacing w:after="0" w:line="135" w:lineRule="exact"/>
              <w:rPr>
                <w:sz w:val="20"/>
                <w:szCs w:val="20"/>
                <w:color w:val="auto"/>
              </w:rPr>
            </w:pPr>
            <w:r>
              <w:rPr>
                <w:rFonts w:ascii="Arial" w:cs="Arial" w:eastAsia="Arial" w:hAnsi="Arial"/>
                <w:sz w:val="13"/>
                <w:szCs w:val="13"/>
                <w:color w:val="auto"/>
                <w:w w:val="94"/>
              </w:rPr>
              <w:t>Amount of</w:t>
            </w:r>
          </w:p>
        </w:tc>
        <w:tc>
          <w:tcPr>
            <w:tcW w:w="0" w:type="dxa"/>
            <w:vAlign w:val="bottom"/>
          </w:tcPr>
          <w:p>
            <w:pPr>
              <w:spacing w:after="0"/>
              <w:rPr>
                <w:sz w:val="1"/>
                <w:szCs w:val="1"/>
                <w:color w:val="auto"/>
              </w:rPr>
            </w:pPr>
          </w:p>
        </w:tc>
      </w:tr>
      <w:tr>
        <w:trPr>
          <w:trHeight w:val="135"/>
        </w:trPr>
        <w:tc>
          <w:tcPr>
            <w:tcW w:w="194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jc w:val="center"/>
              <w:ind w:left="115"/>
              <w:spacing w:after="0" w:line="135" w:lineRule="exact"/>
              <w:rPr>
                <w:sz w:val="20"/>
                <w:szCs w:val="20"/>
                <w:color w:val="auto"/>
              </w:rPr>
            </w:pPr>
            <w:r>
              <w:rPr>
                <w:rFonts w:ascii="Arial" w:cs="Arial" w:eastAsia="Arial" w:hAnsi="Arial"/>
                <w:sz w:val="13"/>
                <w:szCs w:val="13"/>
                <w:color w:val="auto"/>
                <w:w w:val="89"/>
              </w:rPr>
              <w:t>Security</w:t>
            </w:r>
          </w:p>
        </w:tc>
        <w:tc>
          <w:tcPr>
            <w:tcW w:w="1680" w:type="dxa"/>
            <w:vAlign w:val="bottom"/>
            <w:tcBorders>
              <w:right w:val="single" w:sz="8" w:color="auto"/>
            </w:tcBorders>
          </w:tcPr>
          <w:p>
            <w:pPr>
              <w:jc w:val="center"/>
              <w:ind w:left="95"/>
              <w:spacing w:after="0" w:line="135" w:lineRule="exact"/>
              <w:rPr>
                <w:sz w:val="20"/>
                <w:szCs w:val="20"/>
                <w:color w:val="auto"/>
              </w:rPr>
            </w:pPr>
            <w:r>
              <w:rPr>
                <w:rFonts w:ascii="Arial" w:cs="Arial" w:eastAsia="Arial" w:hAnsi="Arial"/>
                <w:sz w:val="13"/>
                <w:szCs w:val="13"/>
                <w:color w:val="auto"/>
                <w:w w:val="79"/>
              </w:rPr>
              <w:t>Class</w:t>
            </w:r>
          </w:p>
        </w:tc>
        <w:tc>
          <w:tcPr>
            <w:tcW w:w="200" w:type="dxa"/>
            <w:vAlign w:val="bottom"/>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240" w:type="dxa"/>
            <w:vAlign w:val="bottom"/>
            <w:tcBorders>
              <w:right w:val="single" w:sz="8" w:color="auto"/>
            </w:tcBorders>
          </w:tcPr>
          <w:p>
            <w:pPr>
              <w:jc w:val="center"/>
              <w:ind w:left="96"/>
              <w:spacing w:after="0" w:line="135" w:lineRule="exact"/>
              <w:rPr>
                <w:sz w:val="20"/>
                <w:szCs w:val="20"/>
                <w:color w:val="auto"/>
              </w:rPr>
            </w:pPr>
            <w:r>
              <w:rPr>
                <w:rFonts w:ascii="Arial" w:cs="Arial" w:eastAsia="Arial" w:hAnsi="Arial"/>
                <w:sz w:val="13"/>
                <w:szCs w:val="13"/>
                <w:color w:val="auto"/>
                <w:w w:val="93"/>
              </w:rPr>
              <w:t>Amount</w:t>
            </w:r>
          </w:p>
        </w:tc>
        <w:tc>
          <w:tcPr>
            <w:tcW w:w="780" w:type="dxa"/>
            <w:vAlign w:val="bottom"/>
            <w:tcBorders>
              <w:right w:val="single" w:sz="8" w:color="auto"/>
            </w:tcBorders>
          </w:tcPr>
          <w:p>
            <w:pPr>
              <w:jc w:val="center"/>
              <w:ind w:left="101"/>
              <w:spacing w:after="0" w:line="135" w:lineRule="exact"/>
              <w:rPr>
                <w:sz w:val="20"/>
                <w:szCs w:val="20"/>
                <w:color w:val="auto"/>
              </w:rPr>
            </w:pPr>
            <w:r>
              <w:rPr>
                <w:rFonts w:ascii="Arial" w:cs="Arial" w:eastAsia="Arial" w:hAnsi="Arial"/>
                <w:sz w:val="13"/>
                <w:szCs w:val="13"/>
                <w:color w:val="auto"/>
                <w:w w:val="82"/>
              </w:rPr>
              <w:t>Price Per</w:t>
            </w:r>
          </w:p>
        </w:tc>
        <w:tc>
          <w:tcPr>
            <w:tcW w:w="1240" w:type="dxa"/>
            <w:vAlign w:val="bottom"/>
            <w:tcBorders>
              <w:right w:val="single" w:sz="8" w:color="auto"/>
            </w:tcBorders>
          </w:tcPr>
          <w:p>
            <w:pPr>
              <w:jc w:val="center"/>
              <w:ind w:left="118"/>
              <w:spacing w:after="0" w:line="135" w:lineRule="exact"/>
              <w:rPr>
                <w:sz w:val="20"/>
                <w:szCs w:val="20"/>
                <w:color w:val="auto"/>
              </w:rPr>
            </w:pPr>
            <w:r>
              <w:rPr>
                <w:rFonts w:ascii="Arial" w:cs="Arial" w:eastAsia="Arial" w:hAnsi="Arial"/>
                <w:sz w:val="13"/>
                <w:szCs w:val="13"/>
                <w:color w:val="auto"/>
                <w:w w:val="95"/>
              </w:rPr>
              <w:t>Offering</w:t>
            </w:r>
          </w:p>
        </w:tc>
        <w:tc>
          <w:tcPr>
            <w:tcW w:w="1120" w:type="dxa"/>
            <w:vAlign w:val="bottom"/>
            <w:tcBorders>
              <w:right w:val="single" w:sz="8" w:color="auto"/>
            </w:tcBorders>
          </w:tcPr>
          <w:p>
            <w:pPr>
              <w:jc w:val="center"/>
              <w:ind w:left="136"/>
              <w:spacing w:after="0" w:line="135" w:lineRule="exact"/>
              <w:rPr>
                <w:sz w:val="20"/>
                <w:szCs w:val="20"/>
                <w:color w:val="auto"/>
              </w:rPr>
            </w:pPr>
            <w:r>
              <w:rPr>
                <w:rFonts w:ascii="Arial" w:cs="Arial" w:eastAsia="Arial" w:hAnsi="Arial"/>
                <w:sz w:val="13"/>
                <w:szCs w:val="13"/>
                <w:color w:val="auto"/>
                <w:w w:val="80"/>
              </w:rPr>
              <w:t>Fee</w:t>
            </w:r>
          </w:p>
        </w:tc>
        <w:tc>
          <w:tcPr>
            <w:tcW w:w="940" w:type="dxa"/>
            <w:vAlign w:val="bottom"/>
            <w:tcBorders>
              <w:right w:val="single" w:sz="8" w:color="auto"/>
            </w:tcBorders>
          </w:tcPr>
          <w:p>
            <w:pPr>
              <w:jc w:val="center"/>
              <w:ind w:left="116"/>
              <w:spacing w:after="0" w:line="135" w:lineRule="exact"/>
              <w:rPr>
                <w:sz w:val="20"/>
                <w:szCs w:val="20"/>
                <w:color w:val="auto"/>
              </w:rPr>
            </w:pPr>
            <w:r>
              <w:rPr>
                <w:rFonts w:ascii="Arial" w:cs="Arial" w:eastAsia="Arial" w:hAnsi="Arial"/>
                <w:sz w:val="13"/>
                <w:szCs w:val="13"/>
                <w:color w:val="auto"/>
                <w:w w:val="89"/>
              </w:rPr>
              <w:t>Registration</w:t>
            </w:r>
          </w:p>
        </w:tc>
        <w:tc>
          <w:tcPr>
            <w:tcW w:w="0" w:type="dxa"/>
            <w:vAlign w:val="bottom"/>
          </w:tcPr>
          <w:p>
            <w:pPr>
              <w:spacing w:after="0"/>
              <w:rPr>
                <w:sz w:val="1"/>
                <w:szCs w:val="1"/>
                <w:color w:val="auto"/>
              </w:rPr>
            </w:pPr>
          </w:p>
        </w:tc>
      </w:tr>
      <w:tr>
        <w:trPr>
          <w:trHeight w:val="174"/>
        </w:trPr>
        <w:tc>
          <w:tcPr>
            <w:tcW w:w="1940" w:type="dxa"/>
            <w:vAlign w:val="bottom"/>
            <w:tcBorders>
              <w:left w:val="single" w:sz="8" w:color="auto"/>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3"/>
                <w:szCs w:val="13"/>
                <w:color w:val="auto"/>
                <w:w w:val="89"/>
              </w:rPr>
              <w:t>Type</w:t>
            </w:r>
          </w:p>
        </w:tc>
        <w:tc>
          <w:tcPr>
            <w:tcW w:w="168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3"/>
                <w:szCs w:val="13"/>
                <w:color w:val="auto"/>
                <w:w w:val="89"/>
              </w:rPr>
              <w:t>Title</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240" w:type="dxa"/>
            <w:vAlign w:val="bottom"/>
            <w:tcBorders>
              <w:bottom w:val="single" w:sz="8" w:color="auto"/>
              <w:right w:val="single" w:sz="8" w:color="auto"/>
            </w:tcBorders>
          </w:tcPr>
          <w:p>
            <w:pPr>
              <w:jc w:val="center"/>
              <w:ind w:left="96"/>
              <w:spacing w:after="0"/>
              <w:rPr>
                <w:sz w:val="20"/>
                <w:szCs w:val="20"/>
                <w:color w:val="auto"/>
              </w:rPr>
            </w:pPr>
            <w:r>
              <w:rPr>
                <w:rFonts w:ascii="Arial" w:cs="Arial" w:eastAsia="Arial" w:hAnsi="Arial"/>
                <w:sz w:val="13"/>
                <w:szCs w:val="13"/>
                <w:color w:val="auto"/>
                <w:w w:val="85"/>
              </w:rPr>
              <w:t>Registered</w:t>
            </w:r>
          </w:p>
        </w:tc>
        <w:tc>
          <w:tcPr>
            <w:tcW w:w="780" w:type="dxa"/>
            <w:vAlign w:val="bottom"/>
            <w:tcBorders>
              <w:bottom w:val="single" w:sz="8" w:color="auto"/>
              <w:right w:val="single" w:sz="8" w:color="auto"/>
            </w:tcBorders>
          </w:tcPr>
          <w:p>
            <w:pPr>
              <w:jc w:val="center"/>
              <w:ind w:left="101"/>
              <w:spacing w:after="0"/>
              <w:rPr>
                <w:sz w:val="20"/>
                <w:szCs w:val="20"/>
                <w:color w:val="auto"/>
              </w:rPr>
            </w:pPr>
            <w:r>
              <w:rPr>
                <w:rFonts w:ascii="Arial" w:cs="Arial" w:eastAsia="Arial" w:hAnsi="Arial"/>
                <w:sz w:val="13"/>
                <w:szCs w:val="13"/>
                <w:color w:val="auto"/>
              </w:rPr>
              <w:t>Unit</w:t>
            </w:r>
          </w:p>
        </w:tc>
        <w:tc>
          <w:tcPr>
            <w:tcW w:w="124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3"/>
                <w:szCs w:val="13"/>
                <w:color w:val="auto"/>
                <w:w w:val="80"/>
              </w:rPr>
              <w:t>Price</w:t>
            </w:r>
          </w:p>
        </w:tc>
        <w:tc>
          <w:tcPr>
            <w:tcW w:w="112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3"/>
                <w:szCs w:val="13"/>
                <w:color w:val="auto"/>
                <w:w w:val="79"/>
              </w:rPr>
              <w:t>Rate</w:t>
            </w:r>
          </w:p>
        </w:tc>
        <w:tc>
          <w:tcPr>
            <w:tcW w:w="94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3"/>
                <w:szCs w:val="13"/>
                <w:color w:val="auto"/>
                <w:w w:val="80"/>
              </w:rPr>
              <w:t>Fee</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6"/>
              </w:rPr>
              <w:t>Fees to be</w:t>
            </w:r>
          </w:p>
        </w:tc>
        <w:tc>
          <w:tcPr>
            <w:tcW w:w="11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ind w:left="115"/>
              <w:spacing w:after="0"/>
              <w:rPr>
                <w:sz w:val="20"/>
                <w:szCs w:val="20"/>
                <w:color w:val="auto"/>
              </w:rPr>
            </w:pPr>
            <w:r>
              <w:rPr>
                <w:rFonts w:ascii="Arial" w:cs="Arial" w:eastAsia="Arial" w:hAnsi="Arial"/>
                <w:sz w:val="18"/>
                <w:szCs w:val="18"/>
                <w:color w:val="auto"/>
                <w:w w:val="90"/>
              </w:rPr>
              <w:t>Common Stock, par</w:t>
            </w:r>
          </w:p>
        </w:tc>
        <w:tc>
          <w:tcPr>
            <w:tcW w:w="2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1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ind w:left="95"/>
              <w:spacing w:after="0"/>
              <w:rPr>
                <w:sz w:val="20"/>
                <w:szCs w:val="20"/>
                <w:color w:val="auto"/>
              </w:rPr>
            </w:pPr>
            <w:r>
              <w:rPr>
                <w:rFonts w:ascii="Arial" w:cs="Arial" w:eastAsia="Arial" w:hAnsi="Arial"/>
                <w:sz w:val="18"/>
                <w:szCs w:val="18"/>
                <w:color w:val="auto"/>
                <w:w w:val="88"/>
              </w:rPr>
              <w:t>value</w:t>
            </w:r>
          </w:p>
        </w:tc>
        <w:tc>
          <w:tcPr>
            <w:tcW w:w="200" w:type="dxa"/>
            <w:vAlign w:val="bottom"/>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1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color w:val="auto"/>
                <w:w w:val="95"/>
              </w:rPr>
              <w:t>Equity</w:t>
            </w:r>
          </w:p>
        </w:tc>
        <w:tc>
          <w:tcPr>
            <w:tcW w:w="168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8"/>
                <w:szCs w:val="18"/>
                <w:color w:val="auto"/>
                <w:w w:val="87"/>
              </w:rPr>
              <w:t>$0.0001 per share</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24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8"/>
                <w:szCs w:val="18"/>
                <w:color w:val="auto"/>
                <w:w w:val="90"/>
              </w:rPr>
              <w:t>(1)</w:t>
            </w:r>
          </w:p>
        </w:tc>
        <w:tc>
          <w:tcPr>
            <w:tcW w:w="78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8"/>
                <w:szCs w:val="18"/>
                <w:color w:val="auto"/>
              </w:rPr>
              <w:t>$(1)</w:t>
            </w:r>
          </w:p>
        </w:tc>
        <w:tc>
          <w:tcPr>
            <w:tcW w:w="124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1940" w:type="dxa"/>
            <w:vAlign w:val="bottom"/>
            <w:tcBorders>
              <w:left w:val="single" w:sz="8" w:color="auto"/>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ind w:left="115"/>
              <w:spacing w:after="0" w:line="201" w:lineRule="exact"/>
              <w:rPr>
                <w:sz w:val="20"/>
                <w:szCs w:val="20"/>
                <w:color w:val="auto"/>
              </w:rPr>
            </w:pPr>
            <w:r>
              <w:rPr>
                <w:rFonts w:ascii="Arial" w:cs="Arial" w:eastAsia="Arial" w:hAnsi="Arial"/>
                <w:sz w:val="18"/>
                <w:szCs w:val="18"/>
                <w:color w:val="auto"/>
                <w:w w:val="89"/>
              </w:rPr>
              <w:t>Preferred Stock, par</w:t>
            </w:r>
          </w:p>
        </w:tc>
        <w:tc>
          <w:tcPr>
            <w:tcW w:w="2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ind w:left="95"/>
              <w:spacing w:after="0"/>
              <w:rPr>
                <w:sz w:val="20"/>
                <w:szCs w:val="20"/>
                <w:color w:val="auto"/>
              </w:rPr>
            </w:pPr>
            <w:r>
              <w:rPr>
                <w:rFonts w:ascii="Arial" w:cs="Arial" w:eastAsia="Arial" w:hAnsi="Arial"/>
                <w:sz w:val="18"/>
                <w:szCs w:val="18"/>
                <w:color w:val="auto"/>
                <w:w w:val="88"/>
              </w:rPr>
              <w:t>value</w:t>
            </w:r>
          </w:p>
        </w:tc>
        <w:tc>
          <w:tcPr>
            <w:tcW w:w="200" w:type="dxa"/>
            <w:vAlign w:val="bottom"/>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1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color w:val="auto"/>
                <w:w w:val="95"/>
              </w:rPr>
              <w:t>Equity</w:t>
            </w:r>
          </w:p>
        </w:tc>
        <w:tc>
          <w:tcPr>
            <w:tcW w:w="168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8"/>
                <w:szCs w:val="18"/>
                <w:color w:val="auto"/>
                <w:w w:val="87"/>
              </w:rPr>
              <w:t>$0.0001 per share</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24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8"/>
                <w:szCs w:val="18"/>
                <w:color w:val="auto"/>
                <w:w w:val="90"/>
              </w:rPr>
              <w:t>(1)</w:t>
            </w:r>
          </w:p>
        </w:tc>
        <w:tc>
          <w:tcPr>
            <w:tcW w:w="78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8"/>
                <w:szCs w:val="18"/>
                <w:color w:val="auto"/>
              </w:rPr>
              <w:t>$(1)</w:t>
            </w:r>
          </w:p>
        </w:tc>
        <w:tc>
          <w:tcPr>
            <w:tcW w:w="1240" w:type="dxa"/>
            <w:vAlign w:val="bottom"/>
            <w:tcBorders>
              <w:bottom w:val="single" w:sz="8" w:color="auto"/>
              <w:right w:val="single" w:sz="8" w:color="auto"/>
            </w:tcBorders>
          </w:tcPr>
          <w:p>
            <w:pPr>
              <w:jc w:val="center"/>
              <w:ind w:left="98"/>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1940" w:type="dxa"/>
            <w:vAlign w:val="bottom"/>
            <w:tcBorders>
              <w:left w:val="single" w:sz="8" w:color="auto"/>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Rule</w:t>
            </w:r>
          </w:p>
        </w:tc>
        <w:tc>
          <w:tcPr>
            <w:tcW w:w="12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8"/>
                <w:szCs w:val="18"/>
                <w:color w:val="auto"/>
                <w:w w:val="89"/>
              </w:rPr>
              <w:t>Debt</w:t>
            </w:r>
          </w:p>
        </w:tc>
        <w:tc>
          <w:tcPr>
            <w:tcW w:w="168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8"/>
                <w:szCs w:val="18"/>
                <w:color w:val="auto"/>
                <w:w w:val="91"/>
              </w:rPr>
              <w:t>Debt Securities (3)</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24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8"/>
                <w:szCs w:val="18"/>
                <w:color w:val="auto"/>
                <w:w w:val="90"/>
              </w:rPr>
              <w:t>(1)</w:t>
            </w:r>
          </w:p>
        </w:tc>
        <w:tc>
          <w:tcPr>
            <w:tcW w:w="78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8"/>
                <w:szCs w:val="18"/>
                <w:color w:val="auto"/>
              </w:rPr>
              <w:t>$(1)</w:t>
            </w:r>
          </w:p>
        </w:tc>
        <w:tc>
          <w:tcPr>
            <w:tcW w:w="1240" w:type="dxa"/>
            <w:vAlign w:val="bottom"/>
            <w:tcBorders>
              <w:bottom w:val="single" w:sz="8" w:color="auto"/>
              <w:right w:val="single" w:sz="8" w:color="auto"/>
            </w:tcBorders>
          </w:tcPr>
          <w:p>
            <w:pPr>
              <w:jc w:val="center"/>
              <w:ind w:left="98"/>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1940" w:type="dxa"/>
            <w:vAlign w:val="bottom"/>
            <w:tcBorders>
              <w:left w:val="single" w:sz="8" w:color="auto"/>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Rule</w:t>
            </w:r>
          </w:p>
        </w:tc>
        <w:tc>
          <w:tcPr>
            <w:tcW w:w="12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8"/>
                <w:szCs w:val="18"/>
                <w:color w:val="auto"/>
                <w:w w:val="93"/>
              </w:rPr>
              <w:t>Other</w:t>
            </w:r>
          </w:p>
        </w:tc>
        <w:tc>
          <w:tcPr>
            <w:tcW w:w="168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8"/>
                <w:szCs w:val="18"/>
                <w:color w:val="auto"/>
                <w:w w:val="87"/>
              </w:rPr>
              <w:t>Warrants</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24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8"/>
                <w:szCs w:val="18"/>
                <w:color w:val="auto"/>
                <w:w w:val="90"/>
              </w:rPr>
              <w:t>(1)</w:t>
            </w:r>
          </w:p>
        </w:tc>
        <w:tc>
          <w:tcPr>
            <w:tcW w:w="78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8"/>
                <w:szCs w:val="18"/>
                <w:color w:val="auto"/>
              </w:rPr>
              <w:t>$(1)</w:t>
            </w:r>
          </w:p>
        </w:tc>
        <w:tc>
          <w:tcPr>
            <w:tcW w:w="1240" w:type="dxa"/>
            <w:vAlign w:val="bottom"/>
            <w:tcBorders>
              <w:bottom w:val="single" w:sz="8" w:color="auto"/>
              <w:right w:val="single" w:sz="8" w:color="auto"/>
            </w:tcBorders>
          </w:tcPr>
          <w:p>
            <w:pPr>
              <w:jc w:val="center"/>
              <w:ind w:left="98"/>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1940" w:type="dxa"/>
            <w:vAlign w:val="bottom"/>
            <w:tcBorders>
              <w:left w:val="single" w:sz="8" w:color="auto"/>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Rule</w:t>
            </w:r>
          </w:p>
        </w:tc>
        <w:tc>
          <w:tcPr>
            <w:tcW w:w="12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8"/>
                <w:szCs w:val="18"/>
                <w:color w:val="auto"/>
                <w:w w:val="93"/>
              </w:rPr>
              <w:t>Other</w:t>
            </w:r>
          </w:p>
        </w:tc>
        <w:tc>
          <w:tcPr>
            <w:tcW w:w="168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color w:val="auto"/>
                <w:w w:val="92"/>
              </w:rPr>
              <w:t>Units</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24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8"/>
                <w:szCs w:val="18"/>
                <w:color w:val="auto"/>
                <w:w w:val="90"/>
              </w:rPr>
              <w:t>(1)</w:t>
            </w:r>
          </w:p>
        </w:tc>
        <w:tc>
          <w:tcPr>
            <w:tcW w:w="78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8"/>
                <w:szCs w:val="18"/>
                <w:color w:val="auto"/>
              </w:rPr>
              <w:t>$(1)</w:t>
            </w:r>
          </w:p>
        </w:tc>
        <w:tc>
          <w:tcPr>
            <w:tcW w:w="1240" w:type="dxa"/>
            <w:vAlign w:val="bottom"/>
            <w:tcBorders>
              <w:bottom w:val="single" w:sz="8" w:color="auto"/>
              <w:right w:val="single" w:sz="8" w:color="auto"/>
            </w:tcBorders>
          </w:tcPr>
          <w:p>
            <w:pPr>
              <w:jc w:val="center"/>
              <w:ind w:left="98"/>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right w:val="single" w:sz="8" w:color="auto"/>
            </w:tcBorders>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1940" w:type="dxa"/>
            <w:vAlign w:val="bottom"/>
            <w:tcBorders>
              <w:left w:val="single" w:sz="8" w:color="auto"/>
              <w:right w:val="single" w:sz="8" w:color="auto"/>
            </w:tcBorders>
          </w:tcPr>
          <w:p>
            <w:pPr>
              <w:spacing w:after="0"/>
              <w:rPr>
                <w:sz w:val="17"/>
                <w:szCs w:val="17"/>
                <w:color w:val="auto"/>
              </w:rPr>
            </w:pPr>
          </w:p>
        </w:tc>
        <w:tc>
          <w:tcPr>
            <w:tcW w:w="1140" w:type="dxa"/>
            <w:vAlign w:val="bottom"/>
            <w:tcBorders>
              <w:right w:val="single" w:sz="8" w:color="auto"/>
            </w:tcBorders>
          </w:tcPr>
          <w:p>
            <w:pPr>
              <w:jc w:val="center"/>
              <w:ind w:left="115"/>
              <w:spacing w:after="0" w:line="201" w:lineRule="exact"/>
              <w:rPr>
                <w:sz w:val="20"/>
                <w:szCs w:val="20"/>
                <w:color w:val="auto"/>
              </w:rPr>
            </w:pPr>
            <w:r>
              <w:rPr>
                <w:rFonts w:ascii="Arial" w:cs="Arial" w:eastAsia="Arial" w:hAnsi="Arial"/>
                <w:sz w:val="18"/>
                <w:szCs w:val="18"/>
                <w:color w:val="auto"/>
                <w:w w:val="90"/>
              </w:rPr>
              <w:t>Unallocated</w:t>
            </w:r>
          </w:p>
        </w:tc>
        <w:tc>
          <w:tcPr>
            <w:tcW w:w="16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jc w:val="center"/>
              <w:ind w:left="115"/>
              <w:spacing w:after="0"/>
              <w:rPr>
                <w:sz w:val="20"/>
                <w:szCs w:val="20"/>
                <w:color w:val="auto"/>
              </w:rPr>
            </w:pPr>
            <w:r>
              <w:rPr>
                <w:rFonts w:ascii="Arial" w:cs="Arial" w:eastAsia="Arial" w:hAnsi="Arial"/>
                <w:sz w:val="18"/>
                <w:szCs w:val="18"/>
                <w:color w:val="auto"/>
                <w:w w:val="94"/>
              </w:rPr>
              <w:t>(Universal)</w:t>
            </w:r>
          </w:p>
        </w:tc>
        <w:tc>
          <w:tcPr>
            <w:tcW w:w="16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Rule</w:t>
            </w:r>
          </w:p>
        </w:tc>
        <w:tc>
          <w:tcPr>
            <w:tcW w:w="1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ind w:left="118"/>
              <w:spacing w:after="0"/>
              <w:rPr>
                <w:sz w:val="20"/>
                <w:szCs w:val="20"/>
                <w:color w:val="auto"/>
              </w:rPr>
            </w:pPr>
            <w:r>
              <w:rPr>
                <w:rFonts w:ascii="Arial" w:cs="Arial" w:eastAsia="Arial" w:hAnsi="Arial"/>
                <w:sz w:val="18"/>
                <w:szCs w:val="18"/>
                <w:color w:val="auto"/>
                <w:w w:val="90"/>
              </w:rPr>
              <w:t>$200,000,000</w:t>
            </w: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4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8"/>
                <w:szCs w:val="18"/>
                <w:color w:val="auto"/>
                <w:w w:val="92"/>
              </w:rPr>
              <w:t>Shelf</w:t>
            </w:r>
          </w:p>
        </w:tc>
        <w:tc>
          <w:tcPr>
            <w:tcW w:w="168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1240" w:type="dxa"/>
            <w:vAlign w:val="bottom"/>
            <w:tcBorders>
              <w:bottom w:val="single" w:sz="8" w:color="auto"/>
              <w:right w:val="single" w:sz="8" w:color="auto"/>
            </w:tcBorders>
          </w:tcPr>
          <w:p>
            <w:pPr>
              <w:jc w:val="center"/>
              <w:ind w:left="96"/>
              <w:spacing w:after="0"/>
              <w:rPr>
                <w:sz w:val="20"/>
                <w:szCs w:val="20"/>
                <w:color w:val="auto"/>
              </w:rPr>
            </w:pPr>
            <w:r>
              <w:rPr>
                <w:rFonts w:ascii="Arial" w:cs="Arial" w:eastAsia="Arial" w:hAnsi="Arial"/>
                <w:sz w:val="18"/>
                <w:szCs w:val="18"/>
                <w:color w:val="auto"/>
                <w:w w:val="88"/>
              </w:rPr>
              <w:t>$200,000,000</w:t>
            </w:r>
          </w:p>
        </w:tc>
        <w:tc>
          <w:tcPr>
            <w:tcW w:w="780" w:type="dxa"/>
            <w:vAlign w:val="bottom"/>
            <w:tcBorders>
              <w:bottom w:val="single" w:sz="8" w:color="auto"/>
              <w:right w:val="single" w:sz="8" w:color="auto"/>
            </w:tcBorders>
          </w:tcPr>
          <w:p>
            <w:pPr>
              <w:jc w:val="right"/>
              <w:ind w:right="121"/>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8"/>
                <w:szCs w:val="18"/>
                <w:color w:val="auto"/>
                <w:w w:val="90"/>
              </w:rPr>
              <w:t>(2)</w:t>
            </w:r>
          </w:p>
        </w:tc>
        <w:tc>
          <w:tcPr>
            <w:tcW w:w="112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0"/>
              </w:rPr>
              <w:t>0.00014760</w:t>
            </w:r>
          </w:p>
        </w:tc>
        <w:tc>
          <w:tcPr>
            <w:tcW w:w="94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2"/>
              </w:rPr>
              <w:t>$29,520</w:t>
            </w: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4"/>
              </w:rPr>
              <w:t>Fees</w:t>
            </w:r>
          </w:p>
        </w:tc>
        <w:tc>
          <w:tcPr>
            <w:tcW w:w="11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3"/>
              </w:rPr>
              <w:t>Previously</w:t>
            </w:r>
          </w:p>
        </w:tc>
        <w:tc>
          <w:tcPr>
            <w:tcW w:w="11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14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18"/>
                <w:szCs w:val="18"/>
                <w:color w:val="auto"/>
                <w:w w:val="99"/>
              </w:rPr>
              <w:t>N/A</w:t>
            </w:r>
          </w:p>
        </w:tc>
        <w:tc>
          <w:tcPr>
            <w:tcW w:w="1680" w:type="dxa"/>
            <w:vAlign w:val="bottom"/>
            <w:tcBorders>
              <w:bottom w:val="single" w:sz="8" w:color="auto"/>
              <w:right w:val="single" w:sz="8" w:color="auto"/>
            </w:tcBorders>
          </w:tcPr>
          <w:p>
            <w:pPr>
              <w:jc w:val="center"/>
              <w:ind w:left="95"/>
              <w:spacing w:after="0"/>
              <w:rPr>
                <w:sz w:val="20"/>
                <w:szCs w:val="20"/>
                <w:color w:val="auto"/>
              </w:rPr>
            </w:pPr>
            <w:r>
              <w:rPr>
                <w:rFonts w:ascii="Arial" w:cs="Arial" w:eastAsia="Arial" w:hAnsi="Arial"/>
                <w:sz w:val="18"/>
                <w:szCs w:val="18"/>
                <w:color w:val="auto"/>
                <w:w w:val="99"/>
              </w:rPr>
              <w:t>N/A</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auto"/>
              <w:right w:val="single" w:sz="8" w:color="auto"/>
            </w:tcBorders>
          </w:tcPr>
          <w:p>
            <w:pPr>
              <w:jc w:val="center"/>
              <w:ind w:left="96"/>
              <w:spacing w:after="0"/>
              <w:rPr>
                <w:sz w:val="20"/>
                <w:szCs w:val="20"/>
                <w:color w:val="auto"/>
              </w:rPr>
            </w:pPr>
            <w:r>
              <w:rPr>
                <w:rFonts w:ascii="Arial" w:cs="Arial" w:eastAsia="Arial" w:hAnsi="Arial"/>
                <w:sz w:val="18"/>
                <w:szCs w:val="18"/>
                <w:color w:val="auto"/>
                <w:w w:val="99"/>
              </w:rPr>
              <w:t>N/A</w:t>
            </w:r>
          </w:p>
        </w:tc>
        <w:tc>
          <w:tcPr>
            <w:tcW w:w="780" w:type="dxa"/>
            <w:vAlign w:val="bottom"/>
            <w:tcBorders>
              <w:bottom w:val="single" w:sz="8" w:color="auto"/>
              <w:right w:val="single" w:sz="8" w:color="auto"/>
            </w:tcBorders>
          </w:tcPr>
          <w:p>
            <w:pPr>
              <w:jc w:val="center"/>
              <w:ind w:left="101"/>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8"/>
                <w:szCs w:val="18"/>
                <w:color w:val="auto"/>
              </w:rPr>
              <w:t>N/A</w:t>
            </w:r>
          </w:p>
        </w:tc>
        <w:tc>
          <w:tcPr>
            <w:tcW w:w="112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9"/>
              </w:rPr>
              <w:t>N/A</w:t>
            </w:r>
          </w:p>
        </w:tc>
        <w:tc>
          <w:tcPr>
            <w:tcW w:w="94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1940" w:type="dxa"/>
            <w:vAlign w:val="bottom"/>
            <w:tcBorders>
              <w:left w:val="single" w:sz="8" w:color="auto"/>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ind w:left="118"/>
              <w:spacing w:after="0"/>
              <w:rPr>
                <w:sz w:val="20"/>
                <w:szCs w:val="20"/>
                <w:color w:val="auto"/>
              </w:rPr>
            </w:pPr>
            <w:r>
              <w:rPr>
                <w:rFonts w:ascii="Arial" w:cs="Arial" w:eastAsia="Arial" w:hAnsi="Arial"/>
                <w:sz w:val="18"/>
                <w:szCs w:val="18"/>
                <w:color w:val="auto"/>
                <w:w w:val="90"/>
              </w:rPr>
              <w:t>$200,000,000</w:t>
            </w:r>
          </w:p>
        </w:tc>
        <w:tc>
          <w:tcPr>
            <w:tcW w:w="11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center"/>
              <w:ind w:left="215"/>
              <w:spacing w:after="0"/>
              <w:rPr>
                <w:sz w:val="20"/>
                <w:szCs w:val="20"/>
                <w:color w:val="auto"/>
              </w:rPr>
            </w:pPr>
            <w:r>
              <w:rPr>
                <w:rFonts w:ascii="Arial" w:cs="Arial" w:eastAsia="Arial" w:hAnsi="Arial"/>
                <w:sz w:val="18"/>
                <w:szCs w:val="18"/>
                <w:color w:val="auto"/>
                <w:w w:val="93"/>
              </w:rPr>
              <w:t>Total Offering Amounts</w:t>
            </w:r>
          </w:p>
        </w:tc>
        <w:tc>
          <w:tcPr>
            <w:tcW w:w="12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8"/>
                <w:szCs w:val="18"/>
                <w:color w:val="auto"/>
                <w:w w:val="90"/>
              </w:rPr>
              <w:t>(2)</w:t>
            </w:r>
          </w:p>
        </w:tc>
        <w:tc>
          <w:tcPr>
            <w:tcW w:w="11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2"/>
              </w:rPr>
              <w:t>$29,520</w:t>
            </w: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center"/>
              <w:ind w:left="235"/>
              <w:spacing w:after="0"/>
              <w:rPr>
                <w:sz w:val="20"/>
                <w:szCs w:val="20"/>
                <w:color w:val="auto"/>
              </w:rPr>
            </w:pPr>
            <w:r>
              <w:rPr>
                <w:rFonts w:ascii="Arial" w:cs="Arial" w:eastAsia="Arial" w:hAnsi="Arial"/>
                <w:sz w:val="18"/>
                <w:szCs w:val="18"/>
                <w:color w:val="auto"/>
                <w:w w:val="89"/>
              </w:rPr>
              <w:t>Total Fees Previously Paid</w:t>
            </w:r>
          </w:p>
        </w:tc>
        <w:tc>
          <w:tcPr>
            <w:tcW w:w="12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center"/>
              <w:ind w:left="215"/>
              <w:spacing w:after="0"/>
              <w:rPr>
                <w:sz w:val="20"/>
                <w:szCs w:val="20"/>
                <w:color w:val="auto"/>
              </w:rPr>
            </w:pPr>
            <w:r>
              <w:rPr>
                <w:rFonts w:ascii="Arial" w:cs="Arial" w:eastAsia="Arial" w:hAnsi="Arial"/>
                <w:sz w:val="18"/>
                <w:szCs w:val="18"/>
                <w:color w:val="auto"/>
                <w:w w:val="88"/>
              </w:rPr>
              <w:t>Total Fee Offsets</w:t>
            </w:r>
          </w:p>
        </w:tc>
        <w:tc>
          <w:tcPr>
            <w:tcW w:w="12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left="855"/>
              <w:spacing w:after="0"/>
              <w:rPr>
                <w:sz w:val="20"/>
                <w:szCs w:val="20"/>
                <w:color w:val="auto"/>
              </w:rPr>
            </w:pPr>
            <w:r>
              <w:rPr>
                <w:rFonts w:ascii="Arial" w:cs="Arial" w:eastAsia="Arial" w:hAnsi="Arial"/>
                <w:sz w:val="18"/>
                <w:szCs w:val="18"/>
                <w:color w:val="auto"/>
                <w:w w:val="88"/>
              </w:rPr>
              <w:t>Net Fee Due</w:t>
            </w:r>
          </w:p>
        </w:tc>
        <w:tc>
          <w:tcPr>
            <w:tcW w:w="64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left="136"/>
              <w:spacing w:after="0"/>
              <w:rPr>
                <w:sz w:val="20"/>
                <w:szCs w:val="20"/>
                <w:color w:val="auto"/>
              </w:rPr>
            </w:pPr>
            <w:r>
              <w:rPr>
                <w:rFonts w:ascii="Arial" w:cs="Arial" w:eastAsia="Arial" w:hAnsi="Arial"/>
                <w:sz w:val="18"/>
                <w:szCs w:val="18"/>
                <w:color w:val="auto"/>
                <w:w w:val="92"/>
              </w:rPr>
              <w:t>$29,520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160" w:hanging="4"/>
        <w:spacing w:after="0" w:line="254" w:lineRule="auto"/>
        <w:tabs>
          <w:tab w:leader="none" w:pos="2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indeterminate number or aggregate principal amount, as applicable, of securities of each identified class is being registered as may from time to time be offered on a primary basis at indeterminate prices, including an indeterminate number or amount of securities that may be issued upon the exercise, settlement, exchange or conversion of securities offered hereunder, which together shall have an aggregate initial offering price not to exceed $200,000,000. Separate consideration may or may not be received for securities that are issuable upon conversion of, or in exchange for, or upon exercise of, convertible or exchangeable securities. Pursuant to Rule 416 under the Securities Act of 1933, as amended, or the Securities Act, this registration statement shall also cover any additional securities of the registrant that become issuable by reason of any splits, dividends or similar transactions or anti-dilution adjustments.</w:t>
      </w:r>
    </w:p>
    <w:p>
      <w:pPr>
        <w:spacing w:after="0" w:line="194" w:lineRule="exact"/>
        <w:rPr>
          <w:rFonts w:ascii="Arial" w:cs="Arial" w:eastAsia="Arial" w:hAnsi="Arial"/>
          <w:sz w:val="18"/>
          <w:szCs w:val="18"/>
          <w:color w:val="auto"/>
        </w:rPr>
      </w:pPr>
    </w:p>
    <w:p>
      <w:pPr>
        <w:ind w:left="4" w:right="380" w:hanging="4"/>
        <w:spacing w:after="0" w:line="277" w:lineRule="auto"/>
        <w:tabs>
          <w:tab w:leader="none" w:pos="2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Subject to Rule 462(b) under the Securities Act, the aggregate initial offering price of all securities issued by the registrant pursuant to this registration statement will not exceed $200,000,000.</w:t>
      </w:r>
    </w:p>
    <w:p>
      <w:pPr>
        <w:spacing w:after="0" w:line="170" w:lineRule="exact"/>
        <w:rPr>
          <w:rFonts w:ascii="Arial" w:cs="Arial" w:eastAsia="Arial" w:hAnsi="Arial"/>
          <w:sz w:val="18"/>
          <w:szCs w:val="18"/>
          <w:color w:val="auto"/>
        </w:rPr>
      </w:pPr>
    </w:p>
    <w:p>
      <w:pPr>
        <w:jc w:val="both"/>
        <w:ind w:left="4" w:right="320" w:hanging="4"/>
        <w:spacing w:after="0" w:line="263" w:lineRule="auto"/>
        <w:tabs>
          <w:tab w:leader="none" w:pos="2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any debt securities are issued at an original issue discount, the offering price of such debt securities shall be in such greater principal amount at maturity as shall result in an aggregate offering price not to exceed $200,000,000, less the aggregate dollar amount of all securities previously issued hereunder.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1)"/>
      <w:numFmt w:val="decimal"/>
      <w:start w:val="4"/>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Roman"/>
      <w:start w:val="2"/>
    </w:lvl>
  </w:abstractNum>
  <w:abstractNum w:abstractNumId="30">
    <w:nsid w:val="275AC794"/>
    <w:multiLevelType w:val="hybridMultilevel"/>
    <w:lvl w:ilvl="0">
      <w:lvlJc w:val="left"/>
      <w:lvlText w:val="%1"/>
      <w:numFmt w:val="decimal"/>
      <w:start w:val="107"/>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235BA861"/>
    <w:multiLevelType w:val="hybridMultilevel"/>
    <w:lvl w:ilvl="0">
      <w:lvlJc w:val="left"/>
      <w:lvlText w:val="(%1)"/>
      <w:numFmt w:val="lowerRoman"/>
      <w:start w:val="3"/>
    </w:lvl>
  </w:abstractNum>
  <w:abstractNum w:abstractNumId="35">
    <w:nsid w:val="47398C89"/>
    <w:multiLevelType w:val="hybridMultilevel"/>
    <w:lvl w:ilvl="0">
      <w:lvlJc w:val="left"/>
      <w:lvlText w:val="(%1)"/>
      <w:numFmt w:val="decimal"/>
      <w:start w:val="2"/>
    </w:lvl>
  </w:abstractNum>
  <w:abstractNum w:abstractNumId="36">
    <w:nsid w:val="354FE9F9"/>
    <w:multiLevelType w:val="hybridMultilevel"/>
    <w:lvl w:ilvl="0">
      <w:lvlJc w:val="left"/>
      <w:lvlText w:val="(%1)"/>
      <w:numFmt w:val="decimal"/>
      <w:start w:val="5"/>
    </w:lvl>
    <w:lvl w:ilvl="1">
      <w:lvlJc w:val="left"/>
      <w:lvlText w:val="(%2)"/>
      <w:numFmt w:val="upperLetter"/>
      <w:start w:val="1"/>
    </w:lvl>
  </w:abstractNum>
  <w:abstractNum w:abstractNumId="37">
    <w:nsid w:val="15B5AF5C"/>
    <w:multiLevelType w:val="hybridMultilevel"/>
    <w:lvl w:ilvl="0">
      <w:lvlJc w:val="left"/>
      <w:lvlText w:val="%1"/>
      <w:numFmt w:val="lowerLetter"/>
      <w:start w:val="1"/>
    </w:lvl>
    <w:lvl w:ilvl="1">
      <w:lvlJc w:val="left"/>
      <w:lvlText w:val="(%2)"/>
      <w:numFmt w:val="lowerRoman"/>
      <w:start w:val="1"/>
    </w:lvl>
  </w:abstractNum>
  <w:abstractNum w:abstractNumId="38">
    <w:nsid w:val="741226BB"/>
    <w:multiLevelType w:val="hybridMultilevel"/>
    <w:lvl w:ilvl="0">
      <w:lvlJc w:val="left"/>
      <w:lvlText w:val="(%1)"/>
      <w:numFmt w:val="lowerLetter"/>
      <w:start w:val="2"/>
    </w:lvl>
    <w:lvl w:ilvl="1">
      <w:lvlJc w:val="left"/>
      <w:lvlText w:val="%2"/>
      <w:numFmt w:val="lowerRoman"/>
      <w:start w:val="1"/>
    </w:lvl>
  </w:abstractNum>
  <w:abstractNum w:abstractNumId="39">
    <w:nsid w:val="D34B6A8"/>
    <w:multiLevelType w:val="hybridMultilevel"/>
    <w:lvl w:ilvl="0">
      <w:lvlJc w:val="left"/>
      <w:lvlText w:val="(%1)"/>
      <w:numFmt w:val="lowerLetter"/>
      <w:start w:val="8"/>
    </w:lvl>
  </w:abstractNum>
  <w:abstractNum w:abstractNumId="40">
    <w:nsid w:val="10233C99"/>
    <w:multiLevelType w:val="hybridMultilevel"/>
    <w:lvl w:ilvl="0">
      <w:lvlJc w:val="left"/>
      <w:lvlText w:val="(%1)"/>
      <w:numFmt w:val="lowerLetter"/>
      <w:start w:val="10"/>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lowerLetter"/>
      <w:start w:val="1"/>
    </w:lvl>
  </w:abstractNum>
  <w:abstractNum w:abstractNumId="43">
    <w:nsid w:val="7E0C57B1"/>
    <w:multiLevelType w:val="hybridMultilevel"/>
    <w:lvl w:ilvl="0">
      <w:lvlJc w:val="left"/>
      <w:lvlText w:val="(%1)"/>
      <w:numFmt w:val="lowerLetter"/>
      <w:start w:val="6"/>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lowerLetter"/>
      <w:start w:val="1"/>
    </w:lvl>
    <w:lvl w:ilvl="1">
      <w:lvlJc w:val="left"/>
      <w:lvlText w:val="(%2)"/>
      <w:numFmt w:val="lowerRoman"/>
      <w:start w:val="1"/>
    </w:lvl>
  </w:abstractNum>
  <w:abstractNum w:abstractNumId="46">
    <w:nsid w:val="310C50B3"/>
    <w:multiLevelType w:val="hybridMultilevel"/>
    <w:lvl w:ilvl="0">
      <w:lvlJc w:val="left"/>
      <w:lvlText w:val="(%1)"/>
      <w:numFmt w:val="lowerLetter"/>
      <w:start w:val="6"/>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lowerLetter"/>
      <w:start w:val="2"/>
    </w:lvl>
  </w:abstractNum>
  <w:abstractNum w:abstractNumId="51">
    <w:nsid w:val="4AD084E9"/>
    <w:multiLevelType w:val="hybridMultilevel"/>
    <w:lvl w:ilvl="0">
      <w:lvlJc w:val="left"/>
      <w:lvlText w:val="(%1)"/>
      <w:numFmt w:val="lowerLetter"/>
      <w:start w:val="1"/>
    </w:lvl>
  </w:abstractNum>
  <w:abstractNum w:abstractNumId="52">
    <w:nsid w:val="1F48EAA1"/>
    <w:multiLevelType w:val="hybridMultilevel"/>
    <w:lvl w:ilvl="0">
      <w:lvlJc w:val="left"/>
      <w:lvlText w:val="(%1)"/>
      <w:numFmt w:val="lowerLetter"/>
      <w:start w:val="1"/>
    </w:lvl>
    <w:lvl w:ilvl="1">
      <w:lvlJc w:val="left"/>
      <w:lvlText w:val="(%2)"/>
      <w:numFmt w:val="lowerRoman"/>
      <w:start w:val="1"/>
    </w:lvl>
  </w:abstractNum>
  <w:abstractNum w:abstractNumId="53">
    <w:nsid w:val="1381823A"/>
    <w:multiLevelType w:val="hybridMultilevel"/>
    <w:lvl w:ilvl="0">
      <w:lvlJc w:val="left"/>
      <w:lvlText w:val="%1"/>
      <w:numFmt w:val="lowerLetter"/>
      <w:start w:val="1"/>
    </w:lvl>
    <w:lvl w:ilvl="1">
      <w:lvlJc w:val="left"/>
      <w:lvlText w:val="(%2)"/>
      <w:numFmt w:val="lowerRoman"/>
      <w:start w:val="2"/>
    </w:lvl>
  </w:abstractNum>
  <w:abstractNum w:abstractNumId="54">
    <w:nsid w:val="5DB70AE5"/>
    <w:multiLevelType w:val="hybridMultilevel"/>
    <w:lvl w:ilvl="0">
      <w:lvlJc w:val="left"/>
      <w:lvlText w:val="(%1)"/>
      <w:numFmt w:val="lowerLetter"/>
      <w:start w:val="4"/>
    </w:lvl>
    <w:lvl w:ilvl="1">
      <w:lvlJc w:val="left"/>
      <w:lvlText w:val="%2"/>
      <w:numFmt w:val="lowerRoman"/>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4"/>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9">
    <w:nsid w:val="98A3148"/>
    <w:multiLevelType w:val="hybridMultilevel"/>
    <w:lvl w:ilvl="0">
      <w:lvlJc w:val="left"/>
      <w:lvlText w:val="(%1)"/>
      <w:numFmt w:val="lowerLetter"/>
      <w:start w:val="2"/>
    </w:lvl>
  </w:abstractNum>
  <w:abstractNum w:abstractNumId="60">
    <w:nsid w:val="799D0247"/>
    <w:multiLevelType w:val="hybridMultilevel"/>
    <w:lvl w:ilvl="0">
      <w:lvlJc w:val="left"/>
      <w:lvlText w:val="(%1)"/>
      <w:numFmt w:val="lowerLetter"/>
      <w:start w:val="1"/>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Letter"/>
      <w:start w:val="4"/>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2"/>
    </w:lvl>
  </w:abstractNum>
  <w:abstractNum w:abstractNumId="65">
    <w:nsid w:val="661E3F1E"/>
    <w:multiLevelType w:val="hybridMultilevel"/>
    <w:lvl w:ilvl="0">
      <w:lvlJc w:val="left"/>
      <w:lvlText w:val="(%1)"/>
      <w:numFmt w:val="lowerLetter"/>
      <w:start w:val="1"/>
    </w:lvl>
  </w:abstractNum>
  <w:abstractNum w:abstractNumId="66">
    <w:nsid w:val="5DC79EA8"/>
    <w:multiLevelType w:val="hybridMultilevel"/>
    <w:lvl w:ilvl="0">
      <w:lvlJc w:val="left"/>
      <w:lvlText w:val="(%1)"/>
      <w:numFmt w:val="lowerLetter"/>
      <w:start w:val="5"/>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6"/>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1)"/>
      <w:numFmt w:val="lowerRoman"/>
      <w:start w:val="1"/>
    </w:lvl>
  </w:abstractNum>
  <w:abstractNum w:abstractNumId="72">
    <w:nsid w:val="11447B73"/>
    <w:multiLevelType w:val="hybridMultilevel"/>
    <w:lvl w:ilvl="0">
      <w:lvlJc w:val="left"/>
      <w:lvlText w:val="(%1)"/>
      <w:numFmt w:val="lowerRoman"/>
      <w:start w:val="2"/>
    </w:lvl>
  </w:abstractNum>
  <w:abstractNum w:abstractNumId="73">
    <w:nsid w:val="42963E5A"/>
    <w:multiLevelType w:val="hybridMultilevel"/>
    <w:lvl w:ilvl="0">
      <w:lvlJc w:val="left"/>
      <w:lvlText w:val="%1"/>
      <w:numFmt w:val="lowerRoman"/>
      <w:start w:val="1"/>
    </w:lvl>
    <w:lvl w:ilvl="1">
      <w:lvlJc w:val="left"/>
      <w:lvlText w:val="%2."/>
      <w:numFmt w:val="decimal"/>
      <w:start w:val="1"/>
    </w:lvl>
  </w:abstractNum>
  <w:abstractNum w:abstractNumId="74">
    <w:nsid w:val="A0382C5"/>
    <w:multiLevelType w:val="hybridMultilevel"/>
    <w:lvl w:ilvl="0">
      <w:lvlJc w:val="left"/>
      <w:lvlText w:val="(%1)"/>
      <w:numFmt w:val="lowerRoman"/>
      <w:start w:val="3"/>
    </w:lvl>
    <w:lvl w:ilvl="1">
      <w:lvlJc w:val="left"/>
      <w:lvlText w:val="%2."/>
      <w:numFmt w:val="decimal"/>
      <w:start w:val="2"/>
    </w:lvl>
  </w:abstractNum>
  <w:abstractNum w:abstractNumId="75">
    <w:nsid w:val="8F2B15E"/>
    <w:multiLevelType w:val="hybridMultilevel"/>
    <w:lvl w:ilvl="0">
      <w:lvlJc w:val="left"/>
      <w:lvlText w:val="%1"/>
      <w:numFmt w:val="lowerRoman"/>
      <w:start w:val="1"/>
    </w:lvl>
    <w:lvl w:ilvl="1">
      <w:lvlJc w:val="left"/>
      <w:lvlText w:val="%2."/>
      <w:numFmt w:val="decimal"/>
      <w:start w:val="3"/>
    </w:lvl>
  </w:abstractNum>
  <w:abstractNum w:abstractNumId="76">
    <w:nsid w:val="1A32234B"/>
    <w:multiLevelType w:val="hybridMultilevel"/>
    <w:lvl w:ilvl="0">
      <w:lvlJc w:val="left"/>
      <w:lvlText w:val="%1."/>
      <w:numFmt w:val="decimal"/>
      <w:start w:val="4"/>
    </w:lvl>
  </w:abstractNum>
  <w:abstractNum w:abstractNumId="77">
    <w:nsid w:val="3B0FD379"/>
    <w:multiLevelType w:val="hybridMultilevel"/>
    <w:lvl w:ilvl="0">
      <w:lvlJc w:val="left"/>
      <w:lvlText w:val="%1"/>
      <w:numFmt w:val="lowerRoman"/>
      <w:start w:val="1"/>
    </w:lvl>
    <w:lvl w:ilvl="1">
      <w:lvlJc w:val="left"/>
      <w:lvlText w:val="%2."/>
      <w:numFmt w:val="decimal"/>
      <w:start w:val="5"/>
    </w:lvl>
  </w:abstractNum>
  <w:abstractNum w:abstractNumId="78">
    <w:nsid w:val="68EB2F63"/>
    <w:multiLevelType w:val="hybridMultilevel"/>
    <w:lvl w:ilvl="0">
      <w:lvlJc w:val="left"/>
      <w:lvlText w:val="(%1)"/>
      <w:numFmt w:val="lowerRoman"/>
      <w:start w:val="5"/>
    </w:lvl>
    <w:lvl w:ilvl="1">
      <w:lvlJc w:val="left"/>
      <w:lvlText w:val="%2"/>
      <w:numFmt w:val="decimal"/>
      <w:start w:val="1"/>
    </w:lvl>
  </w:abstractNum>
  <w:abstractNum w:abstractNumId="79">
    <w:nsid w:val="4962813B"/>
    <w:multiLevelType w:val="hybridMultilevel"/>
    <w:lvl w:ilvl="0">
      <w:lvlJc w:val="left"/>
      <w:lvlText w:val="(%1)"/>
      <w:numFmt w:val="lowerRoman"/>
      <w:start w:val="4"/>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jpeg"/><Relationship Id="rId141" Type="http://schemas.openxmlformats.org/officeDocument/2006/relationships/image" Target="media/image123.jpeg"/><Relationship Id="rId142" Type="http://schemas.openxmlformats.org/officeDocument/2006/relationships/image" Target="media/image124.png"/><Relationship Id="rId143" Type="http://schemas.openxmlformats.org/officeDocument/2006/relationships/image" Target="media/image125.jpeg"/><Relationship Id="rId144" Type="http://schemas.openxmlformats.org/officeDocument/2006/relationships/image" Target="media/image126.png"/><Relationship Id="rId145" Type="http://schemas.openxmlformats.org/officeDocument/2006/relationships/image" Target="media/image127.jpeg"/><Relationship Id="rId146" Type="http://schemas.openxmlformats.org/officeDocument/2006/relationships/image" Target="media/image128.png"/><Relationship Id="rId147" Type="http://schemas.openxmlformats.org/officeDocument/2006/relationships/image" Target="media/image129.jpeg"/><Relationship Id="rId148" Type="http://schemas.openxmlformats.org/officeDocument/2006/relationships/image" Target="media/image130.png"/><Relationship Id="rId149" Type="http://schemas.openxmlformats.org/officeDocument/2006/relationships/image" Target="media/image131.jpeg"/><Relationship Id="rId27" Type="http://schemas.openxmlformats.org/officeDocument/2006/relationships/hyperlink" Target="http://www.sec.gov/ix?doc=/Archives/edgar/data/1453687/000145368723000040/selb-20221231.htm" TargetMode="External"/><Relationship Id="rId28" Type="http://schemas.openxmlformats.org/officeDocument/2006/relationships/hyperlink" Target="http://www.sec.gov/ix?doc=/Archives/edgar/data/1453687/000145368723000050/selb-20230428.htm" TargetMode="External"/><Relationship Id="rId29" Type="http://schemas.openxmlformats.org/officeDocument/2006/relationships/hyperlink" Target="http://www.sec.gov/ix?doc=/Archives/edgar/data/1453687/000145368723000052/selb-20230331.htm" TargetMode="External"/><Relationship Id="rId30" Type="http://schemas.openxmlformats.org/officeDocument/2006/relationships/hyperlink" Target="http://www.sec.gov/ix?doc=/Archives/edgar/data/1453687/000119312523214708/d536571d10q.htm" TargetMode="External"/><Relationship Id="rId31" Type="http://schemas.openxmlformats.org/officeDocument/2006/relationships/hyperlink" Target="http://www.sec.gov/ix?doc=/Archives/edgar/data/1453687/000145368723000061/selb-20230911.htm" TargetMode="External"/><Relationship Id="rId32" Type="http://schemas.openxmlformats.org/officeDocument/2006/relationships/hyperlink" Target="http://www.sec.gov/ix?doc=/Archives/edgar/data/1453687/000145368723000064/selb-20230825.htm" TargetMode="External"/><Relationship Id="rId33" Type="http://schemas.openxmlformats.org/officeDocument/2006/relationships/hyperlink" Target="http://www.sec.gov/Archives/edgar/data/1453687/000110465916126207/a15-22910_88a12b.htm" TargetMode="External"/><Relationship Id="rId75" Type="http://schemas.openxmlformats.org/officeDocument/2006/relationships/hyperlink" Target="http://www.sec.gov/Archives/edgar/data/1453687/000110465916129891/a16-14002_1ex3d1.htm" TargetMode="External"/><Relationship Id="rId76" Type="http://schemas.openxmlformats.org/officeDocument/2006/relationships/hyperlink" Target="http://www.sec.gov/Archives/edgar/data/1453687/000145368722000109/exhibit31_charteramendment.htm" TargetMode="External"/><Relationship Id="rId77" Type="http://schemas.openxmlformats.org/officeDocument/2006/relationships/hyperlink" Target="http://www.sec.gov/Archives/edgar/data/1453687/000145368722000127/exhibit32_amendedandrestat.htm" TargetMode="External"/><Relationship Id="rId78" Type="http://schemas.openxmlformats.org/officeDocument/2006/relationships/hyperlink" Target="http://www.sec.gov/Archives/edgar/data/1453687/000104746916013398/a2228672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2023-10-25T16:35:05Z</dcterms:created>
  <dcterms:modified xsi:type="dcterms:W3CDTF">2023-10-25T16:35:05Z</dcterms:modified>
</cp:coreProperties>
</file>