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w:t>
      </w: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Selecta Biosciences,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line="297" w:lineRule="auto"/>
        <w:rPr>
          <w:sz w:val="20"/>
          <w:szCs w:val="20"/>
          <w:color w:val="auto"/>
        </w:rPr>
      </w:pPr>
      <w:r>
        <w:rPr>
          <w:rFonts w:ascii="Arial" w:cs="Arial" w:eastAsia="Arial" w:hAnsi="Arial"/>
          <w:sz w:val="18"/>
          <w:szCs w:val="18"/>
          <w:b w:val="1"/>
          <w:bCs w:val="1"/>
          <w:color w:val="auto"/>
        </w:rPr>
        <w:t xml:space="preserve">Common Stock, $0.0001 par value per share, including common shares obtainable upon exercise of Common Warrants </w:t>
      </w: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816212104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May 13,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18"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Rule 13d-1(b)</w:t>
      </w:r>
    </w:p>
    <w:p>
      <w:pPr>
        <w:spacing w:after="0" w:line="38" w:lineRule="exact"/>
        <w:rPr>
          <w:sz w:val="24"/>
          <w:szCs w:val="24"/>
          <w:color w:val="auto"/>
        </w:rPr>
      </w:pPr>
    </w:p>
    <w:p>
      <w:pPr>
        <w:jc w:val="both"/>
        <w:ind w:left="660" w:right="9340" w:hanging="4"/>
        <w:spacing w:after="0" w:line="304" w:lineRule="auto"/>
        <w:tabs>
          <w:tab w:leader="none" w:pos="894" w:val="left"/>
        </w:tabs>
        <w:numPr>
          <w:ilvl w:val="0"/>
          <w:numId w:val="1"/>
        </w:numPr>
        <w:rPr>
          <w:rFonts w:ascii="MS PGothic" w:cs="MS PGothic" w:eastAsia="MS PGothic" w:hAnsi="MS PGothic"/>
          <w:sz w:val="20"/>
          <w:szCs w:val="20"/>
          <w:color w:val="auto"/>
        </w:rPr>
      </w:pPr>
      <w:r>
        <w:rPr>
          <w:rFonts w:ascii="Arial" w:cs="Arial" w:eastAsia="Arial" w:hAnsi="Arial"/>
          <w:sz w:val="16"/>
          <w:szCs w:val="16"/>
          <w:color w:val="auto"/>
        </w:rPr>
        <w:t xml:space="preserve">Rule 13d-1(c) </w:t>
      </w:r>
      <w:r>
        <w:rPr>
          <w:rFonts w:ascii="Arial" w:cs="Arial" w:eastAsia="Arial" w:hAnsi="Arial"/>
          <w:sz w:val="19"/>
          <w:szCs w:val="19"/>
          <w:color w:val="auto"/>
        </w:rPr>
        <w:t xml:space="preserve">o </w:t>
      </w:r>
      <w:r>
        <w:rPr>
          <w:rFonts w:ascii="Arial" w:cs="Arial" w:eastAsia="Arial" w:hAnsi="Arial"/>
          <w:sz w:val="15"/>
          <w:szCs w:val="15"/>
          <w:color w:val="auto"/>
        </w:rPr>
        <w:t>Rule 13d-1(d)</w:t>
      </w:r>
    </w:p>
    <w:p>
      <w:pPr>
        <w:spacing w:after="0" w:line="381"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363855</wp:posOffset>
            </wp:positionV>
            <wp:extent cx="713613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CUSIP No. 816212104</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4"/>
              </w:rPr>
              <w:t>Page 2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Arial" w:cs="Arial" w:eastAsia="Arial" w:hAnsi="Arial"/>
                <w:sz w:val="18"/>
                <w:szCs w:val="18"/>
                <w:color w:val="auto"/>
              </w:rPr>
              <w:t>Mangrove Partners Master Fund, Ltd.</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2</w:t>
            </w:r>
          </w:p>
        </w:tc>
        <w:tc>
          <w:tcPr>
            <w:tcW w:w="320" w:type="dxa"/>
            <w:vAlign w:val="bottom"/>
            <w:tcBorders>
              <w:right w:val="single" w:sz="8" w:color="auto"/>
            </w:tcBorders>
          </w:tcPr>
          <w:p>
            <w:pPr>
              <w:spacing w:after="0"/>
              <w:rPr>
                <w:sz w:val="21"/>
                <w:szCs w:val="21"/>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(a) x</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(b) 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w w:val="96"/>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w w:val="99"/>
              </w:rPr>
              <w:t>Cayman Islands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5</w:t>
            </w:r>
          </w:p>
        </w:tc>
        <w:tc>
          <w:tcPr>
            <w:tcW w:w="474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8,000,907(1)</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Arial" w:cs="Arial" w:eastAsia="Arial" w:hAnsi="Arial"/>
                <w:sz w:val="18"/>
                <w:szCs w:val="18"/>
                <w:color w:val="auto"/>
                <w:w w:val="95"/>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7</w:t>
            </w:r>
          </w:p>
        </w:tc>
        <w:tc>
          <w:tcPr>
            <w:tcW w:w="47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8</w:t>
            </w: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8,000,907</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8,000,907</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w w:val="99"/>
              </w:rPr>
              <w:t>CHECK IF THE AGGREGATE AMOUNT IN ROW (9) EXCLUDES CERTAIN SHARES</w:t>
            </w:r>
          </w:p>
        </w:tc>
        <w:tc>
          <w:tcPr>
            <w:tcW w:w="3360" w:type="dxa"/>
            <w:vAlign w:val="bottom"/>
            <w:tcBorders>
              <w:right w:val="single" w:sz="8" w:color="auto"/>
            </w:tcBorders>
          </w:tcPr>
          <w:p>
            <w:pPr>
              <w:ind w:left="29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5.14% (2)</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OO</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3,752,258 common shares obtainable upon exercise of Common Warrants.</w:t>
      </w:r>
    </w:p>
    <w:p>
      <w:pPr>
        <w:spacing w:after="0" w:line="23" w:lineRule="exact"/>
        <w:rPr>
          <w:rFonts w:ascii="Arial" w:cs="Arial" w:eastAsia="Arial" w:hAnsi="Arial"/>
          <w:sz w:val="18"/>
          <w:szCs w:val="18"/>
          <w:color w:val="auto"/>
        </w:rPr>
      </w:pPr>
    </w:p>
    <w:p>
      <w:pPr>
        <w:ind w:firstLine="8"/>
        <w:spacing w:after="0" w:line="260" w:lineRule="auto"/>
        <w:tabs>
          <w:tab w:leader="none" w:pos="258"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percentage is calculated based on the sum of (i) 151,809,416 Shares outstanding as of April 29, 2022, based on information provided by the Issuer and (ii) 3,752,258 Shares issuable upon exercise of the Common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175895</wp:posOffset>
            </wp:positionV>
            <wp:extent cx="7136130"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440" w:type="dxa"/>
            <w:vAlign w:val="bottom"/>
            <w:tcBorders>
              <w:top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rPr>
              <w:t>CUSIP No. 816212104</w:t>
            </w:r>
          </w:p>
        </w:tc>
        <w:tc>
          <w:tcPr>
            <w:tcW w:w="6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4"/>
              </w:rPr>
              <w:t>Page 3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gridSpan w:val="2"/>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5"/>
          </w:tcPr>
          <w:p>
            <w:pPr>
              <w:ind w:left="40"/>
              <w:spacing w:after="0"/>
              <w:rPr>
                <w:sz w:val="20"/>
                <w:szCs w:val="20"/>
                <w:color w:val="auto"/>
              </w:rPr>
            </w:pPr>
            <w:r>
              <w:rPr>
                <w:rFonts w:ascii="Arial" w:cs="Arial" w:eastAsia="Arial" w:hAnsi="Arial"/>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560" w:type="dxa"/>
            <w:vAlign w:val="bottom"/>
            <w:gridSpan w:val="2"/>
            <w:vMerge w:val="restart"/>
          </w:tcPr>
          <w:p>
            <w:pPr>
              <w:ind w:left="40"/>
              <w:spacing w:after="0"/>
              <w:rPr>
                <w:sz w:val="20"/>
                <w:szCs w:val="20"/>
                <w:color w:val="auto"/>
              </w:rPr>
            </w:pPr>
            <w:r>
              <w:rPr>
                <w:rFonts w:ascii="Arial" w:cs="Arial" w:eastAsia="Arial" w:hAnsi="Arial"/>
                <w:sz w:val="18"/>
                <w:szCs w:val="18"/>
                <w:color w:val="auto"/>
                <w:w w:val="97"/>
              </w:rPr>
              <w:t>Mangrove Partners</w:t>
            </w: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2</w:t>
            </w:r>
          </w:p>
        </w:tc>
        <w:tc>
          <w:tcPr>
            <w:tcW w:w="320" w:type="dxa"/>
            <w:vAlign w:val="bottom"/>
            <w:tcBorders>
              <w:right w:val="single" w:sz="8" w:color="auto"/>
            </w:tcBorders>
          </w:tcPr>
          <w:p>
            <w:pPr>
              <w:spacing w:after="0"/>
              <w:rPr>
                <w:sz w:val="21"/>
                <w:szCs w:val="21"/>
                <w:color w:val="auto"/>
              </w:rPr>
            </w:pPr>
          </w:p>
        </w:tc>
        <w:tc>
          <w:tcPr>
            <w:tcW w:w="6980" w:type="dxa"/>
            <w:vAlign w:val="bottom"/>
            <w:gridSpan w:val="5"/>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560" w:type="dxa"/>
            <w:vAlign w:val="bottom"/>
            <w:gridSpan w:val="2"/>
          </w:tcPr>
          <w:p>
            <w:pPr>
              <w:ind w:left="40"/>
              <w:spacing w:after="0"/>
              <w:rPr>
                <w:sz w:val="20"/>
                <w:szCs w:val="20"/>
                <w:color w:val="auto"/>
              </w:rPr>
            </w:pPr>
            <w:r>
              <w:rPr>
                <w:rFonts w:ascii="Arial" w:cs="Arial" w:eastAsia="Arial" w:hAnsi="Arial"/>
                <w:sz w:val="18"/>
                <w:szCs w:val="18"/>
                <w:color w:val="auto"/>
              </w:rPr>
              <w:t>(a) x</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560" w:type="dxa"/>
            <w:vAlign w:val="bottom"/>
            <w:gridSpan w:val="2"/>
          </w:tcPr>
          <w:p>
            <w:pPr>
              <w:ind w:left="40"/>
              <w:spacing w:after="0"/>
              <w:rPr>
                <w:sz w:val="20"/>
                <w:szCs w:val="20"/>
                <w:color w:val="auto"/>
              </w:rPr>
            </w:pPr>
            <w:r>
              <w:rPr>
                <w:rFonts w:ascii="Arial" w:cs="Arial" w:eastAsia="Arial" w:hAnsi="Arial"/>
                <w:sz w:val="18"/>
                <w:szCs w:val="18"/>
                <w:color w:val="auto"/>
              </w:rPr>
              <w:t>(b) o</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3</w:t>
            </w:r>
          </w:p>
        </w:tc>
        <w:tc>
          <w:tcPr>
            <w:tcW w:w="320" w:type="dxa"/>
            <w:vAlign w:val="bottom"/>
            <w:tcBorders>
              <w:right w:val="single" w:sz="8" w:color="auto"/>
            </w:tcBorders>
          </w:tcPr>
          <w:p>
            <w:pPr>
              <w:spacing w:after="0"/>
              <w:rPr>
                <w:sz w:val="22"/>
                <w:szCs w:val="22"/>
                <w:color w:val="auto"/>
              </w:rPr>
            </w:pPr>
          </w:p>
        </w:tc>
        <w:tc>
          <w:tcPr>
            <w:tcW w:w="156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5"/>
          </w:tcPr>
          <w:p>
            <w:pPr>
              <w:ind w:left="40"/>
              <w:spacing w:after="0"/>
              <w:rPr>
                <w:sz w:val="20"/>
                <w:szCs w:val="20"/>
                <w:color w:val="auto"/>
              </w:rPr>
            </w:pPr>
            <w:r>
              <w:rPr>
                <w:rFonts w:ascii="Arial" w:cs="Arial" w:eastAsia="Arial" w:hAnsi="Arial"/>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560" w:type="dxa"/>
            <w:vAlign w:val="bottom"/>
            <w:gridSpan w:val="2"/>
            <w:vMerge w:val="restart"/>
          </w:tcPr>
          <w:p>
            <w:pPr>
              <w:ind w:left="40"/>
              <w:spacing w:after="0"/>
              <w:rPr>
                <w:sz w:val="20"/>
                <w:szCs w:val="20"/>
                <w:color w:val="auto"/>
              </w:rPr>
            </w:pPr>
            <w:r>
              <w:rPr>
                <w:rFonts w:ascii="Arial" w:cs="Arial" w:eastAsia="Arial" w:hAnsi="Arial"/>
                <w:sz w:val="18"/>
                <w:szCs w:val="18"/>
                <w:color w:val="auto"/>
              </w:rPr>
              <w:t>Cayman Islands</w:t>
            </w: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5</w:t>
            </w:r>
          </w:p>
        </w:tc>
        <w:tc>
          <w:tcPr>
            <w:tcW w:w="474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Arial" w:cs="Arial" w:eastAsia="Arial" w:hAnsi="Arial"/>
                <w:sz w:val="18"/>
                <w:szCs w:val="18"/>
                <w:color w:val="auto"/>
                <w:w w:val="98"/>
              </w:rPr>
              <w:t>NUMBER OF</w:t>
            </w:r>
          </w:p>
        </w:tc>
        <w:tc>
          <w:tcPr>
            <w:tcW w:w="200" w:type="dxa"/>
            <w:vAlign w:val="bottom"/>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4"/>
              </w:rPr>
              <w:t>SHARES</w:t>
            </w:r>
          </w:p>
        </w:tc>
        <w:tc>
          <w:tcPr>
            <w:tcW w:w="200" w:type="dxa"/>
            <w:vAlign w:val="bottom"/>
          </w:tcPr>
          <w:p>
            <w:pPr>
              <w:spacing w:after="0"/>
              <w:rPr>
                <w:sz w:val="18"/>
                <w:szCs w:val="18"/>
                <w:color w:val="auto"/>
              </w:rPr>
            </w:pPr>
          </w:p>
        </w:tc>
        <w:tc>
          <w:tcPr>
            <w:tcW w:w="6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6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8,000,907(1)</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9"/>
              </w:rPr>
              <w:t>OWNED BY</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Arial" w:cs="Arial" w:eastAsia="Arial" w:hAnsi="Arial"/>
                <w:sz w:val="18"/>
                <w:szCs w:val="18"/>
                <w:color w:val="auto"/>
                <w:w w:val="95"/>
              </w:rPr>
              <w:t>EACH</w:t>
            </w:r>
          </w:p>
        </w:tc>
        <w:tc>
          <w:tcPr>
            <w:tcW w:w="200" w:type="dxa"/>
            <w:vAlign w:val="bottom"/>
          </w:tcPr>
          <w:p>
            <w:pPr>
              <w:spacing w:after="0"/>
              <w:rPr>
                <w:sz w:val="17"/>
                <w:szCs w:val="17"/>
                <w:color w:val="auto"/>
              </w:rPr>
            </w:pPr>
          </w:p>
        </w:tc>
        <w:tc>
          <w:tcPr>
            <w:tcW w:w="6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7</w:t>
            </w:r>
          </w:p>
        </w:tc>
        <w:tc>
          <w:tcPr>
            <w:tcW w:w="47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3"/>
              </w:rPr>
              <w:t>REPORTING</w:t>
            </w:r>
          </w:p>
        </w:tc>
        <w:tc>
          <w:tcPr>
            <w:tcW w:w="200" w:type="dxa"/>
            <w:vAlign w:val="bottom"/>
          </w:tcPr>
          <w:p>
            <w:pPr>
              <w:spacing w:after="0"/>
              <w:rPr>
                <w:sz w:val="18"/>
                <w:szCs w:val="18"/>
                <w:color w:val="auto"/>
              </w:rPr>
            </w:pPr>
          </w:p>
        </w:tc>
        <w:tc>
          <w:tcPr>
            <w:tcW w:w="6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2"/>
              </w:rPr>
              <w:t>PERSON</w:t>
            </w:r>
          </w:p>
        </w:tc>
        <w:tc>
          <w:tcPr>
            <w:tcW w:w="20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Arial" w:cs="Arial" w:eastAsia="Arial" w:hAnsi="Arial"/>
                <w:sz w:val="18"/>
                <w:szCs w:val="18"/>
                <w:color w:val="auto"/>
                <w:w w:val="99"/>
              </w:rPr>
              <w:t>WITH</w:t>
            </w: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8</w:t>
            </w: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8,000,907</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gridSpan w:val="2"/>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5"/>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8,000,907</w:t>
            </w: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5"/>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5"/>
          </w:tcPr>
          <w:p>
            <w:pPr>
              <w:ind w:left="40"/>
              <w:spacing w:after="0"/>
              <w:rPr>
                <w:sz w:val="20"/>
                <w:szCs w:val="20"/>
                <w:color w:val="auto"/>
              </w:rPr>
            </w:pPr>
            <w:r>
              <w:rPr>
                <w:rFonts w:ascii="Arial" w:cs="Arial" w:eastAsia="Arial" w:hAnsi="Arial"/>
                <w:sz w:val="18"/>
                <w:szCs w:val="18"/>
                <w:color w:val="auto"/>
                <w:w w:val="99"/>
              </w:rPr>
              <w:t>CHECK IF THE AGGREGATE AMOUNT IN ROW (9) EXCLUDES CERTAIN SHARES</w:t>
            </w:r>
          </w:p>
        </w:tc>
        <w:tc>
          <w:tcPr>
            <w:tcW w:w="3360" w:type="dxa"/>
            <w:vAlign w:val="bottom"/>
            <w:tcBorders>
              <w:right w:val="single" w:sz="8" w:color="auto"/>
            </w:tcBorders>
          </w:tcPr>
          <w:p>
            <w:pPr>
              <w:ind w:left="29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5"/>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5"/>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5.14% (2)</w:t>
            </w: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5"/>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5"/>
          </w:tcPr>
          <w:p>
            <w:pPr>
              <w:ind w:left="40"/>
              <w:spacing w:after="0"/>
              <w:rPr>
                <w:sz w:val="20"/>
                <w:szCs w:val="20"/>
                <w:color w:val="auto"/>
              </w:rPr>
            </w:pPr>
            <w:r>
              <w:rPr>
                <w:rFonts w:ascii="Arial" w:cs="Arial" w:eastAsia="Arial" w:hAnsi="Arial"/>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560" w:type="dxa"/>
            <w:vAlign w:val="bottom"/>
            <w:gridSpan w:val="2"/>
            <w:vMerge w:val="restart"/>
          </w:tcPr>
          <w:p>
            <w:pPr>
              <w:ind w:left="40"/>
              <w:spacing w:after="0"/>
              <w:rPr>
                <w:sz w:val="20"/>
                <w:szCs w:val="20"/>
                <w:color w:val="auto"/>
              </w:rPr>
            </w:pPr>
            <w:r>
              <w:rPr>
                <w:rFonts w:ascii="Arial" w:cs="Arial" w:eastAsia="Arial" w:hAnsi="Arial"/>
                <w:sz w:val="18"/>
                <w:szCs w:val="18"/>
                <w:color w:val="auto"/>
              </w:rPr>
              <w:t>OO</w:t>
            </w: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3,752,258 common shares obtainable upon exercise of Common Warrants</w:t>
      </w:r>
    </w:p>
    <w:p>
      <w:pPr>
        <w:spacing w:after="0" w:line="23" w:lineRule="exact"/>
        <w:rPr>
          <w:rFonts w:ascii="Arial" w:cs="Arial" w:eastAsia="Arial" w:hAnsi="Arial"/>
          <w:sz w:val="18"/>
          <w:szCs w:val="18"/>
          <w:color w:val="auto"/>
        </w:rPr>
      </w:pPr>
    </w:p>
    <w:p>
      <w:pPr>
        <w:ind w:firstLine="8"/>
        <w:spacing w:after="0" w:line="260" w:lineRule="auto"/>
        <w:tabs>
          <w:tab w:leader="none" w:pos="258"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percentage is calculated based on the sum of (i) 151,809,416 Shares outstanding as of April 29, 2022, based on information provided by the Issuer and (ii) 3,752,258 Shares issuable upon exercise of the Common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107315</wp:posOffset>
            </wp:positionV>
            <wp:extent cx="7136130"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622"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CUSIP No. 816212104</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4"/>
              </w:rPr>
              <w:t>Page 4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w w:val="93"/>
              </w:rPr>
              <w:t>Nathaniel August</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2</w:t>
            </w:r>
          </w:p>
        </w:tc>
        <w:tc>
          <w:tcPr>
            <w:tcW w:w="320" w:type="dxa"/>
            <w:vAlign w:val="bottom"/>
            <w:tcBorders>
              <w:right w:val="single" w:sz="8" w:color="auto"/>
            </w:tcBorders>
          </w:tcPr>
          <w:p>
            <w:pPr>
              <w:spacing w:after="0"/>
              <w:rPr>
                <w:sz w:val="21"/>
                <w:szCs w:val="21"/>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(a) x</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(b) 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w w:val="96"/>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United States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5</w:t>
            </w:r>
          </w:p>
        </w:tc>
        <w:tc>
          <w:tcPr>
            <w:tcW w:w="474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8,000,907(1)</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Arial" w:cs="Arial" w:eastAsia="Arial" w:hAnsi="Arial"/>
                <w:sz w:val="18"/>
                <w:szCs w:val="18"/>
                <w:color w:val="auto"/>
                <w:w w:val="95"/>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7</w:t>
            </w:r>
          </w:p>
        </w:tc>
        <w:tc>
          <w:tcPr>
            <w:tcW w:w="47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8</w:t>
            </w: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8,000,907</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8,000,907</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w w:val="99"/>
              </w:rPr>
              <w:t>CHECK IF THE AGGREGATE AMOUNT IN ROW (9) EXCLUDES CERTAIN SHARES</w:t>
            </w:r>
          </w:p>
        </w:tc>
        <w:tc>
          <w:tcPr>
            <w:tcW w:w="3360" w:type="dxa"/>
            <w:vAlign w:val="bottom"/>
            <w:tcBorders>
              <w:right w:val="single" w:sz="8" w:color="auto"/>
            </w:tcBorders>
          </w:tcPr>
          <w:p>
            <w:pPr>
              <w:ind w:left="29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5.14% (2)</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IN, HC</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3,752,258 common shares obtainable upon exercise of Common Warrants</w:t>
      </w:r>
    </w:p>
    <w:p>
      <w:pPr>
        <w:spacing w:after="0" w:line="23" w:lineRule="exact"/>
        <w:rPr>
          <w:rFonts w:ascii="Arial" w:cs="Arial" w:eastAsia="Arial" w:hAnsi="Arial"/>
          <w:sz w:val="18"/>
          <w:szCs w:val="18"/>
          <w:color w:val="auto"/>
        </w:rPr>
      </w:pPr>
    </w:p>
    <w:p>
      <w:pPr>
        <w:ind w:firstLine="8"/>
        <w:spacing w:after="0" w:line="260" w:lineRule="auto"/>
        <w:tabs>
          <w:tab w:leader="none" w:pos="25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percentage is calculated based on the sum of (i) 151,809,416 Shares outstanding as of April 29, 2022, based on information provided by the Issuer and (ii) 3,752,258 Shares issuable upon exercise of the Common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107315</wp:posOffset>
            </wp:positionV>
            <wp:extent cx="7136130"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4" w:name="page5"/>
    <w:bookmarkEnd w:id="4"/>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816212104</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5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Selecta Biosciences, Inc.</w:t>
      </w:r>
    </w:p>
    <w:p>
      <w:pPr>
        <w:spacing w:after="0" w:line="11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65 Grove Street</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Watertown, MA 02472</w:t>
      </w:r>
    </w:p>
    <w:p>
      <w:pPr>
        <w:spacing w:after="0" w:line="11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(a, b, c) Names of Person Filing, Address of Principal Business Office, Citizenship:</w:t>
      </w:r>
    </w:p>
    <w:p>
      <w:pPr>
        <w:spacing w:after="0" w:line="121" w:lineRule="exact"/>
        <w:rPr>
          <w:sz w:val="20"/>
          <w:szCs w:val="20"/>
          <w:color w:val="auto"/>
        </w:rPr>
      </w:pPr>
    </w:p>
    <w:p>
      <w:pPr>
        <w:jc w:val="both"/>
        <w:ind w:left="800"/>
        <w:spacing w:after="0" w:line="258" w:lineRule="auto"/>
        <w:rPr>
          <w:sz w:val="20"/>
          <w:szCs w:val="20"/>
          <w:color w:val="auto"/>
        </w:rPr>
      </w:pPr>
      <w:r>
        <w:rPr>
          <w:rFonts w:ascii="Arial" w:cs="Arial" w:eastAsia="Arial" w:hAnsi="Arial"/>
          <w:sz w:val="18"/>
          <w:szCs w:val="18"/>
          <w:u w:val="single" w:color="auto"/>
          <w:color w:val="auto"/>
        </w:rPr>
        <w:t>Mangrove Partners,</w:t>
      </w:r>
      <w:r>
        <w:rPr>
          <w:rFonts w:ascii="Arial" w:cs="Arial" w:eastAsia="Arial" w:hAnsi="Arial"/>
          <w:sz w:val="18"/>
          <w:szCs w:val="18"/>
          <w:color w:val="auto"/>
        </w:rPr>
        <w:t xml:space="preserve"> a Cayman Islands limited liability company, is located at c/o Maples Corporate Services, Ltd., PO Box 309, Ugland House, South Church Street, George Town, Grand Cayman, Cayman Islands KY1-1104</w:t>
      </w:r>
    </w:p>
    <w:p>
      <w:pPr>
        <w:spacing w:after="0" w:line="1" w:lineRule="exact"/>
        <w:rPr>
          <w:sz w:val="20"/>
          <w:szCs w:val="20"/>
          <w:color w:val="auto"/>
        </w:rPr>
      </w:pPr>
    </w:p>
    <w:p>
      <w:pPr>
        <w:jc w:val="both"/>
        <w:ind w:left="800"/>
        <w:spacing w:after="0" w:line="250" w:lineRule="auto"/>
        <w:rPr>
          <w:sz w:val="20"/>
          <w:szCs w:val="20"/>
          <w:color w:val="auto"/>
        </w:rPr>
      </w:pPr>
      <w:r>
        <w:rPr>
          <w:rFonts w:ascii="Arial" w:cs="Arial" w:eastAsia="Arial" w:hAnsi="Arial"/>
          <w:sz w:val="18"/>
          <w:szCs w:val="18"/>
          <w:u w:val="single" w:color="auto"/>
          <w:color w:val="auto"/>
        </w:rPr>
        <w:t>Mangrove Partners Master Fund, Ltd.</w:t>
      </w:r>
      <w:r>
        <w:rPr>
          <w:rFonts w:ascii="Arial" w:cs="Arial" w:eastAsia="Arial" w:hAnsi="Arial"/>
          <w:sz w:val="18"/>
          <w:szCs w:val="18"/>
          <w:color w:val="auto"/>
        </w:rPr>
        <w:t>, a Cayman Islands limited liability company, is located at c/o Maples Corporate Services, Ltd., PO Box 309, Ugland House, South Church Street, George Town, Grand Cayman, Cayman Islands KY1-1104</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8"/>
          <w:szCs w:val="18"/>
          <w:u w:val="single" w:color="auto"/>
          <w:color w:val="auto"/>
        </w:rPr>
        <w:t>Nathaniel August</w:t>
      </w:r>
      <w:r>
        <w:rPr>
          <w:rFonts w:ascii="Arial" w:cs="Arial" w:eastAsia="Arial" w:hAnsi="Arial"/>
          <w:sz w:val="18"/>
          <w:szCs w:val="18"/>
          <w:color w:val="auto"/>
        </w:rPr>
        <w:t>, a United States citizen, is located at 645 Madison Avenue, 14th Floor, New York, New York 10022</w:t>
      </w:r>
    </w:p>
    <w:p>
      <w:pPr>
        <w:spacing w:after="0" w:line="9" w:lineRule="exact"/>
        <w:rPr>
          <w:sz w:val="20"/>
          <w:szCs w:val="20"/>
          <w:color w:val="auto"/>
        </w:rPr>
      </w:pPr>
    </w:p>
    <w:p>
      <w:pPr>
        <w:jc w:val="both"/>
        <w:ind w:left="800"/>
        <w:spacing w:after="0" w:line="255" w:lineRule="auto"/>
        <w:rPr>
          <w:sz w:val="20"/>
          <w:szCs w:val="20"/>
          <w:color w:val="auto"/>
        </w:rPr>
      </w:pPr>
      <w:r>
        <w:rPr>
          <w:rFonts w:ascii="Arial" w:cs="Arial" w:eastAsia="Arial" w:hAnsi="Arial"/>
          <w:sz w:val="18"/>
          <w:szCs w:val="18"/>
          <w:color w:val="auto"/>
        </w:rPr>
        <w:t>The shares of the Issuer which are the subject of this SCHEDULE 13G (the “Shares”) are held by the Master Fund. Beneficial ownership of the Shares is also claimed by (i) Mangrove Partners which serves as the investment manager of the Master Fund, and (ii) Nathaniel August who is the principal of Mangrove Partners.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(d) Title of Class of Securities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Common Stock, $0.0001 par value per share, including common shares obtainable upon exercise of Common Warrants</w:t>
      </w:r>
    </w:p>
    <w:p>
      <w:pPr>
        <w:spacing w:after="0" w:line="22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816212104</w:t>
      </w:r>
    </w:p>
    <w:p>
      <w:pPr>
        <w:spacing w:after="0" w:line="33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816212104</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6 of 9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18" w:lineRule="exact"/>
        <w:rPr>
          <w:sz w:val="20"/>
          <w:szCs w:val="20"/>
          <w:color w:val="auto"/>
        </w:rPr>
      </w:pPr>
    </w:p>
    <w:p>
      <w:pPr>
        <w:ind w:left="600" w:hanging="295"/>
        <w:spacing w:after="0" w:line="207" w:lineRule="exact"/>
        <w:tabs>
          <w:tab w:leader="none" w:pos="600" w:val="left"/>
        </w:tabs>
        <w:numPr>
          <w:ilvl w:val="0"/>
          <w:numId w:val="5"/>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Broker or dealer registered under section 15 of the Act (15 U.S.C. 78o);</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5"/>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Bank as defined in section 3(a)(6)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5"/>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Insurance company as defined in section 3(a)(19)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5"/>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57" w:lineRule="exact"/>
        <w:rPr>
          <w:rFonts w:ascii="Arial" w:cs="Arial" w:eastAsia="Arial" w:hAnsi="Arial"/>
          <w:sz w:val="18"/>
          <w:szCs w:val="18"/>
          <w:color w:val="auto"/>
        </w:rPr>
      </w:pPr>
    </w:p>
    <w:p>
      <w:pPr>
        <w:ind w:left="600" w:hanging="295"/>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o   </w:t>
      </w:r>
      <w:r>
        <w:rPr>
          <w:rFonts w:ascii="Arial" w:cs="Arial" w:eastAsia="Arial" w:hAnsi="Arial"/>
          <w:sz w:val="17"/>
          <w:szCs w:val="17"/>
          <w:color w:val="auto"/>
        </w:rPr>
        <w:t>An investment adviser in accordance with §240.13d-1(b)(1)(ii)(E);</w:t>
      </w:r>
    </w:p>
    <w:p>
      <w:pPr>
        <w:spacing w:after="0" w:line="103"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5"/>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An employee benefit plan or endowment fund in accordance with §240.13d-1(b)(1)(ii)(F);</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5"/>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parent holding company or control person in accordance with §240.13d-1(b)(1)(ii)(G);</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5"/>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30" w:lineRule="exact"/>
        <w:rPr>
          <w:rFonts w:ascii="Arial" w:cs="Arial" w:eastAsia="Arial" w:hAnsi="Arial"/>
          <w:sz w:val="18"/>
          <w:szCs w:val="18"/>
          <w:color w:val="auto"/>
        </w:rPr>
      </w:pPr>
    </w:p>
    <w:p>
      <w:pPr>
        <w:ind w:left="900" w:right="200" w:hanging="595"/>
        <w:spacing w:after="0" w:line="237" w:lineRule="exact"/>
        <w:tabs>
          <w:tab w:leader="none" w:pos="603" w:val="left"/>
        </w:tabs>
        <w:numPr>
          <w:ilvl w:val="0"/>
          <w:numId w:val="5"/>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8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5"/>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non-U.S. institution in accordance with §240.13d-1(b)(1)(ii)(J);</w:t>
      </w:r>
    </w:p>
    <w:p>
      <w:pPr>
        <w:spacing w:after="0" w:line="130" w:lineRule="exact"/>
        <w:rPr>
          <w:rFonts w:ascii="Arial" w:cs="Arial" w:eastAsia="Arial" w:hAnsi="Arial"/>
          <w:sz w:val="18"/>
          <w:szCs w:val="18"/>
          <w:color w:val="auto"/>
        </w:rPr>
      </w:pPr>
    </w:p>
    <w:p>
      <w:pPr>
        <w:ind w:left="900" w:right="460" w:hanging="595"/>
        <w:spacing w:after="0" w:line="237" w:lineRule="exact"/>
        <w:tabs>
          <w:tab w:leader="none" w:pos="603" w:val="left"/>
        </w:tabs>
        <w:numPr>
          <w:ilvl w:val="0"/>
          <w:numId w:val="5"/>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group, in accordance with §240.13d-1(b)(1)(ii)(K). If filing as a non-U.S. institution in accordance with §240.13d-1(b)(1)(ii)(J), please specify the type of institution:</w:t>
      </w:r>
    </w:p>
    <w:p>
      <w:pPr>
        <w:ind w:left="900"/>
        <w:spacing w:after="0"/>
        <w:rPr>
          <w:rFonts w:ascii="Arial" w:cs="Arial" w:eastAsia="Arial" w:hAnsi="Arial"/>
          <w:sz w:val="18"/>
          <w:szCs w:val="18"/>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-156210</wp:posOffset>
            </wp:positionV>
            <wp:extent cx="8001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364"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816212104</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7 of 9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121" w:lineRule="exact"/>
        <w:rPr>
          <w:sz w:val="20"/>
          <w:szCs w:val="20"/>
          <w:color w:val="auto"/>
        </w:rPr>
      </w:pPr>
    </w:p>
    <w:p>
      <w:pPr>
        <w:jc w:val="both"/>
        <w:ind w:left="800"/>
        <w:spacing w:after="0" w:line="277" w:lineRule="auto"/>
        <w:rPr>
          <w:sz w:val="20"/>
          <w:szCs w:val="20"/>
          <w:color w:val="auto"/>
        </w:rPr>
      </w:pPr>
      <w:r>
        <w:rPr>
          <w:rFonts w:ascii="Arial" w:cs="Arial" w:eastAsia="Arial" w:hAnsi="Arial"/>
          <w:sz w:val="18"/>
          <w:szCs w:val="18"/>
          <w:color w:val="auto"/>
        </w:rPr>
        <w:t>Information with respect to the Reporting Persons' ownership of the Units as of May 5, 2022, is incorporated by reference to items (5) - (9) and (11) of the cover page of the respective Reporting Person.</w:t>
      </w:r>
    </w:p>
    <w:p>
      <w:pPr>
        <w:spacing w:after="0" w:line="62" w:lineRule="exact"/>
        <w:rPr>
          <w:sz w:val="20"/>
          <w:szCs w:val="20"/>
          <w:color w:val="auto"/>
        </w:rPr>
      </w:pPr>
    </w:p>
    <w:p>
      <w:pPr>
        <w:jc w:val="both"/>
        <w:ind w:left="800"/>
        <w:spacing w:after="0" w:line="263" w:lineRule="auto"/>
        <w:rPr>
          <w:sz w:val="20"/>
          <w:szCs w:val="20"/>
          <w:color w:val="auto"/>
        </w:rPr>
      </w:pPr>
      <w:r>
        <w:rPr>
          <w:rFonts w:ascii="Arial" w:cs="Arial" w:eastAsia="Arial" w:hAnsi="Arial"/>
          <w:sz w:val="18"/>
          <w:szCs w:val="18"/>
          <w:color w:val="auto"/>
        </w:rPr>
        <w:t>The amount beneficially owned by each Reporting Person is determined based on the sum of (i) 151,809,416 Shares outstanding as of April 29, 2022, based on information provided by the Issuer and (ii) 3,752,258 Shares issuable upon exercise of the Common Warrants, as the Issuer reported in its Form 10-Q filed with the SEC on May 5, 2022.</w:t>
      </w:r>
    </w:p>
    <w:p>
      <w:pPr>
        <w:spacing w:after="0" w:line="76" w:lineRule="exact"/>
        <w:rPr>
          <w:sz w:val="20"/>
          <w:szCs w:val="20"/>
          <w:color w:val="auto"/>
        </w:rPr>
      </w:pPr>
    </w:p>
    <w:p>
      <w:pPr>
        <w:jc w:val="both"/>
        <w:ind w:left="800"/>
        <w:spacing w:after="0" w:line="286" w:lineRule="auto"/>
        <w:rPr>
          <w:sz w:val="20"/>
          <w:szCs w:val="20"/>
          <w:color w:val="auto"/>
        </w:rPr>
      </w:pPr>
      <w:r>
        <w:rPr>
          <w:rFonts w:ascii="Arial" w:cs="Arial" w:eastAsia="Arial" w:hAnsi="Arial"/>
          <w:sz w:val="17"/>
          <w:szCs w:val="17"/>
          <w:color w:val="auto"/>
        </w:rPr>
        <w:t>The filing of this SCHEDULE 13G shall not be construed as an admission that the Reporting Persons are, for purposes of Section 13(d) of the Securities Exchange Act of 1934, as amended, the beneficial owners of any of the Shares reported herein. Each of the Reporting Persons specifically disclaims beneficial ownership of the Shares reported herein that are not directly owned by such Reporting Person.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ectPr>
          <w:pgSz w:w="11900" w:h="16838" w:orient="portrait"/>
          <w:cols w:equalWidth="0" w:num="1">
            <w:col w:w="11240"/>
          </w:cols>
          <w:pgMar w:left="320" w:top="663" w:right="339" w:bottom="0" w:gutter="0" w:footer="0" w:header="0"/>
        </w:sectPr>
      </w:pPr>
    </w:p>
    <w:bookmarkStart w:id="5" w:name="page6"/>
    <w:bookmarkEnd w:id="5"/>
    <w:p>
      <w:pPr>
        <w:ind w:left="400" w:firstLine="396"/>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99" w:lineRule="exact"/>
        <w:rPr>
          <w:sz w:val="20"/>
          <w:szCs w:val="20"/>
          <w:color w:val="auto"/>
        </w:rPr>
      </w:pPr>
    </w:p>
    <w:p>
      <w:pPr>
        <w:ind w:left="1300" w:hanging="1295"/>
        <w:spacing w:after="0" w:line="261"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ind w:left="800"/>
        <w:spacing w:after="0"/>
        <w:rPr>
          <w:sz w:val="20"/>
          <w:szCs w:val="20"/>
          <w:color w:val="auto"/>
        </w:rPr>
      </w:pPr>
      <w:r>
        <w:rPr>
          <w:rFonts w:ascii="Arial" w:cs="Arial" w:eastAsia="Arial" w:hAnsi="Arial"/>
          <w:sz w:val="18"/>
          <w:szCs w:val="18"/>
          <w:color w:val="auto"/>
        </w:rPr>
        <w:t>Not Applicable.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See disclosures in Item 2 and Exhibit I.</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121" w:lineRule="exact"/>
        <w:rPr>
          <w:sz w:val="20"/>
          <w:szCs w:val="20"/>
          <w:color w:val="auto"/>
        </w:rPr>
      </w:pPr>
    </w:p>
    <w:p>
      <w:pPr>
        <w:jc w:val="both"/>
        <w:ind w:left="800"/>
        <w:spacing w:after="0" w:line="263"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125" w:right="3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816212104</w:t>
            </w:r>
          </w:p>
        </w:tc>
        <w:tc>
          <w:tcPr>
            <w:tcW w:w="4520" w:type="dxa"/>
            <w:vAlign w:val="bottom"/>
            <w:tcBorders>
              <w:right w:val="single" w:sz="8" w:color="auto"/>
            </w:tcBorders>
          </w:tcPr>
          <w:p>
            <w:pPr>
              <w:ind w:left="162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88"/>
              </w:rPr>
              <w:t>Page 8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May 23, 2022</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Mangrove Partners</w:t>
      </w:r>
    </w:p>
    <w:p>
      <w:pPr>
        <w:spacing w:after="0" w:line="229" w:lineRule="exact"/>
        <w:rPr>
          <w:sz w:val="20"/>
          <w:szCs w:val="20"/>
          <w:color w:val="auto"/>
        </w:rPr>
      </w:pPr>
    </w:p>
    <w:p>
      <w:pPr>
        <w:ind w:left="564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Nathaniel August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Nathaniel August, Director</w:t>
      </w:r>
    </w:p>
    <w:p>
      <w:pPr>
        <w:spacing w:after="0" w:line="220"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Mangrove Partners Master Fund, Ltd</w:t>
      </w:r>
    </w:p>
    <w:p>
      <w:pPr>
        <w:spacing w:after="0" w:line="229" w:lineRule="exact"/>
        <w:rPr>
          <w:sz w:val="20"/>
          <w:szCs w:val="20"/>
          <w:color w:val="auto"/>
        </w:rPr>
      </w:pPr>
    </w:p>
    <w:p>
      <w:pPr>
        <w:ind w:left="564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Nathaniel August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Nathaniel August, Director</w:t>
      </w:r>
    </w:p>
    <w:p>
      <w:pPr>
        <w:spacing w:after="0" w:line="220"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Nathaniel August</w:t>
      </w:r>
    </w:p>
    <w:p>
      <w:pPr>
        <w:spacing w:after="0" w:line="229" w:lineRule="exact"/>
        <w:rPr>
          <w:sz w:val="20"/>
          <w:szCs w:val="20"/>
          <w:color w:val="auto"/>
        </w:rPr>
      </w:pPr>
    </w:p>
    <w:p>
      <w:pPr>
        <w:ind w:left="562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Nathaniel August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32829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Nathaniel August</w:t>
      </w:r>
    </w:p>
    <w:p>
      <w:pPr>
        <w:sectPr>
          <w:pgSz w:w="11900" w:h="16838" w:orient="portrait"/>
          <w:cols w:equalWidth="0" w:num="1">
            <w:col w:w="11240"/>
          </w:cols>
          <w:pgMar w:left="320" w:top="447" w:right="339" w:bottom="1440" w:gutter="0" w:footer="0" w:header="0"/>
        </w:sectPr>
      </w:pPr>
    </w:p>
    <w:bookmarkStart w:id="7" w:name="page8"/>
    <w:bookmarkEnd w:id="7"/>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816212104</w:t>
            </w:r>
          </w:p>
        </w:tc>
        <w:tc>
          <w:tcPr>
            <w:tcW w:w="4520" w:type="dxa"/>
            <w:vAlign w:val="bottom"/>
            <w:tcBorders>
              <w:right w:val="single" w:sz="8" w:color="auto"/>
            </w:tcBorders>
          </w:tcPr>
          <w:p>
            <w:pPr>
              <w:ind w:left="162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88"/>
              </w:rPr>
              <w:t>Page 9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I</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JOINT FILING STATEMENT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RULE 13d-1(k)</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Dated: May 23, 2022</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Mangrove Partners</w:t>
      </w:r>
    </w:p>
    <w:p>
      <w:pPr>
        <w:spacing w:after="0" w:line="229" w:lineRule="exact"/>
        <w:rPr>
          <w:sz w:val="20"/>
          <w:szCs w:val="20"/>
          <w:color w:val="auto"/>
        </w:rPr>
      </w:pPr>
    </w:p>
    <w:p>
      <w:pPr>
        <w:ind w:left="564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Nathaniel August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Nathaniel August, Director</w:t>
      </w:r>
    </w:p>
    <w:p>
      <w:pPr>
        <w:spacing w:after="0" w:line="220"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Mangrove Partners Master Fund, Ltd</w:t>
      </w:r>
    </w:p>
    <w:p>
      <w:pPr>
        <w:spacing w:after="0" w:line="229" w:lineRule="exact"/>
        <w:rPr>
          <w:sz w:val="20"/>
          <w:szCs w:val="20"/>
          <w:color w:val="auto"/>
        </w:rPr>
      </w:pPr>
    </w:p>
    <w:p>
      <w:pPr>
        <w:ind w:left="564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Nathaniel August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Nathaniel August, Director</w:t>
      </w:r>
    </w:p>
    <w:p>
      <w:pPr>
        <w:spacing w:after="0" w:line="220"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Nathaniel August</w:t>
      </w:r>
    </w:p>
    <w:p>
      <w:pPr>
        <w:spacing w:after="0" w:line="229" w:lineRule="exact"/>
        <w:rPr>
          <w:sz w:val="20"/>
          <w:szCs w:val="20"/>
          <w:color w:val="auto"/>
        </w:rPr>
      </w:pPr>
    </w:p>
    <w:p>
      <w:pPr>
        <w:ind w:left="562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Nathaniel August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32829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Nathaniel August</w:t>
      </w:r>
    </w:p>
    <w:sectPr>
      <w:pgSz w:w="11900" w:h="16838" w:orient="portrait"/>
      <w:cols w:equalWidth="0" w:num="1">
        <w:col w:w="11240"/>
      </w:cols>
      <w:pgMar w:left="320" w:top="4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2022-05-24T05:16:27Z</dcterms:created>
  <dcterms:modified xsi:type="dcterms:W3CDTF">2022-05-24T05:16:27Z</dcterms:modified>
</cp:coreProperties>
</file>