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10, 2020</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S-8</w:t>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SELECTA BIOSCIENCES,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657"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4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26-1622110</w:t>
      </w:r>
    </w:p>
    <w:p>
      <w:pPr>
        <w:spacing w:after="0" w:line="121" w:lineRule="exact"/>
        <w:rPr>
          <w:sz w:val="24"/>
          <w:szCs w:val="24"/>
          <w:color w:val="auto"/>
        </w:rPr>
      </w:pPr>
    </w:p>
    <w:p>
      <w:pPr>
        <w:sectPr>
          <w:pgSz w:w="11900" w:h="16838" w:orient="portrait"/>
          <w:cols w:equalWidth="0" w:num="2">
            <w:col w:w="7480" w:space="720"/>
            <w:col w:w="3040"/>
          </w:cols>
          <w:pgMar w:left="320" w:top="657" w:right="339" w:bottom="1440" w:gutter="0" w:footer="0" w:header="0"/>
          <w:type w:val="continuous"/>
        </w:sectPr>
      </w:pPr>
    </w:p>
    <w:p>
      <w:pPr>
        <w:ind w:left="84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720" w:space="720"/>
            <w:col w:w="3800"/>
          </w:cols>
          <w:pgMar w:left="320" w:top="657" w:right="339" w:bottom="1440" w:gutter="0" w:footer="0" w:header="0"/>
          <w:type w:val="continuous"/>
        </w:sectPr>
      </w:pP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65 Grove Street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Watertown, Massachusetts 02472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 2016 Incentive Award Plan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 2016 Employee Stock Purchase Plan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the Plan)</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Carsten Brunn, Ph.D.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65 Grove Street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Watertown, Massachusetts 02472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 923-1400</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Peter N. Handrinos, Esq.</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Latham &amp; Watkins LLP</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200 Clarendon Street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Boston, MA 02116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 948-6060</w:t>
      </w:r>
    </w:p>
    <w:p>
      <w:pPr>
        <w:spacing w:after="0" w:line="205" w:lineRule="exact"/>
        <w:rPr>
          <w:sz w:val="24"/>
          <w:szCs w:val="24"/>
          <w:color w:val="auto"/>
        </w:rPr>
      </w:pPr>
    </w:p>
    <w:p>
      <w:pPr>
        <w:ind w:right="4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2"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0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40"/>
              <w:spacing w:after="0"/>
              <w:rPr>
                <w:sz w:val="20"/>
                <w:szCs w:val="20"/>
                <w:color w:val="auto"/>
              </w:rPr>
            </w:pPr>
            <w:r>
              <w:rPr>
                <w:rFonts w:ascii="Arial" w:cs="Arial" w:eastAsia="Arial" w:hAnsi="Arial"/>
                <w:sz w:val="14"/>
                <w:szCs w:val="14"/>
                <w:color w:val="auto"/>
                <w:w w:val="85"/>
              </w:rPr>
              <w:t>x</w:t>
            </w:r>
          </w:p>
        </w:tc>
      </w:tr>
      <w:tr>
        <w:trPr>
          <w:trHeight w:val="230"/>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2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0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4"/>
                <w:szCs w:val="14"/>
                <w:color w:val="auto"/>
                <w:w w:val="85"/>
              </w:rPr>
              <w:t>x</w:t>
            </w:r>
          </w:p>
        </w:tc>
      </w:tr>
      <w:tr>
        <w:trPr>
          <w:trHeight w:val="200"/>
        </w:trPr>
        <w:tc>
          <w:tcPr>
            <w:tcW w:w="1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040" w:type="dxa"/>
            <w:vAlign w:val="bottom"/>
          </w:tcPr>
          <w:p>
            <w:pPr>
              <w:ind w:left="202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ind w:left="440"/>
              <w:spacing w:after="0"/>
              <w:rPr>
                <w:sz w:val="20"/>
                <w:szCs w:val="20"/>
                <w:color w:val="auto"/>
              </w:rPr>
            </w:pPr>
            <w:r>
              <w:rPr>
                <w:rFonts w:ascii="Arial" w:cs="Arial" w:eastAsia="Arial" w:hAnsi="Arial"/>
                <w:sz w:val="14"/>
                <w:szCs w:val="14"/>
                <w:color w:val="auto"/>
                <w:w w:val="85"/>
              </w:rPr>
              <w:t>x</w:t>
            </w:r>
          </w:p>
        </w:tc>
      </w:tr>
    </w:tbl>
    <w:p>
      <w:pPr>
        <w:spacing w:after="0" w:line="317" w:lineRule="exact"/>
        <w:rPr>
          <w:sz w:val="24"/>
          <w:szCs w:val="24"/>
          <w:color w:val="auto"/>
        </w:rPr>
      </w:pPr>
    </w:p>
    <w:p>
      <w:pPr>
        <w:ind w:right="5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ectPr>
          <w:pgSz w:w="11900" w:h="16838" w:orient="portrait"/>
          <w:cols w:equalWidth="0" w:num="1">
            <w:col w:w="11240"/>
          </w:cols>
          <w:pgMar w:left="320" w:top="657"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70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Proposed</w:t>
            </w: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64"/>
        </w:trPr>
        <w:tc>
          <w:tcPr>
            <w:tcW w:w="3840" w:type="dxa"/>
            <w:vAlign w:val="bottom"/>
          </w:tcPr>
          <w:p>
            <w:pPr>
              <w:spacing w:after="0"/>
              <w:rPr>
                <w:sz w:val="14"/>
                <w:szCs w:val="14"/>
                <w:color w:val="auto"/>
              </w:rPr>
            </w:pPr>
          </w:p>
        </w:tc>
        <w:tc>
          <w:tcPr>
            <w:tcW w:w="2400" w:type="dxa"/>
            <w:vAlign w:val="bottom"/>
          </w:tcPr>
          <w:p>
            <w:pPr>
              <w:jc w:val="center"/>
              <w:ind w:left="201"/>
              <w:spacing w:after="0"/>
              <w:rPr>
                <w:sz w:val="20"/>
                <w:szCs w:val="20"/>
                <w:color w:val="auto"/>
              </w:rPr>
            </w:pPr>
            <w:r>
              <w:rPr>
                <w:rFonts w:ascii="Arial" w:cs="Arial" w:eastAsia="Arial" w:hAnsi="Arial"/>
                <w:sz w:val="14"/>
                <w:szCs w:val="14"/>
                <w:b w:val="1"/>
                <w:bCs w:val="1"/>
                <w:color w:val="auto"/>
                <w:w w:val="98"/>
              </w:rPr>
              <w:t>Amount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700" w:type="dxa"/>
            <w:vAlign w:val="bottom"/>
          </w:tcPr>
          <w:p>
            <w:pPr>
              <w:jc w:val="center"/>
              <w:ind w:left="22"/>
              <w:spacing w:after="0"/>
              <w:rPr>
                <w:sz w:val="20"/>
                <w:szCs w:val="20"/>
                <w:color w:val="auto"/>
              </w:rPr>
            </w:pPr>
            <w:r>
              <w:rPr>
                <w:rFonts w:ascii="Arial" w:cs="Arial" w:eastAsia="Arial" w:hAnsi="Arial"/>
                <w:sz w:val="14"/>
                <w:szCs w:val="14"/>
                <w:b w:val="1"/>
                <w:bCs w:val="1"/>
                <w:color w:val="auto"/>
                <w:w w:val="99"/>
              </w:rPr>
              <w:t>Maximum</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Title of Securities to be Registered</w:t>
            </w:r>
          </w:p>
        </w:tc>
        <w:tc>
          <w:tcPr>
            <w:tcW w:w="2400" w:type="dxa"/>
            <w:vAlign w:val="bottom"/>
          </w:tcPr>
          <w:p>
            <w:pPr>
              <w:jc w:val="center"/>
              <w:ind w:left="181"/>
              <w:spacing w:after="0" w:line="133" w:lineRule="exact"/>
              <w:rPr>
                <w:sz w:val="20"/>
                <w:szCs w:val="20"/>
                <w:color w:val="auto"/>
              </w:rPr>
            </w:pPr>
            <w:r>
              <w:rPr>
                <w:rFonts w:ascii="Arial" w:cs="Arial" w:eastAsia="Arial" w:hAnsi="Arial"/>
                <w:sz w:val="14"/>
                <w:szCs w:val="14"/>
                <w:b w:val="1"/>
                <w:bCs w:val="1"/>
                <w:color w:val="auto"/>
                <w:w w:val="89"/>
              </w:rPr>
              <w:t>to be</w:t>
            </w:r>
          </w:p>
        </w:tc>
        <w:tc>
          <w:tcPr>
            <w:tcW w:w="16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Offering Price</w:t>
            </w:r>
          </w:p>
        </w:tc>
        <w:tc>
          <w:tcPr>
            <w:tcW w:w="1700" w:type="dxa"/>
            <w:vAlign w:val="bottom"/>
          </w:tcPr>
          <w:p>
            <w:pPr>
              <w:jc w:val="center"/>
              <w:ind w:left="22"/>
              <w:spacing w:after="0" w:line="133" w:lineRule="exact"/>
              <w:rPr>
                <w:sz w:val="20"/>
                <w:szCs w:val="20"/>
                <w:color w:val="auto"/>
              </w:rPr>
            </w:pPr>
            <w:r>
              <w:rPr>
                <w:rFonts w:ascii="Arial" w:cs="Arial" w:eastAsia="Arial" w:hAnsi="Arial"/>
                <w:sz w:val="14"/>
                <w:szCs w:val="14"/>
                <w:b w:val="1"/>
                <w:bCs w:val="1"/>
                <w:color w:val="auto"/>
                <w:w w:val="92"/>
              </w:rPr>
              <w:t>Aggregate</w:t>
            </w: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jc w:val="center"/>
              <w:ind w:left="181"/>
              <w:spacing w:after="0"/>
              <w:rPr>
                <w:sz w:val="20"/>
                <w:szCs w:val="20"/>
                <w:color w:val="auto"/>
              </w:rPr>
            </w:pPr>
            <w:r>
              <w:rPr>
                <w:rFonts w:ascii="Arial" w:cs="Arial" w:eastAsia="Arial" w:hAnsi="Arial"/>
                <w:sz w:val="14"/>
                <w:szCs w:val="14"/>
                <w:b w:val="1"/>
                <w:bCs w:val="1"/>
                <w:color w:val="auto"/>
                <w:w w:val="91"/>
              </w:rPr>
              <w:t>Registered(1)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7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4"/>
              </w:rPr>
              <w:t>Offering Price</w:t>
            </w: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Common Stock, par value $0.0001 per share</w:t>
            </w:r>
          </w:p>
        </w:tc>
        <w:tc>
          <w:tcPr>
            <w:tcW w:w="2400" w:type="dxa"/>
            <w:vAlign w:val="bottom"/>
          </w:tcPr>
          <w:p>
            <w:pPr>
              <w:ind w:left="580"/>
              <w:spacing w:after="0"/>
              <w:rPr>
                <w:sz w:val="20"/>
                <w:szCs w:val="20"/>
                <w:color w:val="auto"/>
              </w:rPr>
            </w:pPr>
            <w:r>
              <w:rPr>
                <w:rFonts w:ascii="Arial" w:cs="Arial" w:eastAsia="Arial" w:hAnsi="Arial"/>
                <w:sz w:val="18"/>
                <w:szCs w:val="18"/>
                <w:color w:val="auto"/>
              </w:rPr>
              <w:t>1,087,971 shares(2)</w:t>
            </w:r>
          </w:p>
        </w:tc>
        <w:tc>
          <w:tcPr>
            <w:tcW w:w="1620" w:type="dxa"/>
            <w:vAlign w:val="bottom"/>
          </w:tcPr>
          <w:p>
            <w:pPr>
              <w:jc w:val="center"/>
              <w:ind w:left="2"/>
              <w:spacing w:after="0"/>
              <w:rPr>
                <w:sz w:val="20"/>
                <w:szCs w:val="20"/>
                <w:color w:val="auto"/>
              </w:rPr>
            </w:pPr>
            <w:r>
              <w:rPr>
                <w:rFonts w:ascii="Arial" w:cs="Arial" w:eastAsia="Arial" w:hAnsi="Arial"/>
                <w:sz w:val="18"/>
                <w:szCs w:val="18"/>
                <w:color w:val="auto"/>
                <w:w w:val="91"/>
              </w:rPr>
              <w:t>$3.77 (3)</w:t>
            </w:r>
          </w:p>
        </w:tc>
        <w:tc>
          <w:tcPr>
            <w:tcW w:w="1700" w:type="dxa"/>
            <w:vAlign w:val="bottom"/>
          </w:tcPr>
          <w:p>
            <w:pPr>
              <w:jc w:val="right"/>
              <w:ind w:right="202"/>
              <w:spacing w:after="0"/>
              <w:rPr>
                <w:sz w:val="20"/>
                <w:szCs w:val="20"/>
                <w:color w:val="auto"/>
              </w:rPr>
            </w:pPr>
            <w:r>
              <w:rPr>
                <w:rFonts w:ascii="Arial" w:cs="Arial" w:eastAsia="Arial" w:hAnsi="Arial"/>
                <w:sz w:val="18"/>
                <w:szCs w:val="18"/>
                <w:color w:val="auto"/>
              </w:rPr>
              <w:t>$4,101,650.67</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Common Stock, par value $0.0001 per share</w:t>
            </w:r>
          </w:p>
        </w:tc>
        <w:tc>
          <w:tcPr>
            <w:tcW w:w="2400" w:type="dxa"/>
            <w:vAlign w:val="bottom"/>
          </w:tcPr>
          <w:p>
            <w:pPr>
              <w:ind w:left="580"/>
              <w:spacing w:after="0"/>
              <w:rPr>
                <w:sz w:val="20"/>
                <w:szCs w:val="20"/>
                <w:color w:val="auto"/>
              </w:rPr>
            </w:pPr>
            <w:r>
              <w:rPr>
                <w:rFonts w:ascii="Arial" w:cs="Arial" w:eastAsia="Arial" w:hAnsi="Arial"/>
                <w:sz w:val="18"/>
                <w:szCs w:val="18"/>
                <w:color w:val="auto"/>
              </w:rPr>
              <w:t>4,351,893 shares(4)</w:t>
            </w:r>
          </w:p>
        </w:tc>
        <w:tc>
          <w:tcPr>
            <w:tcW w:w="1620" w:type="dxa"/>
            <w:vAlign w:val="bottom"/>
          </w:tcPr>
          <w:p>
            <w:pPr>
              <w:jc w:val="center"/>
              <w:ind w:left="2"/>
              <w:spacing w:after="0"/>
              <w:rPr>
                <w:sz w:val="20"/>
                <w:szCs w:val="20"/>
                <w:color w:val="auto"/>
              </w:rPr>
            </w:pPr>
            <w:r>
              <w:rPr>
                <w:rFonts w:ascii="Arial" w:cs="Arial" w:eastAsia="Arial" w:hAnsi="Arial"/>
                <w:sz w:val="18"/>
                <w:szCs w:val="18"/>
                <w:color w:val="auto"/>
                <w:w w:val="91"/>
              </w:rPr>
              <w:t>$3.77 (3)</w:t>
            </w:r>
          </w:p>
        </w:tc>
        <w:tc>
          <w:tcPr>
            <w:tcW w:w="1700" w:type="dxa"/>
            <w:vAlign w:val="bottom"/>
          </w:tcPr>
          <w:p>
            <w:pPr>
              <w:jc w:val="right"/>
              <w:ind w:right="162"/>
              <w:spacing w:after="0"/>
              <w:rPr>
                <w:sz w:val="20"/>
                <w:szCs w:val="20"/>
                <w:color w:val="auto"/>
              </w:rPr>
            </w:pPr>
            <w:r>
              <w:rPr>
                <w:rFonts w:ascii="Arial" w:cs="Arial" w:eastAsia="Arial" w:hAnsi="Arial"/>
                <w:sz w:val="18"/>
                <w:szCs w:val="18"/>
                <w:color w:val="auto"/>
              </w:rPr>
              <w:t>$16,406,636.61</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40" w:right="60" w:hanging="316"/>
        <w:spacing w:after="0" w:line="256"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(the "Securities Act"), this registration statement (this "Registration Statement") shall be deemed to cover any additional securities that may from time to time be offered or issued under the Selecta Biosciences, Inc. 2016 Employee Stock Purchase Plan (“ESPP”) and the Selecta Biosciences, Inc. 2016 Incentive Award Plan (the “Incentive Plan”) to prevent dilution resulting from stock splits, stock dividends or similar transactions.</w:t>
      </w:r>
    </w:p>
    <w:p>
      <w:pPr>
        <w:spacing w:after="0" w:line="159" w:lineRule="exact"/>
        <w:rPr>
          <w:rFonts w:ascii="Arial" w:cs="Arial" w:eastAsia="Arial" w:hAnsi="Arial"/>
          <w:sz w:val="16"/>
          <w:szCs w:val="16"/>
          <w:color w:val="auto"/>
        </w:rPr>
      </w:pPr>
    </w:p>
    <w:p>
      <w:pPr>
        <w:ind w:left="540" w:hanging="316"/>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1,087,971 shares of Common Stock that may become issuable under the ESPP pursuant to its terms.</w:t>
      </w:r>
    </w:p>
    <w:p>
      <w:pPr>
        <w:spacing w:after="0" w:line="194" w:lineRule="exact"/>
        <w:rPr>
          <w:rFonts w:ascii="Arial" w:cs="Arial" w:eastAsia="Arial" w:hAnsi="Arial"/>
          <w:sz w:val="16"/>
          <w:szCs w:val="16"/>
          <w:color w:val="auto"/>
        </w:rPr>
      </w:pPr>
    </w:p>
    <w:p>
      <w:pPr>
        <w:ind w:left="540" w:right="60" w:hanging="316"/>
        <w:spacing w:after="0" w:line="275"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and based upon the average of the high and low prices of the Registrant’s Common Stock as reported on the Nasdaq Global Market on June 5, 2020.</w:t>
      </w:r>
    </w:p>
    <w:p>
      <w:pPr>
        <w:spacing w:after="0" w:line="145" w:lineRule="exact"/>
        <w:rPr>
          <w:rFonts w:ascii="Arial" w:cs="Arial" w:eastAsia="Arial" w:hAnsi="Arial"/>
          <w:sz w:val="16"/>
          <w:szCs w:val="16"/>
          <w:color w:val="auto"/>
        </w:rPr>
      </w:pPr>
    </w:p>
    <w:p>
      <w:pPr>
        <w:ind w:left="540" w:hanging="316"/>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4,351,893 shares of Common Stock that may become issuable under the Incentive Plan pursuant to its terms.</w:t>
      </w:r>
    </w:p>
    <w:p>
      <w:pPr>
        <w:sectPr>
          <w:pgSz w:w="11900" w:h="16838" w:orient="portrait"/>
          <w:cols w:equalWidth="0" w:num="1">
            <w:col w:w="11220"/>
          </w:cols>
          <w:pgMar w:left="320" w:top="769" w:right="3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This Registration Statement on Form S-8 is being filed for the purpose of registering an additional 1,087,971 shares of the common stock of Selecta Biosciences, Inc. (the “Registrant”) to be issued pursuant to the ESPP and an additional 4,351,893 shares of the Registrant’s common stock to be issued pursuant to the Incentive Plan. A Registration Statement of the Registrant on Form S-8 relating to the same employee benefit plans is effective.</w:t>
      </w:r>
    </w:p>
    <w:p>
      <w:pPr>
        <w:spacing w:after="0" w:line="36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INCORPORATION BY REFERENCE OF CONTENTS OF</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REGISTRATION STATEMENTS ON FORM S-8</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set forth below, the contents of the Registration Statements on Form S-8 (File Nos. 333-212215 and 333-224109) filed with the Securities and Exchange Commission, relating to the ESPP and Incentive Plan, are incorporated by reference herein.</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26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364"/>
        </w:trPr>
        <w:tc>
          <w:tcPr>
            <w:tcW w:w="1500" w:type="dxa"/>
            <w:vAlign w:val="bottom"/>
            <w:tcBorders>
              <w:top w:val="single" w:sz="8" w:color="auto"/>
            </w:tcBorders>
          </w:tcPr>
          <w:p>
            <w:pPr>
              <w:ind w:left="40"/>
              <w:spacing w:after="0"/>
              <w:rPr>
                <w:rFonts w:ascii="Arial" w:cs="Arial" w:eastAsia="Arial" w:hAnsi="Arial"/>
                <w:sz w:val="18"/>
                <w:szCs w:val="18"/>
                <w:u w:val="single" w:color="auto"/>
                <w:color w:val="0000FF"/>
              </w:rPr>
            </w:pPr>
            <w:hyperlink r:id="rId10">
              <w:r>
                <w:rPr>
                  <w:rFonts w:ascii="Arial" w:cs="Arial" w:eastAsia="Arial" w:hAnsi="Arial"/>
                  <w:sz w:val="18"/>
                  <w:szCs w:val="18"/>
                  <w:u w:val="single" w:color="auto"/>
                  <w:color w:val="0000FF"/>
                </w:rPr>
                <w:t>4.1</w:t>
              </w:r>
            </w:hyperlink>
          </w:p>
        </w:tc>
        <w:tc>
          <w:tcPr>
            <w:tcW w:w="4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80" w:type="dxa"/>
            <w:vAlign w:val="bottom"/>
            <w:tcBorders>
              <w:top w:val="single" w:sz="8" w:color="auto"/>
              <w:bottom w:val="single" w:sz="8" w:color="0000FF"/>
            </w:tcBorders>
            <w:gridSpan w:val="4"/>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Restated Certificate of Incorporation of the Registrant (incorporated by reference to Exhibit 3.1 to</w:t>
              </w:r>
            </w:hyperlink>
          </w:p>
        </w:tc>
        <w:tc>
          <w:tcPr>
            <w:tcW w:w="180" w:type="dxa"/>
            <w:vAlign w:val="bottom"/>
            <w:tcBorders>
              <w:top w:val="single" w:sz="8" w:color="auto"/>
            </w:tcBorders>
            <w:gridSpan w:val="2"/>
          </w:tcPr>
          <w:p>
            <w:pPr>
              <w:spacing w:after="0"/>
              <w:rPr>
                <w:sz w:val="24"/>
                <w:szCs w:val="24"/>
                <w:color w:val="auto"/>
              </w:rPr>
            </w:pPr>
          </w:p>
        </w:tc>
      </w:tr>
      <w:tr>
        <w:trPr>
          <w:trHeight w:val="237"/>
        </w:trPr>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60" w:type="dxa"/>
            <w:vAlign w:val="bottom"/>
            <w:gridSpan w:val="6"/>
          </w:tcPr>
          <w:p>
            <w:pPr>
              <w:spacing w:after="0"/>
              <w:rPr>
                <w:rFonts w:ascii="Arial" w:cs="Arial" w:eastAsia="Arial" w:hAnsi="Arial"/>
                <w:sz w:val="18"/>
                <w:szCs w:val="18"/>
                <w:u w:val="single" w:color="auto"/>
                <w:color w:val="0000FF"/>
              </w:rPr>
            </w:pPr>
            <w:hyperlink r:id="rId10">
              <w:r>
                <w:rPr>
                  <w:rFonts w:ascii="Arial" w:cs="Arial" w:eastAsia="Arial" w:hAnsi="Arial"/>
                  <w:sz w:val="18"/>
                  <w:szCs w:val="18"/>
                  <w:u w:val="single" w:color="auto"/>
                  <w:color w:val="0000FF"/>
                </w:rPr>
                <w:t>the Registrant’s Current Report on Form 8-K (File No. 001-37798) filed on June 29, 2016)</w:t>
              </w:r>
            </w:hyperlink>
          </w:p>
        </w:tc>
      </w:tr>
      <w:tr>
        <w:trPr>
          <w:trHeight w:val="459"/>
        </w:trPr>
        <w:tc>
          <w:tcPr>
            <w:tcW w:w="1500" w:type="dxa"/>
            <w:vAlign w:val="bottom"/>
          </w:tcPr>
          <w:p>
            <w:pPr>
              <w:ind w:left="40"/>
              <w:spacing w:after="0"/>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4.2</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tcBorders>
              <w:bottom w:val="single" w:sz="8" w:color="0000FF"/>
            </w:tcBorders>
            <w:gridSpan w:val="2"/>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Amended and Restated By-laws of the Registrant (incorporated by reference to Exhibit 3.2 to the</w:t>
              </w:r>
            </w:hyperlink>
          </w:p>
        </w:tc>
        <w:tc>
          <w:tcPr>
            <w:tcW w:w="260" w:type="dxa"/>
            <w:vAlign w:val="bottom"/>
            <w:gridSpan w:val="4"/>
          </w:tcPr>
          <w:p>
            <w:pPr>
              <w:spacing w:after="0"/>
              <w:rPr>
                <w:sz w:val="24"/>
                <w:szCs w:val="24"/>
                <w:color w:val="auto"/>
              </w:rPr>
            </w:pPr>
          </w:p>
        </w:tc>
      </w:tr>
      <w:tr>
        <w:trPr>
          <w:trHeight w:val="237"/>
        </w:trPr>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60" w:type="dxa"/>
            <w:vAlign w:val="bottom"/>
            <w:gridSpan w:val="6"/>
          </w:tcPr>
          <w:p>
            <w:pPr>
              <w:spacing w:after="0"/>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Registrant’s Current Report on Form 8-K (File No. 001-37798) filed on June 29, 2016)</w:t>
              </w:r>
            </w:hyperlink>
          </w:p>
        </w:tc>
      </w:tr>
      <w:tr>
        <w:trPr>
          <w:trHeight w:val="500"/>
        </w:trPr>
        <w:tc>
          <w:tcPr>
            <w:tcW w:w="1500" w:type="dxa"/>
            <w:vAlign w:val="bottom"/>
          </w:tcPr>
          <w:p>
            <w:pPr>
              <w:ind w:left="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5.1+</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gridSpan w:val="6"/>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Opinion of Latham &amp; Watkins LLP, counsel to the Registrant</w:t>
              </w:r>
            </w:hyperlink>
          </w:p>
        </w:tc>
      </w:tr>
      <w:tr>
        <w:trPr>
          <w:trHeight w:val="499"/>
        </w:trPr>
        <w:tc>
          <w:tcPr>
            <w:tcW w:w="1500" w:type="dxa"/>
            <w:vAlign w:val="bottom"/>
          </w:tcPr>
          <w:p>
            <w:pPr>
              <w:ind w:left="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23.1+</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gridSpan w:val="6"/>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Consent of Ernst &amp; Young LLP, Independent Registered Public Accounting Firm</w:t>
              </w:r>
            </w:hyperlink>
          </w:p>
        </w:tc>
      </w:tr>
      <w:tr>
        <w:trPr>
          <w:trHeight w:val="500"/>
        </w:trPr>
        <w:tc>
          <w:tcPr>
            <w:tcW w:w="1500" w:type="dxa"/>
            <w:vAlign w:val="bottom"/>
          </w:tcPr>
          <w:p>
            <w:pPr>
              <w:ind w:left="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23.2 +</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gridSpan w:val="6"/>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Consent of Latham &amp; Watkins LLP (included in Exhibit 5.1)</w:t>
              </w:r>
            </w:hyperlink>
          </w:p>
        </w:tc>
      </w:tr>
      <w:tr>
        <w:trPr>
          <w:trHeight w:val="499"/>
        </w:trPr>
        <w:tc>
          <w:tcPr>
            <w:tcW w:w="1500" w:type="dxa"/>
            <w:vAlign w:val="bottom"/>
          </w:tcPr>
          <w:p>
            <w:pPr>
              <w:ind w:left="40"/>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gridSpan w:val="6"/>
          </w:tcPr>
          <w:p>
            <w:pPr>
              <w:spacing w:after="0"/>
              <w:rPr>
                <w:sz w:val="20"/>
                <w:szCs w:val="20"/>
                <w:color w:val="auto"/>
              </w:rPr>
            </w:pPr>
            <w:r>
              <w:rPr>
                <w:rFonts w:ascii="Arial" w:cs="Arial" w:eastAsia="Arial" w:hAnsi="Arial"/>
                <w:sz w:val="18"/>
                <w:szCs w:val="18"/>
                <w:color w:val="auto"/>
              </w:rPr>
              <w:t>Power of attorney (included on signature pages below)</w:t>
            </w:r>
          </w:p>
        </w:tc>
      </w:tr>
      <w:tr>
        <w:trPr>
          <w:trHeight w:val="459"/>
        </w:trPr>
        <w:tc>
          <w:tcPr>
            <w:tcW w:w="1500" w:type="dxa"/>
            <w:vAlign w:val="bottom"/>
          </w:tcPr>
          <w:p>
            <w:pPr>
              <w:ind w:left="40"/>
              <w:spacing w:after="0"/>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99.1</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tcBorders>
              <w:bottom w:val="single" w:sz="8" w:color="0000FF"/>
            </w:tcBorders>
            <w:gridSpan w:val="3"/>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Selecta Biosciences, Inc. 2016 Incentive Award Plan (incorporated by reference to Exhibit 10.2 to</w:t>
              </w:r>
            </w:hyperlink>
          </w:p>
        </w:tc>
        <w:tc>
          <w:tcPr>
            <w:tcW w:w="200" w:type="dxa"/>
            <w:vAlign w:val="bottom"/>
            <w:gridSpan w:val="3"/>
          </w:tcPr>
          <w:p>
            <w:pPr>
              <w:spacing w:after="0"/>
              <w:rPr>
                <w:sz w:val="24"/>
                <w:szCs w:val="24"/>
                <w:color w:val="auto"/>
              </w:rPr>
            </w:pPr>
          </w:p>
        </w:tc>
      </w:tr>
      <w:tr>
        <w:trPr>
          <w:trHeight w:val="237"/>
        </w:trPr>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60" w:type="dxa"/>
            <w:vAlign w:val="bottom"/>
            <w:gridSpan w:val="6"/>
          </w:tcPr>
          <w:p>
            <w:pPr>
              <w:spacing w:after="0"/>
              <w:rPr>
                <w:rFonts w:ascii="Arial" w:cs="Arial" w:eastAsia="Arial" w:hAnsi="Arial"/>
                <w:sz w:val="18"/>
                <w:szCs w:val="18"/>
                <w:u w:val="single" w:color="auto"/>
                <w:color w:val="0000FF"/>
                <w:w w:val="91"/>
              </w:rPr>
            </w:pPr>
            <w:hyperlink r:id="rId12">
              <w:r>
                <w:rPr>
                  <w:rFonts w:ascii="Arial" w:cs="Arial" w:eastAsia="Arial" w:hAnsi="Arial"/>
                  <w:sz w:val="18"/>
                  <w:szCs w:val="18"/>
                  <w:u w:val="single" w:color="auto"/>
                  <w:color w:val="0000FF"/>
                  <w:w w:val="91"/>
                </w:rPr>
                <w:t>the Registrant’s Registration Statement on Form S-1 (Reg. No. 333-2111555) filed on June 8, 2016)</w:t>
              </w:r>
            </w:hyperlink>
          </w:p>
        </w:tc>
      </w:tr>
      <w:tr>
        <w:trPr>
          <w:trHeight w:val="459"/>
        </w:trPr>
        <w:tc>
          <w:tcPr>
            <w:tcW w:w="1500" w:type="dxa"/>
            <w:vAlign w:val="bottom"/>
          </w:tcPr>
          <w:p>
            <w:pPr>
              <w:ind w:left="40"/>
              <w:spacing w:after="0"/>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99.2</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gridSpan w:val="6"/>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Selecta Biosciences, Inc. 2016 Employee Stock Purchase Plan (incorporated by reference to Exhibit</w:t>
              </w:r>
            </w:hyperlink>
          </w:p>
        </w:tc>
      </w:tr>
      <w:tr>
        <w:trPr>
          <w:trHeight w:val="196"/>
        </w:trPr>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the Registrant’s Registration Statement on Form S-1 (Reg. No. 333-211555) filed on June 8,</w:t>
              </w:r>
            </w:hyperlink>
          </w:p>
        </w:tc>
        <w:tc>
          <w:tcPr>
            <w:tcW w:w="6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2">
              <w:r>
                <w:rPr>
                  <w:rFonts w:ascii="Arial" w:cs="Arial" w:eastAsia="Arial" w:hAnsi="Arial"/>
                  <w:sz w:val="18"/>
                  <w:szCs w:val="18"/>
                  <w:color w:val="0000FF"/>
                  <w:w w:val="86"/>
                </w:rPr>
                <w:t>2016)</w:t>
              </w:r>
            </w:hyperlink>
          </w:p>
        </w:tc>
        <w:tc>
          <w:tcPr>
            <w:tcW w:w="6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960"/>
          </w:cols>
          <w:pgMar w:left="320" w:top="985" w:right="6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this 10th day of June, 2020.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SELECTA BIOSCIENCES, INC.</w:t>
      </w:r>
    </w:p>
    <w:p>
      <w:pPr>
        <w:spacing w:after="0" w:line="391" w:lineRule="exact"/>
        <w:rPr>
          <w:sz w:val="20"/>
          <w:szCs w:val="20"/>
          <w:color w:val="auto"/>
        </w:rPr>
      </w:pPr>
    </w:p>
    <w:p>
      <w:pPr>
        <w:ind w:left="530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31750</wp:posOffset>
            </wp:positionV>
            <wp:extent cx="2254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 and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240"/>
          </w:cols>
          <w:pgMar w:left="320" w:top="55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the undersigned officers and directors of Selecta Biosciences, Inc. (the "Company"), hereby severally constitute and appoint the Chief Executive Officer of the Company, who is currently Carsten Brunn, Ph.D., and the Chief Financial Officer of the Company, who is currently Bradford D. Dahms,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8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Title</w:t>
            </w:r>
          </w:p>
        </w:tc>
        <w:tc>
          <w:tcPr>
            <w:tcW w:w="1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3300" w:type="dxa"/>
            <w:vAlign w:val="bottom"/>
            <w:gridSpan w:val="3"/>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7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Carsten Brunn, Ph.D.</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w w:val="98"/>
              </w:rPr>
              <w:t>President and Chief Executive Officer, and Director</w:t>
            </w:r>
          </w:p>
        </w:tc>
        <w:tc>
          <w:tcPr>
            <w:tcW w:w="1340" w:type="dxa"/>
            <w:vAlign w:val="bottom"/>
            <w:gridSpan w:val="3"/>
          </w:tcPr>
          <w:p>
            <w:pPr>
              <w:jc w:val="center"/>
              <w:ind w:left="250"/>
              <w:spacing w:after="0"/>
              <w:rPr>
                <w:sz w:val="20"/>
                <w:szCs w:val="20"/>
                <w:color w:val="auto"/>
              </w:rPr>
            </w:pPr>
            <w:r>
              <w:rPr>
                <w:rFonts w:ascii="Arial" w:cs="Arial" w:eastAsia="Arial" w:hAnsi="Arial"/>
                <w:sz w:val="18"/>
                <w:szCs w:val="18"/>
                <w:color w:val="auto"/>
                <w:w w:val="87"/>
              </w:rPr>
              <w:t>June 10, 2020</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89"/>
              </w:rPr>
              <w:t>Carsten Brunn, Ph.D.</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/s/ Bradford D. Dahms</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1340" w:type="dxa"/>
            <w:vAlign w:val="bottom"/>
            <w:gridSpan w:val="3"/>
          </w:tcPr>
          <w:p>
            <w:pPr>
              <w:jc w:val="center"/>
              <w:ind w:left="250"/>
              <w:spacing w:after="0"/>
              <w:rPr>
                <w:sz w:val="20"/>
                <w:szCs w:val="20"/>
                <w:color w:val="auto"/>
              </w:rPr>
            </w:pPr>
            <w:r>
              <w:rPr>
                <w:rFonts w:ascii="Arial" w:cs="Arial" w:eastAsia="Arial" w:hAnsi="Arial"/>
                <w:sz w:val="18"/>
                <w:szCs w:val="18"/>
                <w:color w:val="auto"/>
                <w:w w:val="87"/>
              </w:rPr>
              <w:t>June 10, 2020</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Bradford D. Dahms</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(Principal Financial and Accounting Officer)</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/s/ Goran A. Ando, M.D.</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340" w:type="dxa"/>
            <w:vAlign w:val="bottom"/>
            <w:gridSpan w:val="3"/>
          </w:tcPr>
          <w:p>
            <w:pPr>
              <w:jc w:val="center"/>
              <w:ind w:left="250"/>
              <w:spacing w:after="0"/>
              <w:rPr>
                <w:sz w:val="20"/>
                <w:szCs w:val="20"/>
                <w:color w:val="auto"/>
              </w:rPr>
            </w:pPr>
            <w:r>
              <w:rPr>
                <w:rFonts w:ascii="Arial" w:cs="Arial" w:eastAsia="Arial" w:hAnsi="Arial"/>
                <w:sz w:val="18"/>
                <w:szCs w:val="18"/>
                <w:color w:val="auto"/>
                <w:w w:val="87"/>
              </w:rPr>
              <w:t>June 10, 2020</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Goran A. Ando, M.D.</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/s/ Timothy C. Barabe</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340" w:type="dxa"/>
            <w:vAlign w:val="bottom"/>
            <w:gridSpan w:val="3"/>
          </w:tcPr>
          <w:p>
            <w:pPr>
              <w:jc w:val="center"/>
              <w:ind w:left="250"/>
              <w:spacing w:after="0"/>
              <w:rPr>
                <w:sz w:val="20"/>
                <w:szCs w:val="20"/>
                <w:color w:val="auto"/>
              </w:rPr>
            </w:pPr>
            <w:r>
              <w:rPr>
                <w:rFonts w:ascii="Arial" w:cs="Arial" w:eastAsia="Arial" w:hAnsi="Arial"/>
                <w:sz w:val="18"/>
                <w:szCs w:val="18"/>
                <w:color w:val="auto"/>
                <w:w w:val="87"/>
              </w:rPr>
              <w:t>June 10, 2020</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Timothy C. Barabe</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Carrie S. Cox</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Chairman of the Board</w:t>
            </w:r>
          </w:p>
        </w:tc>
        <w:tc>
          <w:tcPr>
            <w:tcW w:w="1340" w:type="dxa"/>
            <w:vAlign w:val="bottom"/>
            <w:gridSpan w:val="3"/>
          </w:tcPr>
          <w:p>
            <w:pPr>
              <w:jc w:val="center"/>
              <w:ind w:left="250"/>
              <w:spacing w:after="0"/>
              <w:rPr>
                <w:sz w:val="20"/>
                <w:szCs w:val="20"/>
                <w:color w:val="auto"/>
              </w:rPr>
            </w:pPr>
            <w:r>
              <w:rPr>
                <w:rFonts w:ascii="Arial" w:cs="Arial" w:eastAsia="Arial" w:hAnsi="Arial"/>
                <w:sz w:val="18"/>
                <w:szCs w:val="18"/>
                <w:color w:val="auto"/>
                <w:w w:val="87"/>
              </w:rPr>
              <w:t>June 10, 2020</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Carrie S. Cox</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/s/ Scott D. Myers</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340" w:type="dxa"/>
            <w:vAlign w:val="bottom"/>
            <w:gridSpan w:val="3"/>
          </w:tcPr>
          <w:p>
            <w:pPr>
              <w:jc w:val="center"/>
              <w:ind w:left="250"/>
              <w:spacing w:after="0"/>
              <w:rPr>
                <w:sz w:val="20"/>
                <w:szCs w:val="20"/>
                <w:color w:val="auto"/>
              </w:rPr>
            </w:pPr>
            <w:r>
              <w:rPr>
                <w:rFonts w:ascii="Arial" w:cs="Arial" w:eastAsia="Arial" w:hAnsi="Arial"/>
                <w:sz w:val="18"/>
                <w:szCs w:val="18"/>
                <w:color w:val="auto"/>
                <w:w w:val="87"/>
              </w:rPr>
              <w:t>June 10, 2020</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3"/>
              </w:rPr>
              <w:t>Scott D. Myers</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340" w:type="dxa"/>
            <w:vAlign w:val="bottom"/>
            <w:gridSpan w:val="3"/>
          </w:tcPr>
          <w:p>
            <w:pPr>
              <w:jc w:val="center"/>
              <w:ind w:left="250"/>
              <w:spacing w:after="0"/>
              <w:rPr>
                <w:sz w:val="20"/>
                <w:szCs w:val="20"/>
                <w:color w:val="auto"/>
              </w:rPr>
            </w:pPr>
            <w:r>
              <w:rPr>
                <w:rFonts w:ascii="Arial" w:cs="Arial" w:eastAsia="Arial" w:hAnsi="Arial"/>
                <w:sz w:val="18"/>
                <w:szCs w:val="18"/>
                <w:color w:val="auto"/>
                <w:w w:val="87"/>
              </w:rPr>
              <w:t>June 10, 2020</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Aymeric Sallin</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340" w:type="dxa"/>
            <w:vAlign w:val="bottom"/>
            <w:gridSpan w:val="3"/>
          </w:tcPr>
          <w:p>
            <w:pPr>
              <w:jc w:val="center"/>
              <w:ind w:left="250"/>
              <w:spacing w:after="0"/>
              <w:rPr>
                <w:sz w:val="20"/>
                <w:szCs w:val="20"/>
                <w:color w:val="auto"/>
              </w:rPr>
            </w:pPr>
            <w:r>
              <w:rPr>
                <w:rFonts w:ascii="Arial" w:cs="Arial" w:eastAsia="Arial" w:hAnsi="Arial"/>
                <w:sz w:val="18"/>
                <w:szCs w:val="18"/>
                <w:color w:val="auto"/>
                <w:w w:val="87"/>
              </w:rPr>
              <w:t>June 10, 2020</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Timothy Springer, Ph.D.</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Patrick Zenner</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340" w:type="dxa"/>
            <w:vAlign w:val="bottom"/>
            <w:gridSpan w:val="3"/>
          </w:tcPr>
          <w:p>
            <w:pPr>
              <w:jc w:val="center"/>
              <w:ind w:left="250"/>
              <w:spacing w:after="0"/>
              <w:rPr>
                <w:sz w:val="20"/>
                <w:szCs w:val="20"/>
                <w:color w:val="auto"/>
              </w:rPr>
            </w:pPr>
            <w:r>
              <w:rPr>
                <w:rFonts w:ascii="Arial" w:cs="Arial" w:eastAsia="Arial" w:hAnsi="Arial"/>
                <w:sz w:val="18"/>
                <w:szCs w:val="18"/>
                <w:color w:val="auto"/>
                <w:w w:val="87"/>
              </w:rPr>
              <w:t>June 10, 2020</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6"/>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Patrick Zenner</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ectPr>
          <w:pgSz w:w="11900" w:h="16838" w:orient="portrait"/>
          <w:cols w:equalWidth="0" w:num="1">
            <w:col w:w="11220"/>
          </w:cols>
          <w:pgMar w:left="320" w:top="553"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1734820</wp:posOffset>
            </wp:positionV>
            <wp:extent cx="1894205"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9420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June 10,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Selecta Biosciences, Inc.</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65 Grove Street</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Watertown, MA 02472</w:t>
      </w:r>
    </w:p>
    <w:p>
      <w:pPr>
        <w:spacing w:after="0" w:line="20" w:lineRule="exact"/>
        <w:rPr>
          <w:sz w:val="20"/>
          <w:szCs w:val="20"/>
          <w:color w:val="auto"/>
        </w:rPr>
      </w:pPr>
      <w:r>
        <w:rPr>
          <w:sz w:val="20"/>
          <w:szCs w:val="20"/>
          <w:color w:val="auto"/>
        </w:rPr>
        <w:br w:type="column"/>
      </w:r>
    </w:p>
    <w:p>
      <w:pPr>
        <w:jc w:val="right"/>
        <w:ind w:right="1080"/>
        <w:spacing w:after="0"/>
        <w:rPr>
          <w:sz w:val="20"/>
          <w:szCs w:val="20"/>
          <w:color w:val="auto"/>
        </w:rPr>
      </w:pPr>
      <w:r>
        <w:rPr>
          <w:rFonts w:ascii="Arial" w:cs="Arial" w:eastAsia="Arial" w:hAnsi="Arial"/>
          <w:sz w:val="18"/>
          <w:szCs w:val="18"/>
          <w:b w:val="1"/>
          <w:bCs w:val="1"/>
          <w:color w:val="auto"/>
        </w:rPr>
        <w:t>Exhibit 5.1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200 Clarendon Street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 02116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Tel: +1.617.948.6000 Fax: +1.617.948.6001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www.lw.com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Moscow</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Munich</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2"/>
          <w:szCs w:val="12"/>
          <w:color w:val="auto"/>
        </w:rPr>
        <w:t>Orange County</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Dusseldorf</w:t>
      </w:r>
      <w:r>
        <w:rPr>
          <w:sz w:val="20"/>
          <w:szCs w:val="20"/>
          <w:color w:val="auto"/>
        </w:rPr>
        <w:tab/>
      </w:r>
      <w:r>
        <w:rPr>
          <w:rFonts w:ascii="Arial" w:cs="Arial" w:eastAsia="Arial" w:hAnsi="Arial"/>
          <w:sz w:val="14"/>
          <w:szCs w:val="14"/>
          <w:color w:val="auto"/>
        </w:rPr>
        <w:t>Rome</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San Diego</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San Francisco</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2"/>
          <w:szCs w:val="12"/>
          <w:color w:val="auto"/>
        </w:rPr>
        <w:t>Seoul</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Shanghai</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Silicon Valley</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2"/>
          <w:szCs w:val="12"/>
          <w:color w:val="auto"/>
        </w:rPr>
        <w:t>Singapore</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Tokyo</w:t>
      </w:r>
    </w:p>
    <w:p>
      <w:pPr>
        <w:spacing w:after="0" w:line="109"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Milan</w:t>
      </w:r>
      <w:r>
        <w:rPr>
          <w:sz w:val="20"/>
          <w:szCs w:val="20"/>
          <w:color w:val="auto"/>
        </w:rPr>
        <w:tab/>
      </w:r>
      <w:r>
        <w:rPr>
          <w:rFonts w:ascii="Arial" w:cs="Arial" w:eastAsia="Arial" w:hAnsi="Arial"/>
          <w:sz w:val="14"/>
          <w:szCs w:val="14"/>
          <w:color w:val="auto"/>
        </w:rPr>
        <w:t>Washington, D.C.</w:t>
      </w:r>
    </w:p>
    <w:p>
      <w:pPr>
        <w:spacing w:after="0" w:line="711" w:lineRule="exact"/>
        <w:rPr>
          <w:sz w:val="20"/>
          <w:szCs w:val="20"/>
          <w:color w:val="auto"/>
        </w:rPr>
      </w:pPr>
    </w:p>
    <w:p>
      <w:pPr>
        <w:sectPr>
          <w:pgSz w:w="11900" w:h="16838" w:orient="portrait"/>
          <w:cols w:equalWidth="0" w:num="2">
            <w:col w:w="5880" w:space="720"/>
            <w:col w:w="4640"/>
          </w:cols>
          <w:pgMar w:left="320" w:top="715" w:right="339" w:bottom="1440" w:gutter="0" w:footer="0" w:header="0"/>
        </w:sectPr>
      </w:pPr>
    </w:p>
    <w:p>
      <w:pPr>
        <w:spacing w:after="0" w:line="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 Registration Statement on Form S-8; 5,439,864 shares of Selecta Biosciences, Inc. Common Stock, $0.0001 par value per share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acted as special counsel to Selecta Biosciences,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preparation and filing by the Company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of a registration statement on Form S-8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relating to the issuance by the Company of up to 5,439,864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$0.0001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issuable under the Selecta Biosciences, Inc. 2016 Incentive Award Plan (the “</w:t>
      </w:r>
      <w:r>
        <w:rPr>
          <w:rFonts w:ascii="Arial" w:cs="Arial" w:eastAsia="Arial" w:hAnsi="Arial"/>
          <w:sz w:val="18"/>
          <w:szCs w:val="18"/>
          <w:b w:val="1"/>
          <w:bCs w:val="1"/>
          <w:i w:val="1"/>
          <w:iCs w:val="1"/>
          <w:color w:val="auto"/>
        </w:rPr>
        <w:t>2016 Plan</w:t>
      </w:r>
      <w:r>
        <w:rPr>
          <w:rFonts w:ascii="Arial" w:cs="Arial" w:eastAsia="Arial" w:hAnsi="Arial"/>
          <w:sz w:val="18"/>
          <w:szCs w:val="18"/>
          <w:color w:val="auto"/>
        </w:rPr>
        <w:t>”) and the Selecta Biosciences, Inc. 2016 Employee Stock Purchase Plan (the “</w:t>
      </w:r>
      <w:r>
        <w:rPr>
          <w:rFonts w:ascii="Arial" w:cs="Arial" w:eastAsia="Arial" w:hAnsi="Arial"/>
          <w:sz w:val="18"/>
          <w:szCs w:val="18"/>
          <w:b w:val="1"/>
          <w:bCs w:val="1"/>
          <w:i w:val="1"/>
          <w:iCs w:val="1"/>
          <w:color w:val="auto"/>
        </w:rPr>
        <w:t>2016 ESPP</w:t>
      </w:r>
      <w:r>
        <w:rPr>
          <w:rFonts w:ascii="Arial" w:cs="Arial" w:eastAsia="Arial" w:hAnsi="Arial"/>
          <w:sz w:val="18"/>
          <w:szCs w:val="18"/>
          <w:color w:val="auto"/>
        </w:rPr>
        <w:t>” and, together with the 2016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issue of the Shares.</w:t>
      </w:r>
    </w:p>
    <w:p>
      <w:pPr>
        <w:spacing w:after="0" w:line="19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grants or awards under the Plans are duly authorized by all necessary corporate action and duly granted or awarded and exercised in accordance with the requirements of law and the Plans (and the agreements and awards duly adopted thereunder and in accordance therewith), the issue and sale of the Shares will have been duly authorized</w:t>
      </w:r>
    </w:p>
    <w:p>
      <w:pPr>
        <w:sectPr>
          <w:pgSz w:w="11900" w:h="16838" w:orient="portrait"/>
          <w:cols w:equalWidth="0" w:num="1">
            <w:col w:w="11240"/>
          </w:cols>
          <w:pgMar w:left="320" w:top="715" w:right="339" w:bottom="1440" w:gutter="0" w:footer="0" w:header="0"/>
          <w:type w:val="continuous"/>
        </w:sectPr>
      </w:pPr>
    </w:p>
    <w:bookmarkStart w:id="6" w:name="page7"/>
    <w:bookmarkEnd w:id="6"/>
    <w:p>
      <w:pPr>
        <w:jc w:val="both"/>
        <w:spacing w:after="0" w:line="342" w:lineRule="auto"/>
        <w:rPr>
          <w:sz w:val="20"/>
          <w:szCs w:val="20"/>
          <w:color w:val="auto"/>
        </w:rPr>
      </w:pPr>
      <w:r>
        <w:rPr>
          <w:rFonts w:ascii="Arial" w:cs="Arial" w:eastAsia="Arial" w:hAnsi="Arial"/>
          <w:sz w:val="16"/>
          <w:szCs w:val="16"/>
          <w:color w:val="auto"/>
        </w:rPr>
        <w:t>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240"/>
          </w:cols>
          <w:pgMar w:left="320" w:top="557"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2016 Employee Stock Purchase Plan and 2016 Incentive Award Plan of Selecta Biosciences, Inc. of our report dated March 12, 2020 with respect to the consolidated financial statements of Selecta Biosciences, Inc. and subsidiaries included in its Annual Report (Form 10-K) for the year ended December 31, 2019, filed with the Securities and Exchange Commission.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10,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jpeg"/><Relationship Id="rId10" Type="http://schemas.openxmlformats.org/officeDocument/2006/relationships/hyperlink" Target="http://www.sec.gov/Archives/edgar/data/1453687/000110465916129891/a16-14002_1ex3d1.htm" TargetMode="External"/><Relationship Id="rId11" Type="http://schemas.openxmlformats.org/officeDocument/2006/relationships/hyperlink" Target="http://www.sec.gov/Archives/edgar/data/1453687/000110465916129891/a16-14002_1ex3d2.htm" TargetMode="External"/><Relationship Id="rId12" Type="http://schemas.openxmlformats.org/officeDocument/2006/relationships/hyperlink" Target="http://www.sec.gov/Archives/edgar/data/1453687/000104746916013718/a2228810z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2020-06-10T15:32:43Z</dcterms:created>
  <dcterms:modified xsi:type="dcterms:W3CDTF">2020-06-10T15:32:43Z</dcterms:modified>
</cp:coreProperties>
</file>